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AF425F" w14:textId="4C4CA5EF" w:rsidR="00952EAB" w:rsidRPr="00E75D8C" w:rsidRDefault="00952EAB" w:rsidP="00E75D8C">
      <w:pPr>
        <w:jc w:val="center"/>
        <w:rPr>
          <w:b/>
          <w:bCs/>
        </w:rPr>
      </w:pPr>
      <w:r w:rsidRPr="00E75D8C">
        <w:rPr>
          <w:b/>
          <w:bCs/>
        </w:rPr>
        <w:t>Ainos</w:t>
      </w:r>
      <w:r w:rsidR="005C54D6" w:rsidRPr="00E75D8C">
        <w:rPr>
          <w:b/>
          <w:bCs/>
        </w:rPr>
        <w:t xml:space="preserve"> </w:t>
      </w:r>
      <w:r w:rsidR="00BF0F69" w:rsidRPr="00E75D8C">
        <w:rPr>
          <w:b/>
          <w:bCs/>
        </w:rPr>
        <w:t xml:space="preserve">Receives </w:t>
      </w:r>
      <w:r w:rsidRPr="00E75D8C">
        <w:rPr>
          <w:b/>
          <w:bCs/>
        </w:rPr>
        <w:t xml:space="preserve">IRB Approval for </w:t>
      </w:r>
      <w:r w:rsidR="005C54D6" w:rsidRPr="00E75D8C">
        <w:rPr>
          <w:b/>
          <w:bCs/>
        </w:rPr>
        <w:t xml:space="preserve">Taiwan </w:t>
      </w:r>
      <w:r w:rsidRPr="00E75D8C">
        <w:rPr>
          <w:b/>
          <w:bCs/>
        </w:rPr>
        <w:t xml:space="preserve">Clinical Study </w:t>
      </w:r>
      <w:r w:rsidR="005C54D6" w:rsidRPr="00E75D8C">
        <w:rPr>
          <w:b/>
          <w:bCs/>
        </w:rPr>
        <w:t>of VELDONA for Sjögren’s Syndrome</w:t>
      </w:r>
    </w:p>
    <w:p w14:paraId="6240F135" w14:textId="1D911C48" w:rsidR="009827E5" w:rsidRPr="00E75D8C" w:rsidRDefault="009827E5" w:rsidP="00952EAB">
      <w:pPr>
        <w:rPr>
          <w:i/>
          <w:iCs/>
        </w:rPr>
      </w:pPr>
      <w:r w:rsidRPr="00E75D8C">
        <w:rPr>
          <w:i/>
          <w:iCs/>
        </w:rPr>
        <w:t xml:space="preserve">IRB approval on track </w:t>
      </w:r>
      <w:r w:rsidR="002D5F79" w:rsidRPr="00E75D8C">
        <w:rPr>
          <w:rFonts w:hint="eastAsia"/>
          <w:i/>
          <w:iCs/>
        </w:rPr>
        <w:t>as</w:t>
      </w:r>
      <w:r w:rsidRPr="00E75D8C">
        <w:rPr>
          <w:i/>
          <w:iCs/>
        </w:rPr>
        <w:t xml:space="preserve"> schedule</w:t>
      </w:r>
      <w:r w:rsidR="002D5F79" w:rsidRPr="00E75D8C">
        <w:rPr>
          <w:rFonts w:hint="eastAsia"/>
          <w:i/>
          <w:iCs/>
        </w:rPr>
        <w:t>d</w:t>
      </w:r>
    </w:p>
    <w:p w14:paraId="06420697" w14:textId="62F6A549" w:rsidR="00DA211A" w:rsidRPr="00E75D8C" w:rsidRDefault="009827E5" w:rsidP="00952EAB">
      <w:pPr>
        <w:rPr>
          <w:i/>
          <w:iCs/>
        </w:rPr>
      </w:pPr>
      <w:r w:rsidRPr="00E75D8C">
        <w:rPr>
          <w:i/>
          <w:iCs/>
        </w:rPr>
        <w:t>Next step</w:t>
      </w:r>
      <w:r w:rsidR="00DB0444" w:rsidRPr="00E75D8C">
        <w:rPr>
          <w:i/>
          <w:iCs/>
        </w:rPr>
        <w:t xml:space="preserve"> is </w:t>
      </w:r>
      <w:r w:rsidRPr="00E75D8C">
        <w:rPr>
          <w:i/>
          <w:iCs/>
        </w:rPr>
        <w:t xml:space="preserve">obtaining all regulatory approvals, followed by site initiation visit </w:t>
      </w:r>
    </w:p>
    <w:p w14:paraId="2A350435" w14:textId="060BE068" w:rsidR="00952EAB" w:rsidRPr="00E75D8C" w:rsidRDefault="00DA211A" w:rsidP="00952EAB">
      <w:pPr>
        <w:rPr>
          <w:i/>
          <w:iCs/>
          <w:lang w:val="en-US" w:eastAsia="zh-TW"/>
        </w:rPr>
      </w:pPr>
      <w:r w:rsidRPr="00E75D8C">
        <w:rPr>
          <w:i/>
          <w:iCs/>
        </w:rPr>
        <w:t>VELDONA</w:t>
      </w:r>
      <w:r w:rsidR="0022127D" w:rsidRPr="00E75D8C">
        <w:rPr>
          <w:i/>
          <w:iCs/>
        </w:rPr>
        <w:t xml:space="preserve"> significantly</w:t>
      </w:r>
      <w:r w:rsidR="005C54D6" w:rsidRPr="00E75D8C">
        <w:rPr>
          <w:i/>
          <w:iCs/>
        </w:rPr>
        <w:t xml:space="preserve"> increas</w:t>
      </w:r>
      <w:r w:rsidR="0022127D" w:rsidRPr="00E75D8C">
        <w:rPr>
          <w:i/>
          <w:iCs/>
        </w:rPr>
        <w:t xml:space="preserve">es </w:t>
      </w:r>
      <w:r w:rsidR="005C54D6" w:rsidRPr="00E75D8C">
        <w:rPr>
          <w:i/>
          <w:iCs/>
        </w:rPr>
        <w:t>unstimulated whole salivary flow</w:t>
      </w:r>
      <w:r w:rsidR="00AB4C3B" w:rsidRPr="00E75D8C">
        <w:rPr>
          <w:i/>
          <w:iCs/>
        </w:rPr>
        <w:t xml:space="preserve"> in prior Phase 3 studies</w:t>
      </w:r>
    </w:p>
    <w:p w14:paraId="4EEF37F9" w14:textId="22B0F0DE" w:rsidR="00952EAB" w:rsidRPr="00E75D8C" w:rsidRDefault="006037FE" w:rsidP="00952EAB">
      <w:r w:rsidRPr="00E75D8C">
        <w:rPr>
          <w:rFonts w:hint="eastAsia"/>
        </w:rPr>
        <w:t>SAN DIEGO, CA / ACCESSWIRE / November</w:t>
      </w:r>
      <w:r w:rsidR="00470506" w:rsidRPr="00E75D8C">
        <w:rPr>
          <w:rFonts w:hint="eastAsia"/>
        </w:rPr>
        <w:t xml:space="preserve"> 11</w:t>
      </w:r>
      <w:r w:rsidRPr="00E75D8C">
        <w:rPr>
          <w:rFonts w:hint="eastAsia"/>
        </w:rPr>
        <w:t>, 2024 / Ainos, Inc. (NASDAQ:AIMD)(NASDAQ:AIMDW) ("Ainos", or the "Company"), an innovative healthcare company focused on advanced AI-driven point-of-care testing ("POCT") and low-dose interferon therapeutics, today announced</w:t>
      </w:r>
      <w:r w:rsidR="00952EAB" w:rsidRPr="00E75D8C">
        <w:t xml:space="preserve"> that it has received Institutional Review Board (</w:t>
      </w:r>
      <w:r w:rsidRPr="00E75D8C">
        <w:rPr>
          <w:rFonts w:hint="eastAsia"/>
        </w:rPr>
        <w:t>“</w:t>
      </w:r>
      <w:r w:rsidR="00952EAB" w:rsidRPr="00E75D8C">
        <w:t>IRB</w:t>
      </w:r>
      <w:r w:rsidRPr="00E75D8C">
        <w:rPr>
          <w:rFonts w:hint="eastAsia"/>
        </w:rPr>
        <w:t>”</w:t>
      </w:r>
      <w:r w:rsidR="00952EAB" w:rsidRPr="00E75D8C">
        <w:t>) approval from Shuang Ho Hospital, affiliated with Taipei Medical University (IRB Approval No.: TMU-JIRB No.: N202408042)</w:t>
      </w:r>
      <w:r w:rsidRPr="00E75D8C">
        <w:rPr>
          <w:rFonts w:hint="eastAsia"/>
        </w:rPr>
        <w:t>,</w:t>
      </w:r>
      <w:r w:rsidR="00952EAB" w:rsidRPr="00E75D8C">
        <w:t xml:space="preserve"> for its clinical trial </w:t>
      </w:r>
      <w:r w:rsidRPr="00E75D8C">
        <w:rPr>
          <w:rFonts w:hint="eastAsia"/>
        </w:rPr>
        <w:t xml:space="preserve">of </w:t>
      </w:r>
      <w:r w:rsidRPr="00E75D8C">
        <w:t>VELDONA</w:t>
      </w:r>
      <w:r w:rsidRPr="00E75D8C">
        <w:rPr>
          <w:vertAlign w:val="superscript"/>
        </w:rPr>
        <w:t>®</w:t>
      </w:r>
      <w:r w:rsidRPr="00E75D8C">
        <w:rPr>
          <w:rFonts w:hint="eastAsia"/>
        </w:rPr>
        <w:t xml:space="preserve"> i</w:t>
      </w:r>
      <w:r w:rsidR="00952EAB" w:rsidRPr="00E75D8C">
        <w:t xml:space="preserve">n treating Sjögren’s syndrome. </w:t>
      </w:r>
      <w:r w:rsidR="00D50C4B" w:rsidRPr="00E75D8C">
        <w:t>Ainos</w:t>
      </w:r>
      <w:r w:rsidR="00952EAB" w:rsidRPr="00E75D8C">
        <w:t xml:space="preserve"> plans to commence a site initiation visit (</w:t>
      </w:r>
      <w:r w:rsidR="00CD08C8" w:rsidRPr="00E75D8C">
        <w:t>“</w:t>
      </w:r>
      <w:r w:rsidR="00952EAB" w:rsidRPr="00E75D8C">
        <w:t>SIV</w:t>
      </w:r>
      <w:r w:rsidR="00CD08C8" w:rsidRPr="00E75D8C">
        <w:t>”</w:t>
      </w:r>
      <w:r w:rsidR="00952EAB" w:rsidRPr="00E75D8C">
        <w:t xml:space="preserve">) </w:t>
      </w:r>
      <w:r w:rsidR="00D50C4B" w:rsidRPr="00E75D8C">
        <w:t xml:space="preserve">for the study </w:t>
      </w:r>
      <w:r w:rsidR="009827E5" w:rsidRPr="00E75D8C">
        <w:t>around April</w:t>
      </w:r>
      <w:r w:rsidR="00952EAB" w:rsidRPr="00E75D8C">
        <w:t xml:space="preserve"> 2025</w:t>
      </w:r>
      <w:r w:rsidR="009827E5" w:rsidRPr="00E75D8C">
        <w:t>, subject to regulatory approvals</w:t>
      </w:r>
      <w:r w:rsidR="00D50C4B" w:rsidRPr="00E75D8C">
        <w:t xml:space="preserve">. The study </w:t>
      </w:r>
      <w:r w:rsidR="00CD08C8" w:rsidRPr="00E75D8C">
        <w:rPr>
          <w:rFonts w:hint="eastAsia"/>
        </w:rPr>
        <w:t>aims</w:t>
      </w:r>
      <w:r w:rsidR="00CD08C8" w:rsidRPr="00E75D8C">
        <w:t xml:space="preserve"> </w:t>
      </w:r>
      <w:r w:rsidR="00952EAB" w:rsidRPr="00E75D8C">
        <w:t>to further assess the potential of VELDONA</w:t>
      </w:r>
      <w:r w:rsidR="00952EAB" w:rsidRPr="00E75D8C">
        <w:rPr>
          <w:rFonts w:hint="eastAsia"/>
          <w:vertAlign w:val="superscript"/>
        </w:rPr>
        <w:t>®</w:t>
      </w:r>
      <w:r w:rsidR="00952EAB" w:rsidRPr="00E75D8C">
        <w:t xml:space="preserve"> in improving salivary gland function and alleviating symptoms of dryness. </w:t>
      </w:r>
      <w:r w:rsidR="00AB4C3B" w:rsidRPr="00E75D8C">
        <w:t xml:space="preserve">Ainos </w:t>
      </w:r>
      <w:r w:rsidR="00CD08C8" w:rsidRPr="00E75D8C">
        <w:rPr>
          <w:rFonts w:hint="eastAsia"/>
        </w:rPr>
        <w:t xml:space="preserve">previously </w:t>
      </w:r>
      <w:r w:rsidR="00AB4C3B" w:rsidRPr="00E75D8C">
        <w:t>conducted eight clinical studies in the U.S., including three Phase 3 trials, showing that VELDONA</w:t>
      </w:r>
      <w:r w:rsidR="00AB4C3B" w:rsidRPr="00E75D8C">
        <w:rPr>
          <w:rFonts w:hint="eastAsia"/>
          <w:vertAlign w:val="superscript"/>
        </w:rPr>
        <w:t xml:space="preserve">® </w:t>
      </w:r>
      <w:r w:rsidR="00AB4C3B" w:rsidRPr="00E75D8C">
        <w:t xml:space="preserve">significantly </w:t>
      </w:r>
      <w:r w:rsidR="00AB4C3B" w:rsidRPr="00E75D8C">
        <w:rPr>
          <w:lang w:val="en-US" w:eastAsia="zh-TW"/>
        </w:rPr>
        <w:t xml:space="preserve">increases </w:t>
      </w:r>
      <w:r w:rsidR="00AB4C3B" w:rsidRPr="00E75D8C">
        <w:rPr>
          <w:rFonts w:hint="eastAsia"/>
          <w:lang w:eastAsia="zh-TW"/>
        </w:rPr>
        <w:t>u</w:t>
      </w:r>
      <w:r w:rsidR="00AB4C3B" w:rsidRPr="00E75D8C">
        <w:t>nstimulated whole salivary flow.</w:t>
      </w:r>
    </w:p>
    <w:p w14:paraId="778D9BE8" w14:textId="270EB293" w:rsidR="00CD08C8" w:rsidRPr="00E75D8C" w:rsidRDefault="0022127D" w:rsidP="00952EAB">
      <w:r w:rsidRPr="00E75D8C">
        <w:t xml:space="preserve">"We are thrilled to receive IRB approval of our clinical study in Taiwan as scheduled. </w:t>
      </w:r>
      <w:r w:rsidR="00AB4C3B" w:rsidRPr="00E75D8C">
        <w:t>Given the previous clinical trials, we are enthusiastic about VELDONA</w:t>
      </w:r>
      <w:r w:rsidR="00AB4C3B" w:rsidRPr="00E75D8C">
        <w:rPr>
          <w:rFonts w:hint="eastAsia"/>
          <w:vertAlign w:val="superscript"/>
        </w:rPr>
        <w:t>®</w:t>
      </w:r>
      <w:r w:rsidR="00AB4C3B" w:rsidRPr="00E75D8C">
        <w:t>'s potential to enhance life quality for patients with Sjögren’s syndrome.</w:t>
      </w:r>
      <w:r w:rsidRPr="00E75D8C">
        <w:t xml:space="preserve"> We look forward to positioning VELDONA</w:t>
      </w:r>
      <w:r w:rsidRPr="00E75D8C">
        <w:rPr>
          <w:rFonts w:hint="eastAsia"/>
          <w:vertAlign w:val="superscript"/>
        </w:rPr>
        <w:t>®</w:t>
      </w:r>
      <w:r w:rsidRPr="00E75D8C">
        <w:t>as a breakthrough treatment option,” Dr. Albert Yu, Technical Director of Pharmaceuticals</w:t>
      </w:r>
      <w:r w:rsidR="00CD08C8" w:rsidRPr="00E75D8C">
        <w:rPr>
          <w:rFonts w:hint="eastAsia"/>
        </w:rPr>
        <w:t xml:space="preserve"> at Ainos</w:t>
      </w:r>
      <w:r w:rsidRPr="00E75D8C">
        <w:t>, commented.</w:t>
      </w:r>
    </w:p>
    <w:p w14:paraId="1008831C" w14:textId="1DC68AC5" w:rsidR="00952EAB" w:rsidRPr="00E75D8C" w:rsidRDefault="00DA211A" w:rsidP="00952EAB">
      <w:pPr>
        <w:rPr>
          <w:b/>
          <w:bCs/>
        </w:rPr>
      </w:pPr>
      <w:r w:rsidRPr="00E75D8C">
        <w:rPr>
          <w:b/>
          <w:bCs/>
        </w:rPr>
        <w:t xml:space="preserve">Disease </w:t>
      </w:r>
      <w:r w:rsidR="00952EAB" w:rsidRPr="00E75D8C">
        <w:rPr>
          <w:b/>
          <w:bCs/>
        </w:rPr>
        <w:t>Overview:</w:t>
      </w:r>
    </w:p>
    <w:p w14:paraId="0D598D3E" w14:textId="2A816814" w:rsidR="00952EAB" w:rsidRPr="00E75D8C" w:rsidRDefault="00952EAB" w:rsidP="00952EAB">
      <w:r w:rsidRPr="00E75D8C">
        <w:t xml:space="preserve">Sjögren’s syndrome is an autoimmune disease in which the body mistakenly attacks its own tissues, perceiving them as </w:t>
      </w:r>
      <w:r w:rsidR="00CD08C8" w:rsidRPr="00E75D8C">
        <w:t>“</w:t>
      </w:r>
      <w:r w:rsidRPr="00E75D8C">
        <w:t>foreign invaders.</w:t>
      </w:r>
      <w:r w:rsidR="00CD08C8" w:rsidRPr="00E75D8C">
        <w:t>”</w:t>
      </w:r>
      <w:r w:rsidRPr="00E75D8C">
        <w:t xml:space="preserve"> First identified and named by Swedish physician Henrik Sjögren in 1933, the disease can be classified as either primary (without concurrent autoimmune disorders) or secondary (coexisting with other autoimmune diseases such as lupus and rheumatoid arthritis). The global prevalence is estimated to be between 0.1% and 0.4%, with approximately 90,000 patients in Taiwan, primarily affecting middle-aged women aged 40 to 60, with a female-to-male ratio of 9:1.</w:t>
      </w:r>
    </w:p>
    <w:p w14:paraId="61EBC8CB" w14:textId="77777777" w:rsidR="005C54D6" w:rsidRPr="00E75D8C" w:rsidRDefault="00952EAB" w:rsidP="00952EAB">
      <w:r w:rsidRPr="00E75D8C">
        <w:lastRenderedPageBreak/>
        <w:t xml:space="preserve">According to a 2022 report from the National Center for Biotechnology Information (NCBI), Sjögren’s syndrome affects approximately 400,000 to 3.1 million adults, with an average onset age of 45 to 55 years. </w:t>
      </w:r>
    </w:p>
    <w:p w14:paraId="7F3862EA" w14:textId="1D732BAD" w:rsidR="00952EAB" w:rsidRPr="00E75D8C" w:rsidRDefault="00952EAB" w:rsidP="00952EAB">
      <w:r w:rsidRPr="00E75D8C">
        <w:t>The global market</w:t>
      </w:r>
      <w:r w:rsidR="005C54D6" w:rsidRPr="00E75D8C">
        <w:t xml:space="preserve"> for treating Sjögren’s syndrome </w:t>
      </w:r>
      <w:r w:rsidR="00CD08C8" w:rsidRPr="00E75D8C">
        <w:rPr>
          <w:rFonts w:hint="eastAsia"/>
        </w:rPr>
        <w:t>i</w:t>
      </w:r>
      <w:r w:rsidRPr="00E75D8C">
        <w:t>s expected to grow at a compound annual growth rate (CAGR) of 4.2% through 2030.</w:t>
      </w:r>
    </w:p>
    <w:p w14:paraId="3C9C6BCD" w14:textId="77777777" w:rsidR="00952EAB" w:rsidRPr="00E75D8C" w:rsidRDefault="00952EAB" w:rsidP="00952EAB">
      <w:r w:rsidRPr="00E75D8C">
        <w:rPr>
          <w:b/>
          <w:bCs/>
        </w:rPr>
        <w:t>Clinical Trial Design and Objectives:</w:t>
      </w:r>
    </w:p>
    <w:p w14:paraId="318F9CE2" w14:textId="62AC5975" w:rsidR="00952EAB" w:rsidRPr="00E75D8C" w:rsidRDefault="00952EAB" w:rsidP="00952EAB">
      <w:r w:rsidRPr="00E75D8C">
        <w:t>The study will be conducted at Shuang Ho Hospital</w:t>
      </w:r>
      <w:r w:rsidR="00CD08C8" w:rsidRPr="00E75D8C">
        <w:rPr>
          <w:rFonts w:hint="eastAsia"/>
        </w:rPr>
        <w:t xml:space="preserve"> under the oversight of</w:t>
      </w:r>
      <w:r w:rsidRPr="00E75D8C">
        <w:t xml:space="preserve"> the Department of Allergy, Immunology, and Rheumatology. </w:t>
      </w:r>
      <w:r w:rsidR="00CD08C8" w:rsidRPr="00E75D8C">
        <w:rPr>
          <w:rFonts w:hint="eastAsia"/>
        </w:rPr>
        <w:t>Its</w:t>
      </w:r>
      <w:r w:rsidRPr="00E75D8C">
        <w:t xml:space="preserve"> primary </w:t>
      </w:r>
      <w:r w:rsidR="00A46E3B">
        <w:t>endpoint</w:t>
      </w:r>
      <w:r w:rsidR="00A46E3B" w:rsidRPr="00E75D8C">
        <w:t xml:space="preserve"> </w:t>
      </w:r>
      <w:r w:rsidRPr="00E75D8C">
        <w:t>is to evaluate the efficacy of VELDONA</w:t>
      </w:r>
      <w:r w:rsidRPr="00E75D8C">
        <w:rPr>
          <w:rFonts w:hint="eastAsia"/>
          <w:vertAlign w:val="superscript"/>
        </w:rPr>
        <w:t>®</w:t>
      </w:r>
      <w:r w:rsidRPr="00E75D8C">
        <w:t xml:space="preserve"> in improving salivary flow and alleviating </w:t>
      </w:r>
      <w:r w:rsidR="00CD08C8" w:rsidRPr="00E75D8C">
        <w:t xml:space="preserve">dryness </w:t>
      </w:r>
      <w:r w:rsidRPr="00E75D8C">
        <w:t xml:space="preserve">symptomsf in patients with primary Sjögren’s syndrome. The trial follows an open-label design (Protocol Title: An open-label study to evaluate the efficacy of VELDONA® in patients with primary Sjögren’s </w:t>
      </w:r>
      <w:r w:rsidR="00490118" w:rsidRPr="00E75D8C">
        <w:rPr>
          <w:rFonts w:hint="eastAsia"/>
        </w:rPr>
        <w:t>s</w:t>
      </w:r>
      <w:r w:rsidRPr="00E75D8C">
        <w:t>yndrome) and will recruit 24 patients for a 24- to 48-week treatment period, based on the diagnostic criteria established by the American and European Rheumatology Associations in 2016.</w:t>
      </w:r>
    </w:p>
    <w:p w14:paraId="6D825900" w14:textId="77777777" w:rsidR="00952EAB" w:rsidRPr="00E75D8C" w:rsidRDefault="00952EAB" w:rsidP="00952EAB">
      <w:r w:rsidRPr="00E75D8C">
        <w:t>Secondary endpoints include:</w:t>
      </w:r>
    </w:p>
    <w:p w14:paraId="3C9D391B" w14:textId="77777777" w:rsidR="00952EAB" w:rsidRPr="00E75D8C" w:rsidRDefault="00952EAB" w:rsidP="00952EAB">
      <w:r w:rsidRPr="00E75D8C">
        <w:t>• Assessing improvements in dryness symptoms using the European League Against Rheumatism Sjögren’s Syndrome Patient Reported Index (ESSPRI);</w:t>
      </w:r>
    </w:p>
    <w:p w14:paraId="76A48E0F" w14:textId="77777777" w:rsidR="00952EAB" w:rsidRPr="00E75D8C" w:rsidRDefault="00952EAB" w:rsidP="00952EAB">
      <w:r w:rsidRPr="00E75D8C">
        <w:t>• Measuring changes in disease activity using the EULAR Sjögren’s Syndrome Disease Activity Index (ESSDAI);</w:t>
      </w:r>
    </w:p>
    <w:p w14:paraId="21EAB9B5" w14:textId="77777777" w:rsidR="00952EAB" w:rsidRPr="00E75D8C" w:rsidRDefault="00952EAB" w:rsidP="00952EAB">
      <w:r w:rsidRPr="00E75D8C">
        <w:t>• Evaluating eight specific dryness symptoms, including oral and ocular dryness, using the Visual Analog Scale (VAS);</w:t>
      </w:r>
    </w:p>
    <w:p w14:paraId="47DF48E2" w14:textId="77D0561A" w:rsidR="00490118" w:rsidRPr="00E75D8C" w:rsidRDefault="00952EAB" w:rsidP="00952EAB">
      <w:r w:rsidRPr="00E75D8C">
        <w:t>• Conducting nuclear medicine imaging to compare pre- and post-treatment salivary gland function.</w:t>
      </w:r>
    </w:p>
    <w:p w14:paraId="1522043C" w14:textId="6D39D9B7" w:rsidR="00952EAB" w:rsidRPr="00E75D8C" w:rsidRDefault="00952EAB" w:rsidP="00952EAB">
      <w:r w:rsidRPr="00E75D8C">
        <w:rPr>
          <w:b/>
          <w:bCs/>
        </w:rPr>
        <w:t>Clinical Trial</w:t>
      </w:r>
      <w:r w:rsidR="00EF29DB" w:rsidRPr="00E75D8C">
        <w:rPr>
          <w:b/>
          <w:bCs/>
        </w:rPr>
        <w:t xml:space="preserve"> </w:t>
      </w:r>
      <w:r w:rsidRPr="00E75D8C">
        <w:rPr>
          <w:b/>
          <w:bCs/>
        </w:rPr>
        <w:t>Timeline and Progress:</w:t>
      </w:r>
    </w:p>
    <w:p w14:paraId="5A2CE882" w14:textId="6E2E7CE0" w:rsidR="00952EAB" w:rsidRPr="00E75D8C" w:rsidRDefault="00952EAB" w:rsidP="00952EAB">
      <w:r w:rsidRPr="00E75D8C">
        <w:t xml:space="preserve">The trial is managed by ComboTrial Consultancy Ltd. under Good Clinical Practice (GCP) standards. </w:t>
      </w:r>
      <w:r w:rsidR="00A46E3B">
        <w:t>Following the</w:t>
      </w:r>
      <w:r w:rsidRPr="00E75D8C">
        <w:rPr>
          <w:rFonts w:hint="eastAsia"/>
          <w:lang w:eastAsia="zh-TW"/>
        </w:rPr>
        <w:t xml:space="preserve"> </w:t>
      </w:r>
      <w:r w:rsidRPr="00E75D8C">
        <w:t>IRB approval from Shuang Ho Hospital (TMU-JIRB No.: N202408042)</w:t>
      </w:r>
      <w:r w:rsidR="00A46E3B">
        <w:t>, Ainos plans to submit</w:t>
      </w:r>
      <w:r w:rsidR="00A46E3B" w:rsidRPr="00E75D8C">
        <w:t xml:space="preserve"> </w:t>
      </w:r>
      <w:r w:rsidRPr="00E75D8C">
        <w:t>to Taiwan’s Food and Drug Administration (TFDA) by the end of December 2024</w:t>
      </w:r>
      <w:r w:rsidR="00A46E3B">
        <w:t xml:space="preserve"> and anticipates to complete all</w:t>
      </w:r>
      <w:r w:rsidRPr="00E75D8C">
        <w:t xml:space="preserve"> approvals </w:t>
      </w:r>
      <w:r w:rsidR="00490118" w:rsidRPr="00E75D8C">
        <w:rPr>
          <w:rFonts w:hint="eastAsia"/>
        </w:rPr>
        <w:t>by</w:t>
      </w:r>
      <w:r w:rsidR="00B472E6" w:rsidRPr="00E75D8C">
        <w:t xml:space="preserve"> Q1 2025</w:t>
      </w:r>
      <w:r w:rsidRPr="00E75D8C">
        <w:t xml:space="preserve">, </w:t>
      </w:r>
      <w:r w:rsidRPr="00E75D8C">
        <w:rPr>
          <w:rFonts w:hint="eastAsia"/>
        </w:rPr>
        <w:t>with the SIV schedul</w:t>
      </w:r>
      <w:r w:rsidR="00A46E3B">
        <w:t>ing</w:t>
      </w:r>
      <w:r w:rsidRPr="00E75D8C">
        <w:rPr>
          <w:rFonts w:hint="eastAsia"/>
        </w:rPr>
        <w:t xml:space="preserve"> for April 2025</w:t>
      </w:r>
      <w:r w:rsidRPr="00E75D8C">
        <w:t xml:space="preserve">. Patient recruitment </w:t>
      </w:r>
      <w:r w:rsidR="00490118" w:rsidRPr="00E75D8C">
        <w:rPr>
          <w:rFonts w:hint="eastAsia"/>
        </w:rPr>
        <w:t>will span</w:t>
      </w:r>
      <w:r w:rsidRPr="00E75D8C">
        <w:t xml:space="preserve"> six</w:t>
      </w:r>
      <w:r w:rsidR="00490118" w:rsidRPr="00E75D8C">
        <w:rPr>
          <w:rFonts w:hint="eastAsia"/>
        </w:rPr>
        <w:t xml:space="preserve"> </w:t>
      </w:r>
      <w:r w:rsidRPr="00E75D8C">
        <w:t>month</w:t>
      </w:r>
      <w:r w:rsidR="00490118" w:rsidRPr="00E75D8C">
        <w:rPr>
          <w:rFonts w:hint="eastAsia"/>
        </w:rPr>
        <w:t>s</w:t>
      </w:r>
      <w:r w:rsidRPr="00E75D8C">
        <w:t xml:space="preserve">, with the First Patient First Visit (FPFV) anticipated </w:t>
      </w:r>
      <w:r w:rsidR="00490118" w:rsidRPr="00E75D8C">
        <w:rPr>
          <w:rFonts w:hint="eastAsia"/>
        </w:rPr>
        <w:t>for</w:t>
      </w:r>
      <w:r w:rsidRPr="00E75D8C">
        <w:t xml:space="preserve"> May 2025, the Last Patient Last Visit (LPLV) by the end of November 2025, and study completion by the end of December 2026.</w:t>
      </w:r>
    </w:p>
    <w:p w14:paraId="4ECB48C9" w14:textId="7BD91642" w:rsidR="00952EAB" w:rsidRPr="00E75D8C" w:rsidRDefault="00952EAB" w:rsidP="00952EAB">
      <w:r w:rsidRPr="00E75D8C">
        <w:rPr>
          <w:b/>
          <w:bCs/>
        </w:rPr>
        <w:t xml:space="preserve">Potential </w:t>
      </w:r>
      <w:r w:rsidR="00DA211A" w:rsidRPr="00E75D8C">
        <w:rPr>
          <w:b/>
          <w:bCs/>
        </w:rPr>
        <w:t xml:space="preserve">Benefits </w:t>
      </w:r>
      <w:r w:rsidRPr="00E75D8C">
        <w:rPr>
          <w:b/>
          <w:bCs/>
        </w:rPr>
        <w:t>of VELDONA</w:t>
      </w:r>
      <w:r w:rsidRPr="00E75D8C">
        <w:rPr>
          <w:rFonts w:hint="eastAsia"/>
          <w:b/>
          <w:bCs/>
          <w:vertAlign w:val="superscript"/>
        </w:rPr>
        <w:t>®</w:t>
      </w:r>
      <w:r w:rsidRPr="00E75D8C">
        <w:rPr>
          <w:b/>
          <w:bCs/>
        </w:rPr>
        <w:t xml:space="preserve"> </w:t>
      </w:r>
      <w:r w:rsidR="00DA211A" w:rsidRPr="00E75D8C">
        <w:rPr>
          <w:b/>
          <w:bCs/>
        </w:rPr>
        <w:t xml:space="preserve">from Prior </w:t>
      </w:r>
      <w:r w:rsidRPr="00E75D8C">
        <w:rPr>
          <w:b/>
          <w:bCs/>
        </w:rPr>
        <w:t>Clinical Data:</w:t>
      </w:r>
    </w:p>
    <w:p w14:paraId="07CFE1E5" w14:textId="632F21FF" w:rsidR="00952EAB" w:rsidRPr="00E75D8C" w:rsidRDefault="00952EAB" w:rsidP="00952EAB">
      <w:r w:rsidRPr="00E75D8C">
        <w:t xml:space="preserve">Ainos has previously conducted three clinical trials in the </w:t>
      </w:r>
      <w:r w:rsidR="00490118" w:rsidRPr="00E75D8C">
        <w:t>U</w:t>
      </w:r>
      <w:r w:rsidR="00490118" w:rsidRPr="00E75D8C">
        <w:rPr>
          <w:rFonts w:hint="eastAsia"/>
        </w:rPr>
        <w:t>.</w:t>
      </w:r>
      <w:r w:rsidRPr="00E75D8C">
        <w:t>S</w:t>
      </w:r>
      <w:r w:rsidR="00490118" w:rsidRPr="00E75D8C">
        <w:rPr>
          <w:rFonts w:hint="eastAsia"/>
        </w:rPr>
        <w:t>.</w:t>
      </w:r>
      <w:r w:rsidRPr="00E75D8C">
        <w:t xml:space="preserve"> evaluating VELDONA® for Sjögren’s syndrome. Results indicate the product has the potential to significantly improve oral dryness symptoms without serious adverse reactions.</w:t>
      </w:r>
    </w:p>
    <w:p w14:paraId="4D19C20B" w14:textId="73C1B9BD" w:rsidR="00952EAB" w:rsidRPr="00E75D8C" w:rsidRDefault="00952EAB" w:rsidP="00952EAB">
      <w:r w:rsidRPr="00E75D8C">
        <w:t xml:space="preserve">1. </w:t>
      </w:r>
      <w:r w:rsidRPr="00E75D8C">
        <w:rPr>
          <w:b/>
          <w:bCs/>
        </w:rPr>
        <w:t>First Study</w:t>
      </w:r>
      <w:r w:rsidRPr="00E75D8C">
        <w:t>: A total of 241 patients participated in a 24-week double-blind, placebo-controlled study, where patients were randomly assigned to receive either a placebo or 150 IU of HBL IFNα three times daily. Results showed a significant increase in unstimulated whole salivary flow (p&lt;0.05) in the HBL IFNα group, with no other significant treatment effects observed. There were no reports of serious adverse reactions or deaths during the study, and no statistically significant difference in the incidence or severity of adverse events between the treatment and placebo groups.</w:t>
      </w:r>
    </w:p>
    <w:p w14:paraId="7035EE25" w14:textId="77777777" w:rsidR="00952EAB" w:rsidRPr="00E75D8C" w:rsidRDefault="00952EAB" w:rsidP="00952EAB">
      <w:r w:rsidRPr="00E75D8C">
        <w:t xml:space="preserve">2. </w:t>
      </w:r>
      <w:r w:rsidRPr="00E75D8C">
        <w:rPr>
          <w:b/>
          <w:bCs/>
        </w:rPr>
        <w:t>Second Study</w:t>
      </w:r>
      <w:r w:rsidRPr="00E75D8C">
        <w:t>: In a similar 24-week double-blind, placebo-controlled study with 256 patients, the difference in salivary flow between the treatment and placebo groups was assessed. Results indicated a trend toward increased unstimulated whole salivary flow in the 150 IU HBL IFNα treatment group (p&lt;0.10), although this did not reach statistical significance. The incidence and severity of adverse events were comparable between the treatment and placebo groups.</w:t>
      </w:r>
    </w:p>
    <w:p w14:paraId="5FFDEC96" w14:textId="77777777" w:rsidR="00952EAB" w:rsidRPr="00A46E3B" w:rsidRDefault="00952EAB" w:rsidP="00952EAB">
      <w:pPr>
        <w:rPr>
          <w:lang w:val="en-US"/>
        </w:rPr>
      </w:pPr>
      <w:r w:rsidRPr="00E75D8C">
        <w:t xml:space="preserve">3. </w:t>
      </w:r>
      <w:r w:rsidRPr="00E75D8C">
        <w:rPr>
          <w:b/>
          <w:bCs/>
        </w:rPr>
        <w:t>Third Study</w:t>
      </w:r>
      <w:r w:rsidRPr="00E75D8C">
        <w:t>: A 48-week open-label safety study was conducted with 288 patients, all of whom received 150 IU HBL IFNα three times daily. By the end of the treatment period, patients reported significant improvement in oral dryness and comfort (p&lt;0.0001), with significant improvements observed in all eight symptom scores (p&lt;0.05). No treatment-related serious adverse reactions were noted, and the safety analysis indicated no clinically significant changes.</w:t>
      </w:r>
    </w:p>
    <w:p w14:paraId="6CE67C8B" w14:textId="77777777" w:rsidR="006037FE" w:rsidRPr="00E75D8C" w:rsidRDefault="006037FE" w:rsidP="00952EAB"/>
    <w:p w14:paraId="47C66E84" w14:textId="77777777" w:rsidR="006037FE" w:rsidRPr="00E75D8C" w:rsidRDefault="006037FE" w:rsidP="006037FE">
      <w:pPr>
        <w:rPr>
          <w:lang w:val="en-US"/>
        </w:rPr>
      </w:pPr>
      <w:r w:rsidRPr="00E75D8C">
        <w:rPr>
          <w:b/>
          <w:bCs/>
          <w:lang w:val="en-US"/>
        </w:rPr>
        <w:t>About Ainos, Inc.</w:t>
      </w:r>
    </w:p>
    <w:p w14:paraId="228A94CC" w14:textId="77777777" w:rsidR="006037FE" w:rsidRPr="00E75D8C" w:rsidRDefault="006037FE" w:rsidP="006037FE">
      <w:pPr>
        <w:rPr>
          <w:lang w:val="en-US"/>
        </w:rPr>
      </w:pPr>
      <w:r w:rsidRPr="00E75D8C">
        <w:rPr>
          <w:lang w:val="en-US"/>
        </w:rPr>
        <w:t>Headquartered in San Diego, California, Ainos is a diversified healthcare company focused on novel AI-powered point-of-care testing (POCT) and VELDONA low-dose interferon therapeutics. The Company's clinical-stage product pipeline includes VELDONA human and animal oral therapeutics, human orphan drugs, and telehealth-friendly POCT solutions powered by its AI Nose technology platform.</w:t>
      </w:r>
    </w:p>
    <w:p w14:paraId="397B1D97" w14:textId="77777777" w:rsidR="006037FE" w:rsidRPr="00E75D8C" w:rsidRDefault="006037FE" w:rsidP="006037FE">
      <w:pPr>
        <w:rPr>
          <w:lang w:val="en-US"/>
        </w:rPr>
      </w:pPr>
      <w:r w:rsidRPr="00E75D8C">
        <w:rPr>
          <w:lang w:val="en-US"/>
        </w:rPr>
        <w:t>The name "Ainos" is a combination of "AI" and "Nose" to reflect the Company's commitment to empowering individuals to manage their health more effectively with next-generation AI-driven POCT solutions. To learn more, visit </w:t>
      </w:r>
      <w:hyperlink r:id="rId6" w:history="1">
        <w:r w:rsidRPr="00E75D8C">
          <w:rPr>
            <w:rStyle w:val="Hyperlink"/>
            <w:lang w:val="en-US"/>
          </w:rPr>
          <w:t>https://www.ainos.com</w:t>
        </w:r>
      </w:hyperlink>
      <w:r w:rsidRPr="00E75D8C">
        <w:rPr>
          <w:lang w:val="en-US"/>
        </w:rPr>
        <w:t>.</w:t>
      </w:r>
    </w:p>
    <w:p w14:paraId="432B0EA2" w14:textId="77777777" w:rsidR="006037FE" w:rsidRPr="00E75D8C" w:rsidRDefault="006037FE" w:rsidP="006037FE">
      <w:pPr>
        <w:rPr>
          <w:lang w:val="en-US"/>
        </w:rPr>
      </w:pPr>
      <w:r w:rsidRPr="00E75D8C">
        <w:rPr>
          <w:lang w:val="en-US"/>
        </w:rPr>
        <w:t xml:space="preserve">Follow Ainos on X, formerly known as Twitter, (@AinosInc) and LinkedIn to stay </w:t>
      </w:r>
      <w:proofErr w:type="gramStart"/>
      <w:r w:rsidRPr="00E75D8C">
        <w:rPr>
          <w:lang w:val="en-US"/>
        </w:rPr>
        <w:t>up-to-date</w:t>
      </w:r>
      <w:proofErr w:type="gramEnd"/>
      <w:r w:rsidRPr="00E75D8C">
        <w:rPr>
          <w:lang w:val="en-US"/>
        </w:rPr>
        <w:t>.</w:t>
      </w:r>
    </w:p>
    <w:p w14:paraId="5C394217" w14:textId="77777777" w:rsidR="006037FE" w:rsidRPr="00E75D8C" w:rsidRDefault="006037FE" w:rsidP="006037FE">
      <w:pPr>
        <w:rPr>
          <w:lang w:val="en-US"/>
        </w:rPr>
      </w:pPr>
    </w:p>
    <w:p w14:paraId="65DD4274" w14:textId="77777777" w:rsidR="006037FE" w:rsidRPr="00E75D8C" w:rsidRDefault="006037FE" w:rsidP="006037FE">
      <w:pPr>
        <w:rPr>
          <w:lang w:val="en-US"/>
        </w:rPr>
      </w:pPr>
      <w:r w:rsidRPr="00E75D8C">
        <w:rPr>
          <w:b/>
          <w:bCs/>
          <w:lang w:val="en-US"/>
        </w:rPr>
        <w:t>Safe Harbor Statements</w:t>
      </w:r>
    </w:p>
    <w:p w14:paraId="744B41AA" w14:textId="77777777" w:rsidR="006037FE" w:rsidRPr="00E75D8C" w:rsidRDefault="006037FE" w:rsidP="006037FE">
      <w:pPr>
        <w:rPr>
          <w:lang w:val="en-US"/>
        </w:rPr>
      </w:pPr>
      <w:r w:rsidRPr="00E75D8C">
        <w:rPr>
          <w:lang w:val="en-US"/>
        </w:rPr>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06231BAF" w14:textId="77777777" w:rsidR="006037FE" w:rsidRPr="00E75D8C" w:rsidRDefault="006037FE" w:rsidP="006037FE">
      <w:pPr>
        <w:rPr>
          <w:lang w:val="en-US"/>
        </w:rPr>
      </w:pPr>
      <w:r w:rsidRPr="00E75D8C">
        <w:rPr>
          <w:lang w:val="en-US"/>
        </w:rPr>
        <w:t>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0BE9C50B" w14:textId="77777777" w:rsidR="006037FE" w:rsidRPr="00E75D8C" w:rsidRDefault="006037FE" w:rsidP="006037FE">
      <w:pPr>
        <w:rPr>
          <w:lang w:val="en-US"/>
        </w:rPr>
      </w:pPr>
      <w:r w:rsidRPr="00E75D8C">
        <w:rPr>
          <w:lang w:val="en-US"/>
        </w:rPr>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13B2E60E" w14:textId="77777777" w:rsidR="006037FE" w:rsidRPr="00E75D8C" w:rsidRDefault="006037FE" w:rsidP="006037FE">
      <w:pPr>
        <w:rPr>
          <w:lang w:val="en-US"/>
        </w:rPr>
      </w:pPr>
    </w:p>
    <w:p w14:paraId="223900E1" w14:textId="77777777" w:rsidR="006037FE" w:rsidRPr="00E75D8C" w:rsidRDefault="006037FE" w:rsidP="006037FE">
      <w:pPr>
        <w:rPr>
          <w:lang w:val="en-US"/>
        </w:rPr>
      </w:pPr>
      <w:r w:rsidRPr="00E75D8C">
        <w:rPr>
          <w:b/>
          <w:bCs/>
          <w:lang w:val="en-US"/>
        </w:rPr>
        <w:t>Investor Relations Contact</w:t>
      </w:r>
    </w:p>
    <w:p w14:paraId="7FE36EF5" w14:textId="77777777" w:rsidR="006037FE" w:rsidRPr="006037FE" w:rsidRDefault="006037FE" w:rsidP="006037FE">
      <w:pPr>
        <w:rPr>
          <w:lang w:val="en-US"/>
        </w:rPr>
      </w:pPr>
      <w:proofErr w:type="spellStart"/>
      <w:r w:rsidRPr="00E75D8C">
        <w:rPr>
          <w:lang w:val="en-US"/>
        </w:rPr>
        <w:t>Feifei</w:t>
      </w:r>
      <w:proofErr w:type="spellEnd"/>
      <w:r w:rsidRPr="00E75D8C">
        <w:rPr>
          <w:lang w:val="en-US"/>
        </w:rPr>
        <w:t xml:space="preserve"> Shen</w:t>
      </w:r>
      <w:r w:rsidRPr="00E75D8C">
        <w:rPr>
          <w:lang w:val="en-US"/>
        </w:rPr>
        <w:br/>
        <w:t>Email: </w:t>
      </w:r>
      <w:hyperlink r:id="rId7" w:history="1">
        <w:r w:rsidRPr="00E75D8C">
          <w:rPr>
            <w:rStyle w:val="Hyperlink"/>
            <w:lang w:val="en-US"/>
          </w:rPr>
          <w:t>IR@ainos.com</w:t>
        </w:r>
      </w:hyperlink>
    </w:p>
    <w:p w14:paraId="06DC6536" w14:textId="77777777" w:rsidR="00952EAB" w:rsidRPr="00E75D8C" w:rsidRDefault="00952EAB">
      <w:pPr>
        <w:rPr>
          <w:lang w:val="en-US"/>
        </w:rPr>
      </w:pPr>
    </w:p>
    <w:sectPr w:rsidR="00952EAB" w:rsidRPr="00E75D8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E29432" w14:textId="77777777" w:rsidR="00345D1C" w:rsidRDefault="00345D1C" w:rsidP="00470506">
      <w:pPr>
        <w:spacing w:after="0" w:line="240" w:lineRule="auto"/>
      </w:pPr>
      <w:r>
        <w:separator/>
      </w:r>
    </w:p>
  </w:endnote>
  <w:endnote w:type="continuationSeparator" w:id="0">
    <w:p w14:paraId="62975BF5" w14:textId="77777777" w:rsidR="00345D1C" w:rsidRDefault="00345D1C" w:rsidP="00470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57C4F" w14:textId="77777777" w:rsidR="00345D1C" w:rsidRDefault="00345D1C" w:rsidP="00470506">
      <w:pPr>
        <w:spacing w:after="0" w:line="240" w:lineRule="auto"/>
      </w:pPr>
      <w:r>
        <w:separator/>
      </w:r>
    </w:p>
  </w:footnote>
  <w:footnote w:type="continuationSeparator" w:id="0">
    <w:p w14:paraId="220A79E7" w14:textId="77777777" w:rsidR="00345D1C" w:rsidRDefault="00345D1C" w:rsidP="004705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EAB"/>
    <w:rsid w:val="00000EE9"/>
    <w:rsid w:val="0005761D"/>
    <w:rsid w:val="00085288"/>
    <w:rsid w:val="000C2B39"/>
    <w:rsid w:val="0022127D"/>
    <w:rsid w:val="002D5F79"/>
    <w:rsid w:val="002E32D2"/>
    <w:rsid w:val="003447E9"/>
    <w:rsid w:val="00345D1C"/>
    <w:rsid w:val="003C284F"/>
    <w:rsid w:val="003D1C00"/>
    <w:rsid w:val="00470506"/>
    <w:rsid w:val="00490118"/>
    <w:rsid w:val="004C0E69"/>
    <w:rsid w:val="005C54D6"/>
    <w:rsid w:val="006037FE"/>
    <w:rsid w:val="0069164C"/>
    <w:rsid w:val="007765A1"/>
    <w:rsid w:val="00844863"/>
    <w:rsid w:val="00952EAB"/>
    <w:rsid w:val="009550C4"/>
    <w:rsid w:val="009815FD"/>
    <w:rsid w:val="009827E5"/>
    <w:rsid w:val="00A46E3B"/>
    <w:rsid w:val="00AB4C3B"/>
    <w:rsid w:val="00B472E6"/>
    <w:rsid w:val="00BF0F69"/>
    <w:rsid w:val="00CD08C8"/>
    <w:rsid w:val="00D50C4B"/>
    <w:rsid w:val="00DA211A"/>
    <w:rsid w:val="00DB0444"/>
    <w:rsid w:val="00E31CB1"/>
    <w:rsid w:val="00E75D8C"/>
    <w:rsid w:val="00EF170E"/>
    <w:rsid w:val="00EF29DB"/>
    <w:rsid w:val="00F57ED7"/>
    <w:rsid w:val="00FA77F8"/>
  </w:rsids>
  <m:mathPr>
    <m:mathFont m:val="Cambria Math"/>
    <m:brkBin m:val="before"/>
    <m:brkBinSub m:val="--"/>
    <m:smallFrac m:val="0"/>
    <m:dispDef/>
    <m:lMargin m:val="0"/>
    <m:rMargin m:val="0"/>
    <m:defJc m:val="centerGroup"/>
    <m:wrapIndent m:val="1440"/>
    <m:intLim m:val="subSup"/>
    <m:naryLim m:val="undOvr"/>
  </m:mathPr>
  <w:themeFontLang w:val="en-TW"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479FFB"/>
  <w15:chartTrackingRefBased/>
  <w15:docId w15:val="{86F24BB1-93E1-E743-8836-A611D5107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TW"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2E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2E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2E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2E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2E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2E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E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E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E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E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2E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2E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2E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2E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2E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E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E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EAB"/>
    <w:rPr>
      <w:rFonts w:eastAsiaTheme="majorEastAsia" w:cstheme="majorBidi"/>
      <w:color w:val="272727" w:themeColor="text1" w:themeTint="D8"/>
    </w:rPr>
  </w:style>
  <w:style w:type="paragraph" w:styleId="Title">
    <w:name w:val="Title"/>
    <w:basedOn w:val="Normal"/>
    <w:next w:val="Normal"/>
    <w:link w:val="TitleChar"/>
    <w:uiPriority w:val="10"/>
    <w:qFormat/>
    <w:rsid w:val="00952E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2E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2E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2E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2EAB"/>
    <w:pPr>
      <w:spacing w:before="160"/>
      <w:jc w:val="center"/>
    </w:pPr>
    <w:rPr>
      <w:i/>
      <w:iCs/>
      <w:color w:val="404040" w:themeColor="text1" w:themeTint="BF"/>
    </w:rPr>
  </w:style>
  <w:style w:type="character" w:customStyle="1" w:styleId="QuoteChar">
    <w:name w:val="Quote Char"/>
    <w:basedOn w:val="DefaultParagraphFont"/>
    <w:link w:val="Quote"/>
    <w:uiPriority w:val="29"/>
    <w:rsid w:val="00952EAB"/>
    <w:rPr>
      <w:i/>
      <w:iCs/>
      <w:color w:val="404040" w:themeColor="text1" w:themeTint="BF"/>
    </w:rPr>
  </w:style>
  <w:style w:type="paragraph" w:styleId="ListParagraph">
    <w:name w:val="List Paragraph"/>
    <w:basedOn w:val="Normal"/>
    <w:uiPriority w:val="34"/>
    <w:qFormat/>
    <w:rsid w:val="00952EAB"/>
    <w:pPr>
      <w:ind w:left="720"/>
      <w:contextualSpacing/>
    </w:pPr>
  </w:style>
  <w:style w:type="character" w:styleId="IntenseEmphasis">
    <w:name w:val="Intense Emphasis"/>
    <w:basedOn w:val="DefaultParagraphFont"/>
    <w:uiPriority w:val="21"/>
    <w:qFormat/>
    <w:rsid w:val="00952EAB"/>
    <w:rPr>
      <w:i/>
      <w:iCs/>
      <w:color w:val="0F4761" w:themeColor="accent1" w:themeShade="BF"/>
    </w:rPr>
  </w:style>
  <w:style w:type="paragraph" w:styleId="IntenseQuote">
    <w:name w:val="Intense Quote"/>
    <w:basedOn w:val="Normal"/>
    <w:next w:val="Normal"/>
    <w:link w:val="IntenseQuoteChar"/>
    <w:uiPriority w:val="30"/>
    <w:qFormat/>
    <w:rsid w:val="00952E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2EAB"/>
    <w:rPr>
      <w:i/>
      <w:iCs/>
      <w:color w:val="0F4761" w:themeColor="accent1" w:themeShade="BF"/>
    </w:rPr>
  </w:style>
  <w:style w:type="character" w:styleId="IntenseReference">
    <w:name w:val="Intense Reference"/>
    <w:basedOn w:val="DefaultParagraphFont"/>
    <w:uiPriority w:val="32"/>
    <w:qFormat/>
    <w:rsid w:val="00952EAB"/>
    <w:rPr>
      <w:b/>
      <w:bCs/>
      <w:smallCaps/>
      <w:color w:val="0F4761" w:themeColor="accent1" w:themeShade="BF"/>
      <w:spacing w:val="5"/>
    </w:rPr>
  </w:style>
  <w:style w:type="paragraph" w:styleId="Revision">
    <w:name w:val="Revision"/>
    <w:hidden/>
    <w:uiPriority w:val="99"/>
    <w:semiHidden/>
    <w:rsid w:val="00952EAB"/>
    <w:pPr>
      <w:spacing w:after="0" w:line="240" w:lineRule="auto"/>
    </w:pPr>
  </w:style>
  <w:style w:type="character" w:styleId="CommentReference">
    <w:name w:val="annotation reference"/>
    <w:basedOn w:val="DefaultParagraphFont"/>
    <w:uiPriority w:val="99"/>
    <w:semiHidden/>
    <w:unhideWhenUsed/>
    <w:rsid w:val="0022127D"/>
    <w:rPr>
      <w:sz w:val="16"/>
      <w:szCs w:val="16"/>
    </w:rPr>
  </w:style>
  <w:style w:type="paragraph" w:styleId="CommentText">
    <w:name w:val="annotation text"/>
    <w:basedOn w:val="Normal"/>
    <w:link w:val="CommentTextChar"/>
    <w:uiPriority w:val="99"/>
    <w:semiHidden/>
    <w:unhideWhenUsed/>
    <w:rsid w:val="0022127D"/>
    <w:pPr>
      <w:spacing w:line="240" w:lineRule="auto"/>
    </w:pPr>
    <w:rPr>
      <w:sz w:val="20"/>
      <w:szCs w:val="20"/>
    </w:rPr>
  </w:style>
  <w:style w:type="character" w:customStyle="1" w:styleId="CommentTextChar">
    <w:name w:val="Comment Text Char"/>
    <w:basedOn w:val="DefaultParagraphFont"/>
    <w:link w:val="CommentText"/>
    <w:uiPriority w:val="99"/>
    <w:semiHidden/>
    <w:rsid w:val="0022127D"/>
    <w:rPr>
      <w:sz w:val="20"/>
      <w:szCs w:val="20"/>
    </w:rPr>
  </w:style>
  <w:style w:type="paragraph" w:styleId="CommentSubject">
    <w:name w:val="annotation subject"/>
    <w:basedOn w:val="CommentText"/>
    <w:next w:val="CommentText"/>
    <w:link w:val="CommentSubjectChar"/>
    <w:uiPriority w:val="99"/>
    <w:semiHidden/>
    <w:unhideWhenUsed/>
    <w:rsid w:val="0022127D"/>
    <w:rPr>
      <w:b/>
      <w:bCs/>
    </w:rPr>
  </w:style>
  <w:style w:type="character" w:customStyle="1" w:styleId="CommentSubjectChar">
    <w:name w:val="Comment Subject Char"/>
    <w:basedOn w:val="CommentTextChar"/>
    <w:link w:val="CommentSubject"/>
    <w:uiPriority w:val="99"/>
    <w:semiHidden/>
    <w:rsid w:val="0022127D"/>
    <w:rPr>
      <w:b/>
      <w:bCs/>
      <w:sz w:val="20"/>
      <w:szCs w:val="20"/>
    </w:rPr>
  </w:style>
  <w:style w:type="character" w:styleId="Hyperlink">
    <w:name w:val="Hyperlink"/>
    <w:basedOn w:val="DefaultParagraphFont"/>
    <w:uiPriority w:val="99"/>
    <w:unhideWhenUsed/>
    <w:rsid w:val="006037FE"/>
    <w:rPr>
      <w:color w:val="467886" w:themeColor="hyperlink"/>
      <w:u w:val="single"/>
    </w:rPr>
  </w:style>
  <w:style w:type="character" w:styleId="UnresolvedMention">
    <w:name w:val="Unresolved Mention"/>
    <w:basedOn w:val="DefaultParagraphFont"/>
    <w:uiPriority w:val="99"/>
    <w:semiHidden/>
    <w:unhideWhenUsed/>
    <w:rsid w:val="006037FE"/>
    <w:rPr>
      <w:color w:val="605E5C"/>
      <w:shd w:val="clear" w:color="auto" w:fill="E1DFDD"/>
    </w:rPr>
  </w:style>
  <w:style w:type="paragraph" w:styleId="Header">
    <w:name w:val="header"/>
    <w:basedOn w:val="Normal"/>
    <w:link w:val="HeaderChar"/>
    <w:uiPriority w:val="99"/>
    <w:unhideWhenUsed/>
    <w:rsid w:val="00470506"/>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470506"/>
    <w:rPr>
      <w:sz w:val="18"/>
      <w:szCs w:val="18"/>
    </w:rPr>
  </w:style>
  <w:style w:type="paragraph" w:styleId="Footer">
    <w:name w:val="footer"/>
    <w:basedOn w:val="Normal"/>
    <w:link w:val="FooterChar"/>
    <w:uiPriority w:val="99"/>
    <w:unhideWhenUsed/>
    <w:rsid w:val="00470506"/>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4705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280603">
      <w:bodyDiv w:val="1"/>
      <w:marLeft w:val="0"/>
      <w:marRight w:val="0"/>
      <w:marTop w:val="0"/>
      <w:marBottom w:val="0"/>
      <w:divBdr>
        <w:top w:val="none" w:sz="0" w:space="0" w:color="auto"/>
        <w:left w:val="none" w:sz="0" w:space="0" w:color="auto"/>
        <w:bottom w:val="none" w:sz="0" w:space="0" w:color="auto"/>
        <w:right w:val="none" w:sz="0" w:space="0" w:color="auto"/>
      </w:divBdr>
    </w:div>
    <w:div w:id="1002778045">
      <w:bodyDiv w:val="1"/>
      <w:marLeft w:val="0"/>
      <w:marRight w:val="0"/>
      <w:marTop w:val="0"/>
      <w:marBottom w:val="0"/>
      <w:divBdr>
        <w:top w:val="none" w:sz="0" w:space="0" w:color="auto"/>
        <w:left w:val="none" w:sz="0" w:space="0" w:color="auto"/>
        <w:bottom w:val="none" w:sz="0" w:space="0" w:color="auto"/>
        <w:right w:val="none" w:sz="0" w:space="0" w:color="auto"/>
      </w:divBdr>
    </w:div>
    <w:div w:id="1334602538">
      <w:bodyDiv w:val="1"/>
      <w:marLeft w:val="0"/>
      <w:marRight w:val="0"/>
      <w:marTop w:val="0"/>
      <w:marBottom w:val="0"/>
      <w:divBdr>
        <w:top w:val="none" w:sz="0" w:space="0" w:color="auto"/>
        <w:left w:val="none" w:sz="0" w:space="0" w:color="auto"/>
        <w:bottom w:val="none" w:sz="0" w:space="0" w:color="auto"/>
        <w:right w:val="none" w:sz="0" w:space="0" w:color="auto"/>
      </w:divBdr>
    </w:div>
    <w:div w:id="144048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pr.report/41m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report/41m2"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1745</Words>
  <Characters>9947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Ainos, Inc.</Company>
  <LinksUpToDate>false</LinksUpToDate>
  <CharactersWithSpaces>11669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Lu</dc:creator>
  <cp:keywords/>
  <dc:description/>
  <cp:lastModifiedBy>Jack Lu</cp:lastModifiedBy>
  <cp:revision>5</cp:revision>
  <cp:lastPrinted>2024-11-07T06:34:00Z</cp:lastPrinted>
  <dcterms:created xsi:type="dcterms:W3CDTF">2024-11-07T08:33:00Z</dcterms:created>
  <dcterms:modified xsi:type="dcterms:W3CDTF">2024-11-11T01:56:00Z</dcterms:modified>
</cp:coreProperties>
</file>