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43525" w14:textId="55120D73" w:rsidR="000262E3" w:rsidRDefault="000262E3" w:rsidP="000262E3">
      <w:pPr>
        <w:jc w:val="center"/>
        <w:rPr>
          <w:rFonts w:ascii="Times New Roman" w:hAnsi="Times New Roman"/>
          <w:b/>
          <w:bCs/>
          <w:sz w:val="28"/>
          <w:szCs w:val="28"/>
        </w:rPr>
      </w:pPr>
      <w:r w:rsidRPr="00067CE8">
        <w:rPr>
          <w:rFonts w:ascii="Times New Roman" w:hAnsi="Times New Roman"/>
          <w:b/>
          <w:bCs/>
          <w:sz w:val="28"/>
          <w:szCs w:val="28"/>
        </w:rPr>
        <w:t xml:space="preserve">Interactive Strength Inc. (Nasdaq: TRNR) </w:t>
      </w:r>
      <w:r w:rsidR="00231679">
        <w:rPr>
          <w:rFonts w:ascii="Times New Roman" w:hAnsi="Times New Roman"/>
          <w:b/>
          <w:bCs/>
          <w:sz w:val="28"/>
          <w:szCs w:val="28"/>
        </w:rPr>
        <w:t xml:space="preserve">Signs </w:t>
      </w:r>
      <w:r w:rsidR="00F70529">
        <w:rPr>
          <w:rFonts w:ascii="Times New Roman" w:hAnsi="Times New Roman"/>
          <w:b/>
          <w:bCs/>
          <w:sz w:val="28"/>
          <w:szCs w:val="28"/>
        </w:rPr>
        <w:t xml:space="preserve">Binding Agreement </w:t>
      </w:r>
      <w:r w:rsidR="00231679">
        <w:rPr>
          <w:rFonts w:ascii="Times New Roman" w:hAnsi="Times New Roman"/>
          <w:b/>
          <w:bCs/>
          <w:sz w:val="28"/>
          <w:szCs w:val="28"/>
        </w:rPr>
        <w:t xml:space="preserve">to Acquire </w:t>
      </w:r>
      <w:proofErr w:type="spellStart"/>
      <w:r w:rsidR="002A72E8">
        <w:rPr>
          <w:rFonts w:ascii="Times New Roman" w:hAnsi="Times New Roman"/>
          <w:b/>
          <w:bCs/>
          <w:sz w:val="28"/>
          <w:szCs w:val="28"/>
        </w:rPr>
        <w:t>Sportstech</w:t>
      </w:r>
      <w:proofErr w:type="spellEnd"/>
      <w:r w:rsidR="00F70529">
        <w:rPr>
          <w:rFonts w:ascii="Times New Roman" w:hAnsi="Times New Roman"/>
          <w:b/>
          <w:bCs/>
          <w:sz w:val="28"/>
          <w:szCs w:val="28"/>
        </w:rPr>
        <w:t>, a Profitable</w:t>
      </w:r>
      <w:r w:rsidR="002A72E8">
        <w:rPr>
          <w:rFonts w:ascii="Times New Roman" w:hAnsi="Times New Roman"/>
          <w:b/>
          <w:bCs/>
          <w:sz w:val="28"/>
          <w:szCs w:val="28"/>
        </w:rPr>
        <w:t xml:space="preserve"> </w:t>
      </w:r>
      <w:r w:rsidR="00F70529">
        <w:rPr>
          <w:rFonts w:ascii="Times New Roman" w:hAnsi="Times New Roman"/>
          <w:b/>
          <w:bCs/>
          <w:sz w:val="28"/>
          <w:szCs w:val="28"/>
        </w:rPr>
        <w:t>$40M+ Revenue</w:t>
      </w:r>
      <w:r w:rsidR="00231679" w:rsidRPr="00231679">
        <w:rPr>
          <w:rFonts w:ascii="Times New Roman" w:hAnsi="Times New Roman"/>
          <w:b/>
          <w:bCs/>
          <w:sz w:val="28"/>
          <w:szCs w:val="28"/>
        </w:rPr>
        <w:t xml:space="preserve"> C</w:t>
      </w:r>
      <w:r w:rsidR="00231679">
        <w:rPr>
          <w:rFonts w:ascii="Times New Roman" w:hAnsi="Times New Roman"/>
          <w:b/>
          <w:bCs/>
          <w:sz w:val="28"/>
          <w:szCs w:val="28"/>
        </w:rPr>
        <w:t>onnected</w:t>
      </w:r>
      <w:r w:rsidR="00231679" w:rsidRPr="00231679">
        <w:rPr>
          <w:rFonts w:ascii="Times New Roman" w:hAnsi="Times New Roman"/>
          <w:b/>
          <w:bCs/>
          <w:sz w:val="28"/>
          <w:szCs w:val="28"/>
        </w:rPr>
        <w:t>-F</w:t>
      </w:r>
      <w:r w:rsidR="00231679">
        <w:rPr>
          <w:rFonts w:ascii="Times New Roman" w:hAnsi="Times New Roman"/>
          <w:b/>
          <w:bCs/>
          <w:sz w:val="28"/>
          <w:szCs w:val="28"/>
        </w:rPr>
        <w:t xml:space="preserve">itness </w:t>
      </w:r>
      <w:r w:rsidR="00231679" w:rsidRPr="00231679">
        <w:rPr>
          <w:rFonts w:ascii="Times New Roman" w:hAnsi="Times New Roman"/>
          <w:b/>
          <w:bCs/>
          <w:sz w:val="28"/>
          <w:szCs w:val="28"/>
        </w:rPr>
        <w:t>E</w:t>
      </w:r>
      <w:r w:rsidR="00231679">
        <w:rPr>
          <w:rFonts w:ascii="Times New Roman" w:hAnsi="Times New Roman"/>
          <w:b/>
          <w:bCs/>
          <w:sz w:val="28"/>
          <w:szCs w:val="28"/>
        </w:rPr>
        <w:t xml:space="preserve">quipment </w:t>
      </w:r>
      <w:r w:rsidR="00231679" w:rsidRPr="00231679">
        <w:rPr>
          <w:rFonts w:ascii="Times New Roman" w:hAnsi="Times New Roman"/>
          <w:b/>
          <w:bCs/>
          <w:sz w:val="28"/>
          <w:szCs w:val="28"/>
        </w:rPr>
        <w:t>B</w:t>
      </w:r>
      <w:r w:rsidR="00231679">
        <w:rPr>
          <w:rFonts w:ascii="Times New Roman" w:hAnsi="Times New Roman"/>
          <w:b/>
          <w:bCs/>
          <w:sz w:val="28"/>
          <w:szCs w:val="28"/>
        </w:rPr>
        <w:t>usiness</w:t>
      </w:r>
      <w:r w:rsidR="00231679" w:rsidRPr="00231679">
        <w:rPr>
          <w:rFonts w:ascii="Times New Roman" w:hAnsi="Times New Roman"/>
          <w:b/>
          <w:bCs/>
          <w:sz w:val="28"/>
          <w:szCs w:val="28"/>
        </w:rPr>
        <w:t xml:space="preserve"> </w:t>
      </w:r>
    </w:p>
    <w:p w14:paraId="4FB72B20" w14:textId="74CF34F6" w:rsidR="002A72E8" w:rsidRPr="002A72E8" w:rsidRDefault="002A72E8" w:rsidP="002A72E8">
      <w:pPr>
        <w:spacing w:before="240" w:after="240"/>
        <w:jc w:val="center"/>
        <w:rPr>
          <w:rFonts w:ascii="Times New Roman" w:eastAsia="Calibri" w:hAnsi="Times New Roman" w:cs="Times New Roman"/>
          <w:i/>
          <w:iCs/>
          <w:sz w:val="24"/>
          <w:szCs w:val="24"/>
        </w:rPr>
      </w:pPr>
      <w:r w:rsidRPr="002A72E8">
        <w:rPr>
          <w:rFonts w:ascii="Times New Roman" w:eastAsia="Calibri" w:hAnsi="Times New Roman" w:cs="Times New Roman"/>
          <w:i/>
          <w:iCs/>
          <w:sz w:val="24"/>
          <w:szCs w:val="24"/>
        </w:rPr>
        <w:t xml:space="preserve">TRNR is expected to generate more than $50M in revenue in 2025 on a </w:t>
      </w:r>
      <w:proofErr w:type="gramStart"/>
      <w:r w:rsidRPr="002A72E8">
        <w:rPr>
          <w:rFonts w:ascii="Times New Roman" w:eastAsia="Calibri" w:hAnsi="Times New Roman" w:cs="Times New Roman"/>
          <w:i/>
          <w:iCs/>
          <w:sz w:val="24"/>
          <w:szCs w:val="24"/>
        </w:rPr>
        <w:t>pro forma</w:t>
      </w:r>
      <w:proofErr w:type="gramEnd"/>
      <w:r w:rsidRPr="002A72E8">
        <w:rPr>
          <w:rFonts w:ascii="Times New Roman" w:eastAsia="Calibri" w:hAnsi="Times New Roman" w:cs="Times New Roman"/>
          <w:i/>
          <w:iCs/>
          <w:sz w:val="24"/>
          <w:szCs w:val="24"/>
        </w:rPr>
        <w:t xml:space="preserve"> basis and achieve EBITDA profitability in H2 </w:t>
      </w:r>
      <w:r w:rsidR="00EF28CC">
        <w:rPr>
          <w:rFonts w:ascii="Times New Roman" w:eastAsia="Calibri" w:hAnsi="Times New Roman" w:cs="Times New Roman"/>
          <w:i/>
          <w:iCs/>
          <w:sz w:val="24"/>
          <w:szCs w:val="24"/>
        </w:rPr>
        <w:t>‘</w:t>
      </w:r>
      <w:r w:rsidRPr="002A72E8">
        <w:rPr>
          <w:rFonts w:ascii="Times New Roman" w:eastAsia="Calibri" w:hAnsi="Times New Roman" w:cs="Times New Roman"/>
          <w:i/>
          <w:iCs/>
          <w:sz w:val="24"/>
          <w:szCs w:val="24"/>
        </w:rPr>
        <w:t>25</w:t>
      </w:r>
    </w:p>
    <w:p w14:paraId="7A1E7E49" w14:textId="5E57D28B" w:rsidR="002A72E8" w:rsidRPr="002A72E8" w:rsidRDefault="002A72E8" w:rsidP="002A72E8">
      <w:pPr>
        <w:spacing w:before="240" w:after="240"/>
        <w:jc w:val="center"/>
        <w:rPr>
          <w:rFonts w:ascii="Times New Roman" w:eastAsia="Calibri" w:hAnsi="Times New Roman" w:cs="Times New Roman"/>
          <w:i/>
          <w:iCs/>
          <w:sz w:val="24"/>
          <w:szCs w:val="24"/>
        </w:rPr>
      </w:pPr>
      <w:r>
        <w:rPr>
          <w:rFonts w:ascii="Times New Roman" w:eastAsia="Calibri" w:hAnsi="Times New Roman" w:cs="Times New Roman"/>
          <w:i/>
          <w:iCs/>
          <w:sz w:val="24"/>
          <w:szCs w:val="24"/>
        </w:rPr>
        <w:t>Sportstech</w:t>
      </w:r>
      <w:r w:rsidRPr="002A72E8">
        <w:rPr>
          <w:rFonts w:ascii="Times New Roman" w:eastAsia="Calibri" w:hAnsi="Times New Roman" w:cs="Times New Roman"/>
          <w:i/>
          <w:iCs/>
          <w:sz w:val="24"/>
          <w:szCs w:val="24"/>
        </w:rPr>
        <w:t xml:space="preserve"> is </w:t>
      </w:r>
      <w:r>
        <w:rPr>
          <w:rFonts w:ascii="Times New Roman" w:eastAsia="Calibri" w:hAnsi="Times New Roman" w:cs="Times New Roman"/>
          <w:i/>
          <w:iCs/>
          <w:sz w:val="24"/>
          <w:szCs w:val="24"/>
        </w:rPr>
        <w:t>f</w:t>
      </w:r>
      <w:r w:rsidRPr="002A72E8">
        <w:rPr>
          <w:rFonts w:ascii="Times New Roman" w:eastAsia="Calibri" w:hAnsi="Times New Roman" w:cs="Times New Roman"/>
          <w:i/>
          <w:iCs/>
          <w:sz w:val="24"/>
          <w:szCs w:val="24"/>
        </w:rPr>
        <w:t>ounder-</w:t>
      </w:r>
      <w:r>
        <w:rPr>
          <w:rFonts w:ascii="Times New Roman" w:eastAsia="Calibri" w:hAnsi="Times New Roman" w:cs="Times New Roman"/>
          <w:i/>
          <w:iCs/>
          <w:sz w:val="24"/>
          <w:szCs w:val="24"/>
        </w:rPr>
        <w:t>l</w:t>
      </w:r>
      <w:r w:rsidRPr="002A72E8">
        <w:rPr>
          <w:rFonts w:ascii="Times New Roman" w:eastAsia="Calibri" w:hAnsi="Times New Roman" w:cs="Times New Roman"/>
          <w:i/>
          <w:iCs/>
          <w:sz w:val="24"/>
          <w:szCs w:val="24"/>
        </w:rPr>
        <w:t xml:space="preserve">ed, </w:t>
      </w:r>
      <w:r>
        <w:rPr>
          <w:rFonts w:ascii="Times New Roman" w:eastAsia="Calibri" w:hAnsi="Times New Roman" w:cs="Times New Roman"/>
          <w:i/>
          <w:iCs/>
          <w:sz w:val="24"/>
          <w:szCs w:val="24"/>
        </w:rPr>
        <w:t>having achieved p</w:t>
      </w:r>
      <w:r w:rsidRPr="002A72E8">
        <w:rPr>
          <w:rFonts w:ascii="Times New Roman" w:eastAsia="Calibri" w:hAnsi="Times New Roman" w:cs="Times New Roman"/>
          <w:i/>
          <w:iCs/>
          <w:sz w:val="24"/>
          <w:szCs w:val="24"/>
        </w:rPr>
        <w:t>rofitab</w:t>
      </w:r>
      <w:r>
        <w:rPr>
          <w:rFonts w:ascii="Times New Roman" w:eastAsia="Calibri" w:hAnsi="Times New Roman" w:cs="Times New Roman"/>
          <w:i/>
          <w:iCs/>
          <w:sz w:val="24"/>
          <w:szCs w:val="24"/>
        </w:rPr>
        <w:t xml:space="preserve">ility and scale without raising capital </w:t>
      </w:r>
      <w:r w:rsidRPr="002A72E8">
        <w:rPr>
          <w:rFonts w:ascii="Times New Roman" w:eastAsia="Calibri" w:hAnsi="Times New Roman" w:cs="Times New Roman"/>
          <w:i/>
          <w:iCs/>
          <w:sz w:val="24"/>
          <w:szCs w:val="24"/>
        </w:rPr>
        <w:t xml:space="preserve">and </w:t>
      </w:r>
      <w:r>
        <w:rPr>
          <w:rFonts w:ascii="Times New Roman" w:eastAsia="Calibri" w:hAnsi="Times New Roman" w:cs="Times New Roman"/>
          <w:i/>
          <w:iCs/>
          <w:sz w:val="24"/>
          <w:szCs w:val="24"/>
        </w:rPr>
        <w:t>h</w:t>
      </w:r>
      <w:r w:rsidRPr="002A72E8">
        <w:rPr>
          <w:rFonts w:ascii="Times New Roman" w:eastAsia="Calibri" w:hAnsi="Times New Roman" w:cs="Times New Roman"/>
          <w:i/>
          <w:iCs/>
          <w:sz w:val="24"/>
          <w:szCs w:val="24"/>
        </w:rPr>
        <w:t xml:space="preserve">as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uccessfully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old </w:t>
      </w:r>
      <w:r>
        <w:rPr>
          <w:rFonts w:ascii="Times New Roman" w:eastAsia="Calibri" w:hAnsi="Times New Roman" w:cs="Times New Roman"/>
          <w:i/>
          <w:iCs/>
          <w:sz w:val="24"/>
          <w:szCs w:val="24"/>
        </w:rPr>
        <w:t>e</w:t>
      </w:r>
      <w:r w:rsidRPr="002A72E8">
        <w:rPr>
          <w:rFonts w:ascii="Times New Roman" w:eastAsia="Calibri" w:hAnsi="Times New Roman" w:cs="Times New Roman"/>
          <w:i/>
          <w:iCs/>
          <w:sz w:val="24"/>
          <w:szCs w:val="24"/>
        </w:rPr>
        <w:t xml:space="preserve">quipment </w:t>
      </w:r>
      <w:r>
        <w:rPr>
          <w:rFonts w:ascii="Times New Roman" w:eastAsia="Calibri" w:hAnsi="Times New Roman" w:cs="Times New Roman"/>
          <w:i/>
          <w:iCs/>
          <w:sz w:val="24"/>
          <w:szCs w:val="24"/>
        </w:rPr>
        <w:t>to almost 3 million customers since 2012</w:t>
      </w:r>
    </w:p>
    <w:p w14:paraId="7EDF9E24" w14:textId="4AC865A1" w:rsidR="002A72E8" w:rsidRPr="002A72E8" w:rsidRDefault="002A72E8" w:rsidP="002A72E8">
      <w:pPr>
        <w:spacing w:before="240" w:after="240"/>
        <w:jc w:val="center"/>
        <w:rPr>
          <w:rFonts w:ascii="Times New Roman" w:eastAsia="Calibri" w:hAnsi="Times New Roman" w:cs="Times New Roman"/>
          <w:i/>
          <w:iCs/>
          <w:sz w:val="24"/>
          <w:szCs w:val="24"/>
        </w:rPr>
      </w:pPr>
      <w:r w:rsidRPr="002A72E8">
        <w:rPr>
          <w:rFonts w:ascii="Times New Roman" w:eastAsia="Calibri" w:hAnsi="Times New Roman" w:cs="Times New Roman"/>
          <w:i/>
          <w:iCs/>
          <w:sz w:val="24"/>
          <w:szCs w:val="24"/>
        </w:rPr>
        <w:t>TRNR</w:t>
      </w:r>
      <w:r w:rsidR="00EF28CC">
        <w:rPr>
          <w:rFonts w:ascii="Times New Roman" w:eastAsia="Calibri" w:hAnsi="Times New Roman" w:cs="Times New Roman"/>
          <w:i/>
          <w:iCs/>
          <w:sz w:val="24"/>
          <w:szCs w:val="24"/>
        </w:rPr>
        <w:t xml:space="preserve">’s Nasdaq </w:t>
      </w:r>
      <w:r w:rsidRPr="002A72E8">
        <w:rPr>
          <w:rFonts w:ascii="Times New Roman" w:eastAsia="Calibri" w:hAnsi="Times New Roman" w:cs="Times New Roman"/>
          <w:i/>
          <w:iCs/>
          <w:sz w:val="24"/>
          <w:szCs w:val="24"/>
        </w:rPr>
        <w:t xml:space="preserve">Listing and </w:t>
      </w:r>
      <w:r>
        <w:rPr>
          <w:rFonts w:ascii="Times New Roman" w:eastAsia="Calibri" w:hAnsi="Times New Roman" w:cs="Times New Roman"/>
          <w:i/>
          <w:iCs/>
          <w:sz w:val="24"/>
          <w:szCs w:val="24"/>
        </w:rPr>
        <w:t>g</w:t>
      </w:r>
      <w:r w:rsidRPr="002A72E8">
        <w:rPr>
          <w:rFonts w:ascii="Times New Roman" w:eastAsia="Calibri" w:hAnsi="Times New Roman" w:cs="Times New Roman"/>
          <w:i/>
          <w:iCs/>
          <w:sz w:val="24"/>
          <w:szCs w:val="24"/>
        </w:rPr>
        <w:t xml:space="preserve">lobal </w:t>
      </w:r>
      <w:r>
        <w:rPr>
          <w:rFonts w:ascii="Times New Roman" w:eastAsia="Calibri" w:hAnsi="Times New Roman" w:cs="Times New Roman"/>
          <w:i/>
          <w:iCs/>
          <w:sz w:val="24"/>
          <w:szCs w:val="24"/>
        </w:rPr>
        <w:t>p</w:t>
      </w:r>
      <w:r w:rsidRPr="002A72E8">
        <w:rPr>
          <w:rFonts w:ascii="Times New Roman" w:eastAsia="Calibri" w:hAnsi="Times New Roman" w:cs="Times New Roman"/>
          <w:i/>
          <w:iCs/>
          <w:sz w:val="24"/>
          <w:szCs w:val="24"/>
        </w:rPr>
        <w:t xml:space="preserve">resence </w:t>
      </w:r>
      <w:r>
        <w:rPr>
          <w:rFonts w:ascii="Times New Roman" w:eastAsia="Calibri" w:hAnsi="Times New Roman" w:cs="Times New Roman"/>
          <w:i/>
          <w:iCs/>
          <w:sz w:val="24"/>
          <w:szCs w:val="24"/>
        </w:rPr>
        <w:t>t</w:t>
      </w:r>
      <w:r w:rsidRPr="002A72E8">
        <w:rPr>
          <w:rFonts w:ascii="Times New Roman" w:eastAsia="Calibri" w:hAnsi="Times New Roman" w:cs="Times New Roman"/>
          <w:i/>
          <w:iCs/>
          <w:sz w:val="24"/>
          <w:szCs w:val="24"/>
        </w:rPr>
        <w:t xml:space="preserve">o </w:t>
      </w:r>
      <w:r>
        <w:rPr>
          <w:rFonts w:ascii="Times New Roman" w:eastAsia="Calibri" w:hAnsi="Times New Roman" w:cs="Times New Roman"/>
          <w:i/>
          <w:iCs/>
          <w:sz w:val="24"/>
          <w:szCs w:val="24"/>
        </w:rPr>
        <w:t>h</w:t>
      </w:r>
      <w:r w:rsidRPr="002A72E8">
        <w:rPr>
          <w:rFonts w:ascii="Times New Roman" w:eastAsia="Calibri" w:hAnsi="Times New Roman" w:cs="Times New Roman"/>
          <w:i/>
          <w:iCs/>
          <w:sz w:val="24"/>
          <w:szCs w:val="24"/>
        </w:rPr>
        <w:t xml:space="preserve">elp </w:t>
      </w:r>
      <w:r>
        <w:rPr>
          <w:rFonts w:ascii="Times New Roman" w:eastAsia="Calibri" w:hAnsi="Times New Roman" w:cs="Times New Roman"/>
          <w:i/>
          <w:iCs/>
          <w:sz w:val="24"/>
          <w:szCs w:val="24"/>
        </w:rPr>
        <w:t>Sportstech</w:t>
      </w:r>
      <w:r w:rsidRPr="002A72E8">
        <w:rPr>
          <w:rFonts w:ascii="Times New Roman" w:eastAsia="Calibri" w:hAnsi="Times New Roman" w:cs="Times New Roman"/>
          <w:i/>
          <w:iCs/>
          <w:sz w:val="24"/>
          <w:szCs w:val="24"/>
        </w:rPr>
        <w:t xml:space="preserve"> </w:t>
      </w:r>
      <w:r>
        <w:rPr>
          <w:rFonts w:ascii="Times New Roman" w:eastAsia="Calibri" w:hAnsi="Times New Roman" w:cs="Times New Roman"/>
          <w:i/>
          <w:iCs/>
          <w:sz w:val="24"/>
          <w:szCs w:val="24"/>
        </w:rPr>
        <w:t>a</w:t>
      </w:r>
      <w:r w:rsidRPr="002A72E8">
        <w:rPr>
          <w:rFonts w:ascii="Times New Roman" w:eastAsia="Calibri" w:hAnsi="Times New Roman" w:cs="Times New Roman"/>
          <w:i/>
          <w:iCs/>
          <w:sz w:val="24"/>
          <w:szCs w:val="24"/>
        </w:rPr>
        <w:t xml:space="preserve">ccelerate </w:t>
      </w:r>
      <w:r>
        <w:rPr>
          <w:rFonts w:ascii="Times New Roman" w:eastAsia="Calibri" w:hAnsi="Times New Roman" w:cs="Times New Roman"/>
          <w:i/>
          <w:iCs/>
          <w:sz w:val="24"/>
          <w:szCs w:val="24"/>
        </w:rPr>
        <w:t>g</w:t>
      </w:r>
      <w:r w:rsidRPr="002A72E8">
        <w:rPr>
          <w:rFonts w:ascii="Times New Roman" w:eastAsia="Calibri" w:hAnsi="Times New Roman" w:cs="Times New Roman"/>
          <w:i/>
          <w:iCs/>
          <w:sz w:val="24"/>
          <w:szCs w:val="24"/>
        </w:rPr>
        <w:t xml:space="preserve">rowth </w:t>
      </w:r>
      <w:r>
        <w:rPr>
          <w:rFonts w:ascii="Times New Roman" w:eastAsia="Calibri" w:hAnsi="Times New Roman" w:cs="Times New Roman"/>
          <w:i/>
          <w:iCs/>
          <w:sz w:val="24"/>
          <w:szCs w:val="24"/>
        </w:rPr>
        <w:t>beyond core markets</w:t>
      </w:r>
      <w:r w:rsidR="00B819B0">
        <w:rPr>
          <w:rFonts w:ascii="Times New Roman" w:eastAsia="Calibri" w:hAnsi="Times New Roman" w:cs="Times New Roman"/>
          <w:i/>
          <w:iCs/>
          <w:sz w:val="24"/>
          <w:szCs w:val="24"/>
        </w:rPr>
        <w:t>, most notably the US</w:t>
      </w:r>
      <w:r w:rsidRPr="002A72E8">
        <w:rPr>
          <w:rFonts w:ascii="Times New Roman" w:eastAsia="Calibri" w:hAnsi="Times New Roman" w:cs="Times New Roman"/>
          <w:i/>
          <w:iCs/>
          <w:sz w:val="24"/>
          <w:szCs w:val="24"/>
        </w:rPr>
        <w:t xml:space="preserve">; </w:t>
      </w:r>
      <w:proofErr w:type="spellStart"/>
      <w:r>
        <w:rPr>
          <w:rFonts w:ascii="Times New Roman" w:eastAsia="Calibri" w:hAnsi="Times New Roman" w:cs="Times New Roman"/>
          <w:i/>
          <w:iCs/>
          <w:sz w:val="24"/>
          <w:szCs w:val="24"/>
        </w:rPr>
        <w:t>Sportstech</w:t>
      </w:r>
      <w:r w:rsidRPr="002A72E8">
        <w:rPr>
          <w:rFonts w:ascii="Times New Roman" w:eastAsia="Calibri" w:hAnsi="Times New Roman" w:cs="Times New Roman"/>
          <w:i/>
          <w:iCs/>
          <w:sz w:val="24"/>
          <w:szCs w:val="24"/>
        </w:rPr>
        <w:t>’s</w:t>
      </w:r>
      <w:proofErr w:type="spellEnd"/>
      <w:r w:rsidRPr="002A72E8">
        <w:rPr>
          <w:rFonts w:ascii="Times New Roman" w:eastAsia="Calibri" w:hAnsi="Times New Roman" w:cs="Times New Roman"/>
          <w:i/>
          <w:iCs/>
          <w:sz w:val="24"/>
          <w:szCs w:val="24"/>
        </w:rPr>
        <w:t xml:space="preserve">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caled, </w:t>
      </w:r>
      <w:r>
        <w:rPr>
          <w:rFonts w:ascii="Times New Roman" w:eastAsia="Calibri" w:hAnsi="Times New Roman" w:cs="Times New Roman"/>
          <w:i/>
          <w:iCs/>
          <w:sz w:val="24"/>
          <w:szCs w:val="24"/>
        </w:rPr>
        <w:t>p</w:t>
      </w:r>
      <w:r w:rsidRPr="002A72E8">
        <w:rPr>
          <w:rFonts w:ascii="Times New Roman" w:eastAsia="Calibri" w:hAnsi="Times New Roman" w:cs="Times New Roman"/>
          <w:i/>
          <w:iCs/>
          <w:sz w:val="24"/>
          <w:szCs w:val="24"/>
        </w:rPr>
        <w:t xml:space="preserve">rofitable </w:t>
      </w:r>
      <w:r>
        <w:rPr>
          <w:rFonts w:ascii="Times New Roman" w:eastAsia="Calibri" w:hAnsi="Times New Roman" w:cs="Times New Roman"/>
          <w:i/>
          <w:iCs/>
          <w:sz w:val="24"/>
          <w:szCs w:val="24"/>
        </w:rPr>
        <w:t>b</w:t>
      </w:r>
      <w:r w:rsidRPr="002A72E8">
        <w:rPr>
          <w:rFonts w:ascii="Times New Roman" w:eastAsia="Calibri" w:hAnsi="Times New Roman" w:cs="Times New Roman"/>
          <w:i/>
          <w:iCs/>
          <w:sz w:val="24"/>
          <w:szCs w:val="24"/>
        </w:rPr>
        <w:t xml:space="preserve">usiness to </w:t>
      </w:r>
      <w:r>
        <w:rPr>
          <w:rFonts w:ascii="Times New Roman" w:eastAsia="Calibri" w:hAnsi="Times New Roman" w:cs="Times New Roman"/>
          <w:i/>
          <w:iCs/>
          <w:sz w:val="24"/>
          <w:szCs w:val="24"/>
        </w:rPr>
        <w:t>d</w:t>
      </w:r>
      <w:r w:rsidRPr="002A72E8">
        <w:rPr>
          <w:rFonts w:ascii="Times New Roman" w:eastAsia="Calibri" w:hAnsi="Times New Roman" w:cs="Times New Roman"/>
          <w:i/>
          <w:iCs/>
          <w:sz w:val="24"/>
          <w:szCs w:val="24"/>
        </w:rPr>
        <w:t xml:space="preserve">rive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tep-</w:t>
      </w:r>
      <w:r>
        <w:rPr>
          <w:rFonts w:ascii="Times New Roman" w:eastAsia="Calibri" w:hAnsi="Times New Roman" w:cs="Times New Roman"/>
          <w:i/>
          <w:iCs/>
          <w:sz w:val="24"/>
          <w:szCs w:val="24"/>
        </w:rPr>
        <w:t>c</w:t>
      </w:r>
      <w:r w:rsidRPr="002A72E8">
        <w:rPr>
          <w:rFonts w:ascii="Times New Roman" w:eastAsia="Calibri" w:hAnsi="Times New Roman" w:cs="Times New Roman"/>
          <w:i/>
          <w:iCs/>
          <w:sz w:val="24"/>
          <w:szCs w:val="24"/>
        </w:rPr>
        <w:t xml:space="preserve">hange for TRNR </w:t>
      </w:r>
      <w:r>
        <w:rPr>
          <w:rFonts w:ascii="Times New Roman" w:eastAsia="Calibri" w:hAnsi="Times New Roman" w:cs="Times New Roman"/>
          <w:i/>
          <w:iCs/>
          <w:sz w:val="24"/>
          <w:szCs w:val="24"/>
        </w:rPr>
        <w:t>t</w:t>
      </w:r>
      <w:r w:rsidRPr="002A72E8">
        <w:rPr>
          <w:rFonts w:ascii="Times New Roman" w:eastAsia="Calibri" w:hAnsi="Times New Roman" w:cs="Times New Roman"/>
          <w:i/>
          <w:iCs/>
          <w:sz w:val="24"/>
          <w:szCs w:val="24"/>
        </w:rPr>
        <w:t xml:space="preserve">op and </w:t>
      </w:r>
      <w:r>
        <w:rPr>
          <w:rFonts w:ascii="Times New Roman" w:eastAsia="Calibri" w:hAnsi="Times New Roman" w:cs="Times New Roman"/>
          <w:i/>
          <w:iCs/>
          <w:sz w:val="24"/>
          <w:szCs w:val="24"/>
        </w:rPr>
        <w:t>b</w:t>
      </w:r>
      <w:r w:rsidRPr="002A72E8">
        <w:rPr>
          <w:rFonts w:ascii="Times New Roman" w:eastAsia="Calibri" w:hAnsi="Times New Roman" w:cs="Times New Roman"/>
          <w:i/>
          <w:iCs/>
          <w:sz w:val="24"/>
          <w:szCs w:val="24"/>
        </w:rPr>
        <w:t xml:space="preserve">ottom </w:t>
      </w:r>
      <w:r>
        <w:rPr>
          <w:rFonts w:ascii="Times New Roman" w:eastAsia="Calibri" w:hAnsi="Times New Roman" w:cs="Times New Roman"/>
          <w:i/>
          <w:iCs/>
          <w:sz w:val="24"/>
          <w:szCs w:val="24"/>
        </w:rPr>
        <w:t>l</w:t>
      </w:r>
      <w:r w:rsidRPr="002A72E8">
        <w:rPr>
          <w:rFonts w:ascii="Times New Roman" w:eastAsia="Calibri" w:hAnsi="Times New Roman" w:cs="Times New Roman"/>
          <w:i/>
          <w:iCs/>
          <w:sz w:val="24"/>
          <w:szCs w:val="24"/>
        </w:rPr>
        <w:t>ines</w:t>
      </w:r>
    </w:p>
    <w:p w14:paraId="2DED4A51" w14:textId="7E34838F" w:rsidR="002A72E8" w:rsidRPr="002A72E8" w:rsidRDefault="002A72E8" w:rsidP="002A72E8">
      <w:pPr>
        <w:spacing w:before="240" w:after="240"/>
        <w:jc w:val="center"/>
        <w:rPr>
          <w:rFonts w:ascii="Times New Roman" w:eastAsia="Calibri" w:hAnsi="Times New Roman" w:cs="Times New Roman"/>
          <w:i/>
          <w:iCs/>
          <w:sz w:val="24"/>
          <w:szCs w:val="24"/>
        </w:rPr>
      </w:pPr>
      <w:r w:rsidRPr="002A72E8">
        <w:rPr>
          <w:rFonts w:ascii="Times New Roman" w:eastAsia="Calibri" w:hAnsi="Times New Roman" w:cs="Times New Roman"/>
          <w:i/>
          <w:iCs/>
          <w:sz w:val="24"/>
          <w:szCs w:val="24"/>
        </w:rPr>
        <w:t xml:space="preserve">Transaction </w:t>
      </w:r>
      <w:r>
        <w:rPr>
          <w:rFonts w:ascii="Times New Roman" w:eastAsia="Calibri" w:hAnsi="Times New Roman" w:cs="Times New Roman"/>
          <w:i/>
          <w:iCs/>
          <w:sz w:val="24"/>
          <w:szCs w:val="24"/>
        </w:rPr>
        <w:t>d</w:t>
      </w:r>
      <w:r w:rsidRPr="002A72E8">
        <w:rPr>
          <w:rFonts w:ascii="Times New Roman" w:eastAsia="Calibri" w:hAnsi="Times New Roman" w:cs="Times New Roman"/>
          <w:i/>
          <w:iCs/>
          <w:sz w:val="24"/>
          <w:szCs w:val="24"/>
        </w:rPr>
        <w:t xml:space="preserve">elivers on </w:t>
      </w:r>
      <w:r>
        <w:rPr>
          <w:rFonts w:ascii="Times New Roman" w:eastAsia="Calibri" w:hAnsi="Times New Roman" w:cs="Times New Roman"/>
          <w:i/>
          <w:iCs/>
          <w:sz w:val="24"/>
          <w:szCs w:val="24"/>
        </w:rPr>
        <w:t>p</w:t>
      </w:r>
      <w:r w:rsidRPr="002A72E8">
        <w:rPr>
          <w:rFonts w:ascii="Times New Roman" w:eastAsia="Calibri" w:hAnsi="Times New Roman" w:cs="Times New Roman"/>
          <w:i/>
          <w:iCs/>
          <w:sz w:val="24"/>
          <w:szCs w:val="24"/>
        </w:rPr>
        <w:t>reviously-</w:t>
      </w:r>
      <w:r>
        <w:rPr>
          <w:rFonts w:ascii="Times New Roman" w:eastAsia="Calibri" w:hAnsi="Times New Roman" w:cs="Times New Roman"/>
          <w:i/>
          <w:iCs/>
          <w:sz w:val="24"/>
          <w:szCs w:val="24"/>
        </w:rPr>
        <w:t>a</w:t>
      </w:r>
      <w:r w:rsidRPr="002A72E8">
        <w:rPr>
          <w:rFonts w:ascii="Times New Roman" w:eastAsia="Calibri" w:hAnsi="Times New Roman" w:cs="Times New Roman"/>
          <w:i/>
          <w:iCs/>
          <w:sz w:val="24"/>
          <w:szCs w:val="24"/>
        </w:rPr>
        <w:t xml:space="preserve">nnounced LOI, </w:t>
      </w:r>
      <w:r>
        <w:rPr>
          <w:rFonts w:ascii="Times New Roman" w:eastAsia="Calibri" w:hAnsi="Times New Roman" w:cs="Times New Roman"/>
          <w:i/>
          <w:iCs/>
          <w:sz w:val="24"/>
          <w:szCs w:val="24"/>
        </w:rPr>
        <w:t>c</w:t>
      </w:r>
      <w:r w:rsidRPr="002A72E8">
        <w:rPr>
          <w:rFonts w:ascii="Times New Roman" w:eastAsia="Calibri" w:hAnsi="Times New Roman" w:cs="Times New Roman"/>
          <w:i/>
          <w:iCs/>
          <w:sz w:val="24"/>
          <w:szCs w:val="24"/>
        </w:rPr>
        <w:t xml:space="preserve">ombines </w:t>
      </w:r>
      <w:r>
        <w:rPr>
          <w:rFonts w:ascii="Times New Roman" w:eastAsia="Calibri" w:hAnsi="Times New Roman" w:cs="Times New Roman"/>
          <w:i/>
          <w:iCs/>
          <w:sz w:val="24"/>
          <w:szCs w:val="24"/>
        </w:rPr>
        <w:t>h</w:t>
      </w:r>
      <w:r w:rsidRPr="002A72E8">
        <w:rPr>
          <w:rFonts w:ascii="Times New Roman" w:eastAsia="Calibri" w:hAnsi="Times New Roman" w:cs="Times New Roman"/>
          <w:i/>
          <w:iCs/>
          <w:sz w:val="24"/>
          <w:szCs w:val="24"/>
        </w:rPr>
        <w:t xml:space="preserve">ighly </w:t>
      </w:r>
      <w:r>
        <w:rPr>
          <w:rFonts w:ascii="Times New Roman" w:eastAsia="Calibri" w:hAnsi="Times New Roman" w:cs="Times New Roman"/>
          <w:i/>
          <w:iCs/>
          <w:sz w:val="24"/>
          <w:szCs w:val="24"/>
        </w:rPr>
        <w:t>c</w:t>
      </w:r>
      <w:r w:rsidRPr="002A72E8">
        <w:rPr>
          <w:rFonts w:ascii="Times New Roman" w:eastAsia="Calibri" w:hAnsi="Times New Roman" w:cs="Times New Roman"/>
          <w:i/>
          <w:iCs/>
          <w:sz w:val="24"/>
          <w:szCs w:val="24"/>
        </w:rPr>
        <w:t xml:space="preserve">omplementary </w:t>
      </w:r>
      <w:r>
        <w:rPr>
          <w:rFonts w:ascii="Times New Roman" w:eastAsia="Calibri" w:hAnsi="Times New Roman" w:cs="Times New Roman"/>
          <w:i/>
          <w:iCs/>
          <w:sz w:val="24"/>
          <w:szCs w:val="24"/>
        </w:rPr>
        <w:t>b</w:t>
      </w:r>
      <w:r w:rsidRPr="002A72E8">
        <w:rPr>
          <w:rFonts w:ascii="Times New Roman" w:eastAsia="Calibri" w:hAnsi="Times New Roman" w:cs="Times New Roman"/>
          <w:i/>
          <w:iCs/>
          <w:sz w:val="24"/>
          <w:szCs w:val="24"/>
        </w:rPr>
        <w:t xml:space="preserve">usinesses to </w:t>
      </w:r>
      <w:r>
        <w:rPr>
          <w:rFonts w:ascii="Times New Roman" w:eastAsia="Calibri" w:hAnsi="Times New Roman" w:cs="Times New Roman"/>
          <w:i/>
          <w:iCs/>
          <w:sz w:val="24"/>
          <w:szCs w:val="24"/>
        </w:rPr>
        <w:t>c</w:t>
      </w:r>
      <w:r w:rsidRPr="002A72E8">
        <w:rPr>
          <w:rFonts w:ascii="Times New Roman" w:eastAsia="Calibri" w:hAnsi="Times New Roman" w:cs="Times New Roman"/>
          <w:i/>
          <w:iCs/>
          <w:sz w:val="24"/>
          <w:szCs w:val="24"/>
        </w:rPr>
        <w:t xml:space="preserve">reate a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caled, </w:t>
      </w:r>
      <w:r>
        <w:rPr>
          <w:rFonts w:ascii="Times New Roman" w:eastAsia="Calibri" w:hAnsi="Times New Roman" w:cs="Times New Roman"/>
          <w:i/>
          <w:iCs/>
          <w:sz w:val="24"/>
          <w:szCs w:val="24"/>
        </w:rPr>
        <w:t>i</w:t>
      </w:r>
      <w:r w:rsidRPr="002A72E8">
        <w:rPr>
          <w:rFonts w:ascii="Times New Roman" w:eastAsia="Calibri" w:hAnsi="Times New Roman" w:cs="Times New Roman"/>
          <w:i/>
          <w:iCs/>
          <w:sz w:val="24"/>
          <w:szCs w:val="24"/>
        </w:rPr>
        <w:t xml:space="preserve">nternational </w:t>
      </w:r>
      <w:r>
        <w:rPr>
          <w:rFonts w:ascii="Times New Roman" w:eastAsia="Calibri" w:hAnsi="Times New Roman" w:cs="Times New Roman"/>
          <w:i/>
          <w:iCs/>
          <w:sz w:val="24"/>
          <w:szCs w:val="24"/>
        </w:rPr>
        <w:t>o</w:t>
      </w:r>
      <w:r w:rsidRPr="002A72E8">
        <w:rPr>
          <w:rFonts w:ascii="Times New Roman" w:eastAsia="Calibri" w:hAnsi="Times New Roman" w:cs="Times New Roman"/>
          <w:i/>
          <w:iCs/>
          <w:sz w:val="24"/>
          <w:szCs w:val="24"/>
        </w:rPr>
        <w:t xml:space="preserve">peration </w:t>
      </w:r>
      <w:r>
        <w:rPr>
          <w:rFonts w:ascii="Times New Roman" w:eastAsia="Calibri" w:hAnsi="Times New Roman" w:cs="Times New Roman"/>
          <w:i/>
          <w:iCs/>
          <w:sz w:val="24"/>
          <w:szCs w:val="24"/>
        </w:rPr>
        <w:t>a</w:t>
      </w:r>
      <w:r w:rsidRPr="002A72E8">
        <w:rPr>
          <w:rFonts w:ascii="Times New Roman" w:eastAsia="Calibri" w:hAnsi="Times New Roman" w:cs="Times New Roman"/>
          <w:i/>
          <w:iCs/>
          <w:sz w:val="24"/>
          <w:szCs w:val="24"/>
        </w:rPr>
        <w:t xml:space="preserve">nchored in the US and Germany, the #1 and </w:t>
      </w:r>
      <w:hyperlink r:id="rId7" w:history="1">
        <w:r w:rsidRPr="002A72E8">
          <w:rPr>
            <w:rStyle w:val="Hyperlink"/>
            <w:rFonts w:ascii="Times New Roman" w:eastAsia="Calibri" w:hAnsi="Times New Roman" w:cs="Times New Roman"/>
            <w:i/>
            <w:iCs/>
            <w:sz w:val="24"/>
            <w:szCs w:val="24"/>
          </w:rPr>
          <w:t xml:space="preserve">#2 </w:t>
        </w:r>
        <w:r>
          <w:rPr>
            <w:rStyle w:val="Hyperlink"/>
            <w:rFonts w:ascii="Times New Roman" w:eastAsia="Calibri" w:hAnsi="Times New Roman" w:cs="Times New Roman"/>
            <w:i/>
            <w:iCs/>
            <w:sz w:val="24"/>
            <w:szCs w:val="24"/>
          </w:rPr>
          <w:t>f</w:t>
        </w:r>
        <w:r w:rsidRPr="002A72E8">
          <w:rPr>
            <w:rStyle w:val="Hyperlink"/>
            <w:rFonts w:ascii="Times New Roman" w:eastAsia="Calibri" w:hAnsi="Times New Roman" w:cs="Times New Roman"/>
            <w:i/>
            <w:iCs/>
            <w:sz w:val="24"/>
            <w:szCs w:val="24"/>
          </w:rPr>
          <w:t xml:space="preserve">itness </w:t>
        </w:r>
        <w:r>
          <w:rPr>
            <w:rStyle w:val="Hyperlink"/>
            <w:rFonts w:ascii="Times New Roman" w:eastAsia="Calibri" w:hAnsi="Times New Roman" w:cs="Times New Roman"/>
            <w:i/>
            <w:iCs/>
            <w:sz w:val="24"/>
            <w:szCs w:val="24"/>
          </w:rPr>
          <w:t>m</w:t>
        </w:r>
        <w:r w:rsidRPr="002A72E8">
          <w:rPr>
            <w:rStyle w:val="Hyperlink"/>
            <w:rFonts w:ascii="Times New Roman" w:eastAsia="Calibri" w:hAnsi="Times New Roman" w:cs="Times New Roman"/>
            <w:i/>
            <w:iCs/>
            <w:sz w:val="24"/>
            <w:szCs w:val="24"/>
          </w:rPr>
          <w:t>arkets</w:t>
        </w:r>
      </w:hyperlink>
      <w:r w:rsidRPr="002A72E8">
        <w:rPr>
          <w:rFonts w:ascii="Times New Roman" w:eastAsia="Calibri" w:hAnsi="Times New Roman" w:cs="Times New Roman"/>
          <w:i/>
          <w:iCs/>
          <w:sz w:val="24"/>
          <w:szCs w:val="24"/>
        </w:rPr>
        <w:t xml:space="preserve"> </w:t>
      </w:r>
      <w:r>
        <w:rPr>
          <w:rFonts w:ascii="Times New Roman" w:eastAsia="Calibri" w:hAnsi="Times New Roman" w:cs="Times New Roman"/>
          <w:i/>
          <w:iCs/>
          <w:sz w:val="24"/>
          <w:szCs w:val="24"/>
        </w:rPr>
        <w:t>g</w:t>
      </w:r>
      <w:r w:rsidRPr="002A72E8">
        <w:rPr>
          <w:rFonts w:ascii="Times New Roman" w:eastAsia="Calibri" w:hAnsi="Times New Roman" w:cs="Times New Roman"/>
          <w:i/>
          <w:iCs/>
          <w:sz w:val="24"/>
          <w:szCs w:val="24"/>
        </w:rPr>
        <w:t>lobally</w:t>
      </w:r>
    </w:p>
    <w:p w14:paraId="35A81CFB" w14:textId="657EFB7E" w:rsidR="002A72E8" w:rsidRPr="002A72E8" w:rsidRDefault="002A72E8" w:rsidP="002A72E8">
      <w:pPr>
        <w:spacing w:before="240" w:after="240"/>
        <w:jc w:val="center"/>
        <w:rPr>
          <w:rFonts w:ascii="Times New Roman" w:eastAsia="Calibri" w:hAnsi="Times New Roman" w:cs="Times New Roman"/>
          <w:i/>
          <w:iCs/>
          <w:sz w:val="24"/>
          <w:szCs w:val="24"/>
        </w:rPr>
      </w:pPr>
      <w:r w:rsidRPr="002A72E8">
        <w:rPr>
          <w:rFonts w:ascii="Times New Roman" w:eastAsia="Calibri" w:hAnsi="Times New Roman" w:cs="Times New Roman"/>
          <w:i/>
          <w:iCs/>
          <w:sz w:val="24"/>
          <w:szCs w:val="24"/>
        </w:rPr>
        <w:t xml:space="preserve">Deal - TRNR’s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econd </w:t>
      </w:r>
      <w:r>
        <w:rPr>
          <w:rFonts w:ascii="Times New Roman" w:eastAsia="Calibri" w:hAnsi="Times New Roman" w:cs="Times New Roman"/>
          <w:i/>
          <w:iCs/>
          <w:sz w:val="24"/>
          <w:szCs w:val="24"/>
        </w:rPr>
        <w:t>w</w:t>
      </w:r>
      <w:r w:rsidRPr="002A72E8">
        <w:rPr>
          <w:rFonts w:ascii="Times New Roman" w:eastAsia="Calibri" w:hAnsi="Times New Roman" w:cs="Times New Roman"/>
          <w:i/>
          <w:iCs/>
          <w:sz w:val="24"/>
          <w:szCs w:val="24"/>
        </w:rPr>
        <w:t xml:space="preserve">ithin 12 </w:t>
      </w:r>
      <w:r>
        <w:rPr>
          <w:rFonts w:ascii="Times New Roman" w:eastAsia="Calibri" w:hAnsi="Times New Roman" w:cs="Times New Roman"/>
          <w:i/>
          <w:iCs/>
          <w:sz w:val="24"/>
          <w:szCs w:val="24"/>
        </w:rPr>
        <w:t>m</w:t>
      </w:r>
      <w:r w:rsidRPr="002A72E8">
        <w:rPr>
          <w:rFonts w:ascii="Times New Roman" w:eastAsia="Calibri" w:hAnsi="Times New Roman" w:cs="Times New Roman"/>
          <w:i/>
          <w:iCs/>
          <w:sz w:val="24"/>
          <w:szCs w:val="24"/>
        </w:rPr>
        <w:t xml:space="preserve">onths - </w:t>
      </w:r>
      <w:r>
        <w:rPr>
          <w:rFonts w:ascii="Times New Roman" w:eastAsia="Calibri" w:hAnsi="Times New Roman" w:cs="Times New Roman"/>
          <w:i/>
          <w:iCs/>
          <w:sz w:val="24"/>
          <w:szCs w:val="24"/>
        </w:rPr>
        <w:t>a</w:t>
      </w:r>
      <w:r w:rsidRPr="002A72E8">
        <w:rPr>
          <w:rFonts w:ascii="Times New Roman" w:eastAsia="Calibri" w:hAnsi="Times New Roman" w:cs="Times New Roman"/>
          <w:i/>
          <w:iCs/>
          <w:sz w:val="24"/>
          <w:szCs w:val="24"/>
        </w:rPr>
        <w:t xml:space="preserve">dvances </w:t>
      </w:r>
      <w:r>
        <w:rPr>
          <w:rFonts w:ascii="Times New Roman" w:eastAsia="Calibri" w:hAnsi="Times New Roman" w:cs="Times New Roman"/>
          <w:i/>
          <w:iCs/>
          <w:sz w:val="24"/>
          <w:szCs w:val="24"/>
        </w:rPr>
        <w:t>i</w:t>
      </w:r>
      <w:r w:rsidRPr="002A72E8">
        <w:rPr>
          <w:rFonts w:ascii="Times New Roman" w:eastAsia="Calibri" w:hAnsi="Times New Roman" w:cs="Times New Roman"/>
          <w:i/>
          <w:iCs/>
          <w:sz w:val="24"/>
          <w:szCs w:val="24"/>
        </w:rPr>
        <w:t xml:space="preserve">ts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trategy for </w:t>
      </w:r>
      <w:r>
        <w:rPr>
          <w:rFonts w:ascii="Times New Roman" w:eastAsia="Calibri" w:hAnsi="Times New Roman" w:cs="Times New Roman"/>
          <w:i/>
          <w:iCs/>
          <w:sz w:val="24"/>
          <w:szCs w:val="24"/>
        </w:rPr>
        <w:t>b</w:t>
      </w:r>
      <w:r w:rsidRPr="002A72E8">
        <w:rPr>
          <w:rFonts w:ascii="Times New Roman" w:eastAsia="Calibri" w:hAnsi="Times New Roman" w:cs="Times New Roman"/>
          <w:i/>
          <w:iCs/>
          <w:sz w:val="24"/>
          <w:szCs w:val="24"/>
        </w:rPr>
        <w:t xml:space="preserve">uilding </w:t>
      </w:r>
      <w:r>
        <w:rPr>
          <w:rFonts w:ascii="Times New Roman" w:eastAsia="Calibri" w:hAnsi="Times New Roman" w:cs="Times New Roman"/>
          <w:i/>
          <w:iCs/>
          <w:sz w:val="24"/>
          <w:szCs w:val="24"/>
        </w:rPr>
        <w:t>s</w:t>
      </w:r>
      <w:r w:rsidRPr="002A72E8">
        <w:rPr>
          <w:rFonts w:ascii="Times New Roman" w:eastAsia="Calibri" w:hAnsi="Times New Roman" w:cs="Times New Roman"/>
          <w:i/>
          <w:iCs/>
          <w:sz w:val="24"/>
          <w:szCs w:val="24"/>
        </w:rPr>
        <w:t xml:space="preserve">hareholder </w:t>
      </w:r>
      <w:r>
        <w:rPr>
          <w:rFonts w:ascii="Times New Roman" w:eastAsia="Calibri" w:hAnsi="Times New Roman" w:cs="Times New Roman"/>
          <w:i/>
          <w:iCs/>
          <w:sz w:val="24"/>
          <w:szCs w:val="24"/>
        </w:rPr>
        <w:t>v</w:t>
      </w:r>
      <w:r w:rsidRPr="002A72E8">
        <w:rPr>
          <w:rFonts w:ascii="Times New Roman" w:eastAsia="Calibri" w:hAnsi="Times New Roman" w:cs="Times New Roman"/>
          <w:i/>
          <w:iCs/>
          <w:sz w:val="24"/>
          <w:szCs w:val="24"/>
        </w:rPr>
        <w:t xml:space="preserve">alue </w:t>
      </w:r>
      <w:r>
        <w:rPr>
          <w:rFonts w:ascii="Times New Roman" w:eastAsia="Calibri" w:hAnsi="Times New Roman" w:cs="Times New Roman"/>
          <w:i/>
          <w:iCs/>
          <w:sz w:val="24"/>
          <w:szCs w:val="24"/>
        </w:rPr>
        <w:t>t</w:t>
      </w:r>
      <w:r w:rsidRPr="002A72E8">
        <w:rPr>
          <w:rFonts w:ascii="Times New Roman" w:eastAsia="Calibri" w:hAnsi="Times New Roman" w:cs="Times New Roman"/>
          <w:i/>
          <w:iCs/>
          <w:sz w:val="24"/>
          <w:szCs w:val="24"/>
        </w:rPr>
        <w:t xml:space="preserve">hrough </w:t>
      </w:r>
      <w:r>
        <w:rPr>
          <w:rFonts w:ascii="Times New Roman" w:eastAsia="Calibri" w:hAnsi="Times New Roman" w:cs="Times New Roman"/>
          <w:i/>
          <w:iCs/>
          <w:sz w:val="24"/>
          <w:szCs w:val="24"/>
        </w:rPr>
        <w:t>a</w:t>
      </w:r>
      <w:r w:rsidRPr="002A72E8">
        <w:rPr>
          <w:rFonts w:ascii="Times New Roman" w:eastAsia="Calibri" w:hAnsi="Times New Roman" w:cs="Times New Roman"/>
          <w:i/>
          <w:iCs/>
          <w:sz w:val="24"/>
          <w:szCs w:val="24"/>
        </w:rPr>
        <w:t xml:space="preserve">ccretive </w:t>
      </w:r>
      <w:r>
        <w:rPr>
          <w:rFonts w:ascii="Times New Roman" w:eastAsia="Calibri" w:hAnsi="Times New Roman" w:cs="Times New Roman"/>
          <w:i/>
          <w:iCs/>
          <w:sz w:val="24"/>
          <w:szCs w:val="24"/>
        </w:rPr>
        <w:t>a</w:t>
      </w:r>
      <w:r w:rsidRPr="002A72E8">
        <w:rPr>
          <w:rFonts w:ascii="Times New Roman" w:eastAsia="Calibri" w:hAnsi="Times New Roman" w:cs="Times New Roman"/>
          <w:i/>
          <w:iCs/>
          <w:sz w:val="24"/>
          <w:szCs w:val="24"/>
        </w:rPr>
        <w:t xml:space="preserve">cquisitions of </w:t>
      </w:r>
      <w:r>
        <w:rPr>
          <w:rFonts w:ascii="Times New Roman" w:eastAsia="Calibri" w:hAnsi="Times New Roman" w:cs="Times New Roman"/>
          <w:i/>
          <w:iCs/>
          <w:sz w:val="24"/>
          <w:szCs w:val="24"/>
        </w:rPr>
        <w:t>p</w:t>
      </w:r>
      <w:r w:rsidRPr="002A72E8">
        <w:rPr>
          <w:rFonts w:ascii="Times New Roman" w:eastAsia="Calibri" w:hAnsi="Times New Roman" w:cs="Times New Roman"/>
          <w:i/>
          <w:iCs/>
          <w:sz w:val="24"/>
          <w:szCs w:val="24"/>
        </w:rPr>
        <w:t xml:space="preserve">rofitable, </w:t>
      </w:r>
      <w:r>
        <w:rPr>
          <w:rFonts w:ascii="Times New Roman" w:eastAsia="Calibri" w:hAnsi="Times New Roman" w:cs="Times New Roman"/>
          <w:i/>
          <w:iCs/>
          <w:sz w:val="24"/>
          <w:szCs w:val="24"/>
        </w:rPr>
        <w:t>g</w:t>
      </w:r>
      <w:r w:rsidRPr="002A72E8">
        <w:rPr>
          <w:rFonts w:ascii="Times New Roman" w:eastAsia="Calibri" w:hAnsi="Times New Roman" w:cs="Times New Roman"/>
          <w:i/>
          <w:iCs/>
          <w:sz w:val="24"/>
          <w:szCs w:val="24"/>
        </w:rPr>
        <w:t xml:space="preserve">rowth </w:t>
      </w:r>
      <w:r>
        <w:rPr>
          <w:rFonts w:ascii="Times New Roman" w:eastAsia="Calibri" w:hAnsi="Times New Roman" w:cs="Times New Roman"/>
          <w:i/>
          <w:iCs/>
          <w:sz w:val="24"/>
          <w:szCs w:val="24"/>
        </w:rPr>
        <w:t>b</w:t>
      </w:r>
      <w:r w:rsidRPr="002A72E8">
        <w:rPr>
          <w:rFonts w:ascii="Times New Roman" w:eastAsia="Calibri" w:hAnsi="Times New Roman" w:cs="Times New Roman"/>
          <w:i/>
          <w:iCs/>
          <w:sz w:val="24"/>
          <w:szCs w:val="24"/>
        </w:rPr>
        <w:t xml:space="preserve">usinesses in the </w:t>
      </w:r>
      <w:r>
        <w:rPr>
          <w:rFonts w:ascii="Times New Roman" w:eastAsia="Calibri" w:hAnsi="Times New Roman" w:cs="Times New Roman"/>
          <w:i/>
          <w:iCs/>
          <w:sz w:val="24"/>
          <w:szCs w:val="24"/>
        </w:rPr>
        <w:t>f</w:t>
      </w:r>
      <w:r w:rsidRPr="002A72E8">
        <w:rPr>
          <w:rFonts w:ascii="Times New Roman" w:eastAsia="Calibri" w:hAnsi="Times New Roman" w:cs="Times New Roman"/>
          <w:i/>
          <w:iCs/>
          <w:sz w:val="24"/>
          <w:szCs w:val="24"/>
        </w:rPr>
        <w:t xml:space="preserve">ragmented </w:t>
      </w:r>
      <w:r>
        <w:rPr>
          <w:rFonts w:ascii="Times New Roman" w:eastAsia="Calibri" w:hAnsi="Times New Roman" w:cs="Times New Roman"/>
          <w:i/>
          <w:iCs/>
          <w:sz w:val="24"/>
          <w:szCs w:val="24"/>
        </w:rPr>
        <w:t>g</w:t>
      </w:r>
      <w:r w:rsidRPr="002A72E8">
        <w:rPr>
          <w:rFonts w:ascii="Times New Roman" w:eastAsia="Calibri" w:hAnsi="Times New Roman" w:cs="Times New Roman"/>
          <w:i/>
          <w:iCs/>
          <w:sz w:val="24"/>
          <w:szCs w:val="24"/>
        </w:rPr>
        <w:t xml:space="preserve">lobal </w:t>
      </w:r>
      <w:r>
        <w:rPr>
          <w:rFonts w:ascii="Times New Roman" w:eastAsia="Calibri" w:hAnsi="Times New Roman" w:cs="Times New Roman"/>
          <w:i/>
          <w:iCs/>
          <w:sz w:val="24"/>
          <w:szCs w:val="24"/>
        </w:rPr>
        <w:t>h</w:t>
      </w:r>
      <w:r w:rsidRPr="002A72E8">
        <w:rPr>
          <w:rFonts w:ascii="Times New Roman" w:eastAsia="Calibri" w:hAnsi="Times New Roman" w:cs="Times New Roman"/>
          <w:i/>
          <w:iCs/>
          <w:sz w:val="24"/>
          <w:szCs w:val="24"/>
        </w:rPr>
        <w:t xml:space="preserve">ealth &amp; </w:t>
      </w:r>
      <w:r>
        <w:rPr>
          <w:rFonts w:ascii="Times New Roman" w:eastAsia="Calibri" w:hAnsi="Times New Roman" w:cs="Times New Roman"/>
          <w:i/>
          <w:iCs/>
          <w:sz w:val="24"/>
          <w:szCs w:val="24"/>
        </w:rPr>
        <w:t>w</w:t>
      </w:r>
      <w:r w:rsidRPr="002A72E8">
        <w:rPr>
          <w:rFonts w:ascii="Times New Roman" w:eastAsia="Calibri" w:hAnsi="Times New Roman" w:cs="Times New Roman"/>
          <w:i/>
          <w:iCs/>
          <w:sz w:val="24"/>
          <w:szCs w:val="24"/>
        </w:rPr>
        <w:t xml:space="preserve">ellness </w:t>
      </w:r>
      <w:r>
        <w:rPr>
          <w:rFonts w:ascii="Times New Roman" w:eastAsia="Calibri" w:hAnsi="Times New Roman" w:cs="Times New Roman"/>
          <w:i/>
          <w:iCs/>
          <w:sz w:val="24"/>
          <w:szCs w:val="24"/>
        </w:rPr>
        <w:t>m</w:t>
      </w:r>
      <w:r w:rsidRPr="002A72E8">
        <w:rPr>
          <w:rFonts w:ascii="Times New Roman" w:eastAsia="Calibri" w:hAnsi="Times New Roman" w:cs="Times New Roman"/>
          <w:i/>
          <w:iCs/>
          <w:sz w:val="24"/>
          <w:szCs w:val="24"/>
        </w:rPr>
        <w:t>arket</w:t>
      </w:r>
    </w:p>
    <w:p w14:paraId="20267687" w14:textId="405044D5" w:rsidR="00A1654D" w:rsidRPr="002A72E8" w:rsidRDefault="002A72E8" w:rsidP="002A72E8">
      <w:pPr>
        <w:spacing w:before="240" w:after="240"/>
        <w:jc w:val="center"/>
        <w:rPr>
          <w:rFonts w:ascii="Times New Roman" w:eastAsia="Calibri" w:hAnsi="Times New Roman" w:cs="Times New Roman"/>
          <w:i/>
          <w:iCs/>
          <w:sz w:val="24"/>
          <w:szCs w:val="24"/>
        </w:rPr>
      </w:pPr>
      <w:r w:rsidRPr="002A72E8">
        <w:rPr>
          <w:rFonts w:ascii="Times New Roman" w:eastAsia="Calibri" w:hAnsi="Times New Roman" w:cs="Times New Roman"/>
          <w:i/>
          <w:iCs/>
          <w:sz w:val="24"/>
          <w:szCs w:val="24"/>
        </w:rPr>
        <w:t xml:space="preserve">TRNR CEO to </w:t>
      </w:r>
      <w:r>
        <w:rPr>
          <w:rFonts w:ascii="Times New Roman" w:eastAsia="Calibri" w:hAnsi="Times New Roman" w:cs="Times New Roman"/>
          <w:i/>
          <w:iCs/>
          <w:sz w:val="24"/>
          <w:szCs w:val="24"/>
        </w:rPr>
        <w:t>d</w:t>
      </w:r>
      <w:r w:rsidRPr="002A72E8">
        <w:rPr>
          <w:rFonts w:ascii="Times New Roman" w:eastAsia="Calibri" w:hAnsi="Times New Roman" w:cs="Times New Roman"/>
          <w:i/>
          <w:iCs/>
          <w:sz w:val="24"/>
          <w:szCs w:val="24"/>
        </w:rPr>
        <w:t xml:space="preserve">iscuss </w:t>
      </w:r>
      <w:r>
        <w:rPr>
          <w:rFonts w:ascii="Times New Roman" w:eastAsia="Calibri" w:hAnsi="Times New Roman" w:cs="Times New Roman"/>
          <w:i/>
          <w:iCs/>
          <w:sz w:val="24"/>
          <w:szCs w:val="24"/>
        </w:rPr>
        <w:t>t</w:t>
      </w:r>
      <w:r w:rsidRPr="002A72E8">
        <w:rPr>
          <w:rFonts w:ascii="Times New Roman" w:eastAsia="Calibri" w:hAnsi="Times New Roman" w:cs="Times New Roman"/>
          <w:i/>
          <w:iCs/>
          <w:sz w:val="24"/>
          <w:szCs w:val="24"/>
        </w:rPr>
        <w:t xml:space="preserve">ransaction at </w:t>
      </w:r>
      <w:hyperlink r:id="rId8" w:history="1">
        <w:r w:rsidRPr="002A72E8">
          <w:rPr>
            <w:rStyle w:val="Hyperlink"/>
            <w:rFonts w:ascii="Times New Roman" w:eastAsia="Calibri" w:hAnsi="Times New Roman" w:cs="Times New Roman"/>
            <w:i/>
            <w:iCs/>
            <w:sz w:val="24"/>
            <w:szCs w:val="24"/>
          </w:rPr>
          <w:t>2025 Connected: Health &amp; Fitness Summit</w:t>
        </w:r>
      </w:hyperlink>
      <w:r w:rsidRPr="002A72E8">
        <w:rPr>
          <w:rFonts w:ascii="Times New Roman" w:eastAsia="Calibri" w:hAnsi="Times New Roman" w:cs="Times New Roman"/>
          <w:i/>
          <w:iCs/>
          <w:sz w:val="24"/>
          <w:szCs w:val="24"/>
        </w:rPr>
        <w:t xml:space="preserve"> today in Los Angeles</w:t>
      </w:r>
    </w:p>
    <w:p w14:paraId="229B7CD8" w14:textId="5C8853F5" w:rsidR="00F70529" w:rsidRPr="00F70529" w:rsidRDefault="000262E3" w:rsidP="00F70529">
      <w:pPr>
        <w:jc w:val="both"/>
        <w:rPr>
          <w:rFonts w:ascii="Times New Roman" w:hAnsi="Times New Roman" w:cs="Times New Roman"/>
          <w:sz w:val="24"/>
          <w:szCs w:val="24"/>
        </w:rPr>
      </w:pPr>
      <w:r w:rsidRPr="000262E3">
        <w:rPr>
          <w:rFonts w:ascii="Times New Roman" w:hAnsi="Times New Roman"/>
          <w:sz w:val="24"/>
          <w:szCs w:val="24"/>
        </w:rPr>
        <w:t>A</w:t>
      </w:r>
      <w:r w:rsidRPr="000262E3">
        <w:rPr>
          <w:rFonts w:ascii="Times New Roman" w:hAnsi="Times New Roman" w:cs="Times New Roman"/>
          <w:sz w:val="24"/>
          <w:szCs w:val="24"/>
        </w:rPr>
        <w:t xml:space="preserve">ustin, TX – </w:t>
      </w:r>
      <w:r w:rsidR="00EC36B2">
        <w:rPr>
          <w:rFonts w:ascii="Times New Roman" w:hAnsi="Times New Roman" w:cs="Times New Roman"/>
          <w:sz w:val="24"/>
          <w:szCs w:val="24"/>
        </w:rPr>
        <w:tab/>
      </w:r>
      <w:r w:rsidR="00F70529">
        <w:rPr>
          <w:rFonts w:ascii="Times New Roman" w:hAnsi="Times New Roman" w:cs="Times New Roman"/>
          <w:sz w:val="24"/>
          <w:szCs w:val="24"/>
        </w:rPr>
        <w:t>February</w:t>
      </w:r>
      <w:r w:rsidR="00EC36B2">
        <w:rPr>
          <w:rFonts w:ascii="Times New Roman" w:hAnsi="Times New Roman" w:cs="Times New Roman"/>
          <w:sz w:val="24"/>
          <w:szCs w:val="24"/>
        </w:rPr>
        <w:t xml:space="preserve"> 1</w:t>
      </w:r>
      <w:r w:rsidR="00F70529">
        <w:rPr>
          <w:rFonts w:ascii="Times New Roman" w:hAnsi="Times New Roman" w:cs="Times New Roman"/>
          <w:sz w:val="24"/>
          <w:szCs w:val="24"/>
        </w:rPr>
        <w:t>1</w:t>
      </w:r>
      <w:r w:rsidRPr="000262E3">
        <w:rPr>
          <w:rFonts w:ascii="Times New Roman" w:hAnsi="Times New Roman" w:cs="Times New Roman"/>
          <w:sz w:val="24"/>
          <w:szCs w:val="24"/>
        </w:rPr>
        <w:t>, 202</w:t>
      </w:r>
      <w:r w:rsidR="00F70529">
        <w:rPr>
          <w:rFonts w:ascii="Times New Roman" w:hAnsi="Times New Roman" w:cs="Times New Roman"/>
          <w:sz w:val="24"/>
          <w:szCs w:val="24"/>
        </w:rPr>
        <w:t>5</w:t>
      </w:r>
      <w:r w:rsidRPr="000262E3">
        <w:rPr>
          <w:rFonts w:ascii="Times New Roman" w:hAnsi="Times New Roman" w:cs="Times New Roman"/>
          <w:sz w:val="24"/>
          <w:szCs w:val="24"/>
        </w:rPr>
        <w:t xml:space="preserve"> - </w:t>
      </w:r>
      <w:r w:rsidRPr="000262E3">
        <w:rPr>
          <w:rFonts w:ascii="Times New Roman" w:eastAsia="Times New Roman" w:hAnsi="Times New Roman" w:cs="Times New Roman"/>
          <w:sz w:val="24"/>
          <w:szCs w:val="24"/>
        </w:rPr>
        <w:t>Interactive Strength Inc. (Nasdaq: TRNR) (“TRNR” or “the Company”), maker of innovative specialty fitness equipment</w:t>
      </w:r>
      <w:r w:rsidR="00BB1EEA">
        <w:rPr>
          <w:rFonts w:ascii="Times New Roman" w:eastAsia="Times New Roman" w:hAnsi="Times New Roman" w:cs="Times New Roman"/>
          <w:sz w:val="24"/>
          <w:szCs w:val="24"/>
        </w:rPr>
        <w:t xml:space="preserve"> under the CLMBR and FORME brands</w:t>
      </w:r>
      <w:r w:rsidRPr="000262E3">
        <w:rPr>
          <w:rFonts w:ascii="Times New Roman" w:eastAsia="Times New Roman" w:hAnsi="Times New Roman" w:cs="Times New Roman"/>
          <w:sz w:val="24"/>
          <w:szCs w:val="24"/>
        </w:rPr>
        <w:t xml:space="preserve">, today </w:t>
      </w:r>
      <w:r w:rsidRPr="000262E3">
        <w:rPr>
          <w:rFonts w:ascii="Times New Roman" w:hAnsi="Times New Roman" w:cs="Times New Roman"/>
          <w:sz w:val="24"/>
          <w:szCs w:val="24"/>
        </w:rPr>
        <w:t xml:space="preserve">announced </w:t>
      </w:r>
      <w:r w:rsidR="00F70529" w:rsidRPr="00F70529">
        <w:rPr>
          <w:rFonts w:ascii="Times New Roman" w:hAnsi="Times New Roman" w:cs="Times New Roman"/>
          <w:sz w:val="24"/>
          <w:szCs w:val="24"/>
        </w:rPr>
        <w:t xml:space="preserve">it had signed a binding transaction agreement to acquire </w:t>
      </w:r>
      <w:r w:rsidR="002A72E8">
        <w:rPr>
          <w:rFonts w:ascii="Times New Roman" w:hAnsi="Times New Roman" w:cs="Times New Roman"/>
          <w:sz w:val="24"/>
          <w:szCs w:val="24"/>
        </w:rPr>
        <w:t>Sportstech</w:t>
      </w:r>
      <w:r w:rsidR="00F70529" w:rsidRPr="00F70529">
        <w:rPr>
          <w:rFonts w:ascii="Times New Roman" w:hAnsi="Times New Roman" w:cs="Times New Roman"/>
          <w:sz w:val="24"/>
          <w:szCs w:val="24"/>
        </w:rPr>
        <w:t xml:space="preserve"> Brands Holding GMBH (“</w:t>
      </w:r>
      <w:r w:rsidR="002A72E8">
        <w:rPr>
          <w:rFonts w:ascii="Times New Roman" w:hAnsi="Times New Roman" w:cs="Times New Roman"/>
          <w:sz w:val="24"/>
          <w:szCs w:val="24"/>
        </w:rPr>
        <w:t>Sportstech</w:t>
      </w:r>
      <w:r w:rsidR="00F70529" w:rsidRPr="00F70529">
        <w:rPr>
          <w:rFonts w:ascii="Times New Roman" w:hAnsi="Times New Roman" w:cs="Times New Roman"/>
          <w:sz w:val="24"/>
          <w:szCs w:val="24"/>
        </w:rPr>
        <w:t xml:space="preserve">”), the largest connected fitness and equipment company in Germany. The binding transaction agreement marks an expected milestone in the acquisition process, </w:t>
      </w:r>
      <w:hyperlink r:id="rId9" w:history="1">
        <w:r w:rsidR="00F70529" w:rsidRPr="00F70529">
          <w:rPr>
            <w:rStyle w:val="Hyperlink"/>
            <w:rFonts w:ascii="Times New Roman" w:hAnsi="Times New Roman" w:cs="Times New Roman"/>
            <w:sz w:val="24"/>
            <w:szCs w:val="24"/>
          </w:rPr>
          <w:t xml:space="preserve">following TRNR’s previously-announced non-binding LOI with </w:t>
        </w:r>
        <w:proofErr w:type="spellStart"/>
        <w:r w:rsidR="002A72E8">
          <w:rPr>
            <w:rStyle w:val="Hyperlink"/>
            <w:rFonts w:ascii="Times New Roman" w:hAnsi="Times New Roman" w:cs="Times New Roman"/>
            <w:sz w:val="24"/>
            <w:szCs w:val="24"/>
          </w:rPr>
          <w:t>Sportstech</w:t>
        </w:r>
        <w:proofErr w:type="spellEnd"/>
      </w:hyperlink>
      <w:r w:rsidR="00F70529" w:rsidRPr="00F70529">
        <w:rPr>
          <w:rFonts w:ascii="Times New Roman" w:hAnsi="Times New Roman" w:cs="Times New Roman"/>
          <w:sz w:val="24"/>
          <w:szCs w:val="24"/>
        </w:rPr>
        <w:t xml:space="preserve"> </w:t>
      </w:r>
      <w:r w:rsidR="00BB4B23">
        <w:rPr>
          <w:rFonts w:ascii="Times New Roman" w:hAnsi="Times New Roman" w:cs="Times New Roman"/>
          <w:sz w:val="24"/>
          <w:szCs w:val="24"/>
        </w:rPr>
        <w:t>–</w:t>
      </w:r>
      <w:r w:rsidR="00F70529" w:rsidRPr="00F70529">
        <w:rPr>
          <w:rFonts w:ascii="Times New Roman" w:hAnsi="Times New Roman" w:cs="Times New Roman"/>
          <w:sz w:val="24"/>
          <w:szCs w:val="24"/>
        </w:rPr>
        <w:t xml:space="preserve"> and</w:t>
      </w:r>
      <w:r w:rsidR="00BB4B23">
        <w:rPr>
          <w:rFonts w:ascii="Times New Roman" w:hAnsi="Times New Roman" w:cs="Times New Roman"/>
          <w:sz w:val="24"/>
          <w:szCs w:val="24"/>
        </w:rPr>
        <w:t>, upon closing, will</w:t>
      </w:r>
      <w:r w:rsidR="00F70529" w:rsidRPr="00F70529">
        <w:rPr>
          <w:rFonts w:ascii="Times New Roman" w:hAnsi="Times New Roman" w:cs="Times New Roman"/>
          <w:sz w:val="24"/>
          <w:szCs w:val="24"/>
        </w:rPr>
        <w:t xml:space="preserve"> combine businesses with highly complementary operations to create a scaled group anchored in the US and </w:t>
      </w:r>
      <w:hyperlink r:id="rId10" w:history="1">
        <w:r w:rsidR="00F70529" w:rsidRPr="002A72E8">
          <w:rPr>
            <w:rStyle w:val="Hyperlink"/>
            <w:rFonts w:ascii="Times New Roman" w:hAnsi="Times New Roman" w:cs="Times New Roman"/>
            <w:sz w:val="24"/>
            <w:szCs w:val="24"/>
          </w:rPr>
          <w:t>Germany</w:t>
        </w:r>
      </w:hyperlink>
      <w:r w:rsidR="00F70529" w:rsidRPr="00F70529">
        <w:rPr>
          <w:rFonts w:ascii="Times New Roman" w:hAnsi="Times New Roman" w:cs="Times New Roman"/>
          <w:sz w:val="24"/>
          <w:szCs w:val="24"/>
        </w:rPr>
        <w:t>, the two largest fitness markets in the world. The deal is expected to close as early as April 1, 2025 and will be immediately accretive to TRNR’s results.</w:t>
      </w:r>
    </w:p>
    <w:p w14:paraId="27C1C70D" w14:textId="54CB1152" w:rsidR="00F70529" w:rsidRPr="00F70529" w:rsidRDefault="00F70529" w:rsidP="00F70529">
      <w:pPr>
        <w:jc w:val="both"/>
        <w:rPr>
          <w:rFonts w:ascii="Times New Roman" w:hAnsi="Times New Roman" w:cs="Times New Roman"/>
          <w:sz w:val="24"/>
          <w:szCs w:val="24"/>
        </w:rPr>
      </w:pPr>
      <w:r w:rsidRPr="00F70529">
        <w:rPr>
          <w:rFonts w:ascii="Times New Roman" w:hAnsi="Times New Roman" w:cs="Times New Roman"/>
          <w:sz w:val="24"/>
          <w:szCs w:val="24"/>
        </w:rPr>
        <w:t xml:space="preserve">“This is a huge leap forward for both Interactive Strength and </w:t>
      </w:r>
      <w:r w:rsidR="002A72E8">
        <w:rPr>
          <w:rFonts w:ascii="Times New Roman" w:hAnsi="Times New Roman" w:cs="Times New Roman"/>
          <w:sz w:val="24"/>
          <w:szCs w:val="24"/>
        </w:rPr>
        <w:t>Sportstech</w:t>
      </w:r>
      <w:r w:rsidRPr="00F70529">
        <w:rPr>
          <w:rFonts w:ascii="Times New Roman" w:hAnsi="Times New Roman" w:cs="Times New Roman"/>
          <w:sz w:val="24"/>
          <w:szCs w:val="24"/>
        </w:rPr>
        <w:t xml:space="preserve">, dramatically </w:t>
      </w:r>
      <w:proofErr w:type="gramStart"/>
      <w:r w:rsidRPr="00F70529">
        <w:rPr>
          <w:rFonts w:ascii="Times New Roman" w:hAnsi="Times New Roman" w:cs="Times New Roman"/>
          <w:sz w:val="24"/>
          <w:szCs w:val="24"/>
        </w:rPr>
        <w:t>accelerating  the</w:t>
      </w:r>
      <w:proofErr w:type="gramEnd"/>
      <w:r w:rsidRPr="00F70529">
        <w:rPr>
          <w:rFonts w:ascii="Times New Roman" w:hAnsi="Times New Roman" w:cs="Times New Roman"/>
          <w:sz w:val="24"/>
          <w:szCs w:val="24"/>
        </w:rPr>
        <w:t xml:space="preserve"> combined company’s ability to serve both consumers and businesses and grow globally,” said TRNR Founder and CEO Trent Ward. “In Ali and </w:t>
      </w:r>
      <w:r w:rsidR="002A72E8">
        <w:rPr>
          <w:rFonts w:ascii="Times New Roman" w:hAnsi="Times New Roman" w:cs="Times New Roman"/>
          <w:sz w:val="24"/>
          <w:szCs w:val="24"/>
        </w:rPr>
        <w:t>Sportstech</w:t>
      </w:r>
      <w:r w:rsidRPr="00F70529">
        <w:rPr>
          <w:rFonts w:ascii="Times New Roman" w:hAnsi="Times New Roman" w:cs="Times New Roman"/>
          <w:sz w:val="24"/>
          <w:szCs w:val="24"/>
        </w:rPr>
        <w:t xml:space="preserve">, we have the ideal partner - an experienced and successful Founder of a </w:t>
      </w:r>
      <w:proofErr w:type="gramStart"/>
      <w:r w:rsidRPr="00F70529">
        <w:rPr>
          <w:rFonts w:ascii="Times New Roman" w:hAnsi="Times New Roman" w:cs="Times New Roman"/>
          <w:sz w:val="24"/>
          <w:szCs w:val="24"/>
        </w:rPr>
        <w:t>highly-complementary</w:t>
      </w:r>
      <w:proofErr w:type="gramEnd"/>
      <w:r w:rsidRPr="00F70529">
        <w:rPr>
          <w:rFonts w:ascii="Times New Roman" w:hAnsi="Times New Roman" w:cs="Times New Roman"/>
          <w:sz w:val="24"/>
          <w:szCs w:val="24"/>
        </w:rPr>
        <w:t xml:space="preserve"> fitness platform who bootstrapped his way to eight figures in profitable revenue and is motivated to grow even further and faster. This is a proud day for the teams from both companies and a major boost for our ability to create shareholder value.” </w:t>
      </w:r>
    </w:p>
    <w:p w14:paraId="5E9EE63B" w14:textId="3E29661F" w:rsidR="00F70529" w:rsidRPr="00F70529" w:rsidRDefault="00F70529" w:rsidP="00F70529">
      <w:pPr>
        <w:jc w:val="both"/>
        <w:rPr>
          <w:rFonts w:ascii="Times New Roman" w:hAnsi="Times New Roman" w:cs="Times New Roman"/>
          <w:sz w:val="24"/>
          <w:szCs w:val="24"/>
        </w:rPr>
      </w:pPr>
      <w:r w:rsidRPr="00F70529">
        <w:rPr>
          <w:rFonts w:ascii="Times New Roman" w:hAnsi="Times New Roman" w:cs="Times New Roman"/>
          <w:sz w:val="24"/>
          <w:szCs w:val="24"/>
        </w:rPr>
        <w:t xml:space="preserve">“At </w:t>
      </w:r>
      <w:r w:rsidR="002A72E8">
        <w:rPr>
          <w:rFonts w:ascii="Times New Roman" w:hAnsi="Times New Roman" w:cs="Times New Roman"/>
          <w:sz w:val="24"/>
          <w:szCs w:val="24"/>
        </w:rPr>
        <w:t>Sportstech</w:t>
      </w:r>
      <w:r w:rsidRPr="00F70529">
        <w:rPr>
          <w:rFonts w:ascii="Times New Roman" w:hAnsi="Times New Roman" w:cs="Times New Roman"/>
          <w:sz w:val="24"/>
          <w:szCs w:val="24"/>
        </w:rPr>
        <w:t xml:space="preserve">, we’re focused on a world where fitness and health are accessible to everyone and attractive to anyone,” said Ali Ahmad, Founder and CEO. “TRNR’s equipment, distribution and </w:t>
      </w:r>
      <w:r w:rsidRPr="00F70529">
        <w:rPr>
          <w:rFonts w:ascii="Times New Roman" w:hAnsi="Times New Roman" w:cs="Times New Roman"/>
          <w:sz w:val="24"/>
          <w:szCs w:val="24"/>
        </w:rPr>
        <w:lastRenderedPageBreak/>
        <w:t>finance experience as well as its N</w:t>
      </w:r>
      <w:r w:rsidR="002E0871">
        <w:rPr>
          <w:rFonts w:ascii="Times New Roman" w:hAnsi="Times New Roman" w:cs="Times New Roman"/>
          <w:sz w:val="24"/>
          <w:szCs w:val="24"/>
        </w:rPr>
        <w:t>asdaq</w:t>
      </w:r>
      <w:r w:rsidRPr="00F70529">
        <w:rPr>
          <w:rFonts w:ascii="Times New Roman" w:hAnsi="Times New Roman" w:cs="Times New Roman"/>
          <w:sz w:val="24"/>
          <w:szCs w:val="24"/>
        </w:rPr>
        <w:t xml:space="preserve"> listing represent the resources our employees and customers need to grow our fitness community without sacrificing quality of experience or outcomes. We’re very excited to bring our mission of helping everyone achieve their fitness goals to even more people, across more markets.”</w:t>
      </w:r>
    </w:p>
    <w:p w14:paraId="5E61F704" w14:textId="07E57F48" w:rsidR="00F70529" w:rsidRPr="00F70529" w:rsidRDefault="00F70529" w:rsidP="00F70529">
      <w:pPr>
        <w:jc w:val="both"/>
        <w:rPr>
          <w:rFonts w:ascii="Times New Roman" w:hAnsi="Times New Roman" w:cs="Times New Roman"/>
          <w:sz w:val="24"/>
          <w:szCs w:val="24"/>
        </w:rPr>
      </w:pPr>
      <w:r w:rsidRPr="00F70529">
        <w:rPr>
          <w:rFonts w:ascii="Times New Roman" w:hAnsi="Times New Roman" w:cs="Times New Roman"/>
          <w:sz w:val="24"/>
          <w:szCs w:val="24"/>
        </w:rPr>
        <w:t xml:space="preserve">Mr. Ward continued: “The global health &amp; wellness market is </w:t>
      </w:r>
      <w:proofErr w:type="gramStart"/>
      <w:r w:rsidRPr="00F70529">
        <w:rPr>
          <w:rFonts w:ascii="Times New Roman" w:hAnsi="Times New Roman" w:cs="Times New Roman"/>
          <w:sz w:val="24"/>
          <w:szCs w:val="24"/>
        </w:rPr>
        <w:t>growing, but</w:t>
      </w:r>
      <w:proofErr w:type="gramEnd"/>
      <w:r w:rsidRPr="00F70529">
        <w:rPr>
          <w:rFonts w:ascii="Times New Roman" w:hAnsi="Times New Roman" w:cs="Times New Roman"/>
          <w:sz w:val="24"/>
          <w:szCs w:val="24"/>
        </w:rPr>
        <w:t xml:space="preserve"> also fragmented. There’s a significant opportunity to create shareholder value by consolidating a portfolio of quality businesses that offer a variety of equipment, training and content to different types of customers, across many markets. </w:t>
      </w:r>
      <w:r w:rsidR="002A72E8">
        <w:rPr>
          <w:rFonts w:ascii="Times New Roman" w:hAnsi="Times New Roman" w:cs="Times New Roman"/>
          <w:sz w:val="24"/>
          <w:szCs w:val="24"/>
        </w:rPr>
        <w:t>Sportstech</w:t>
      </w:r>
      <w:r w:rsidRPr="00F70529">
        <w:rPr>
          <w:rFonts w:ascii="Times New Roman" w:hAnsi="Times New Roman" w:cs="Times New Roman"/>
          <w:sz w:val="24"/>
          <w:szCs w:val="24"/>
        </w:rPr>
        <w:t xml:space="preserve"> is exactly that kind of business, with an experienced, sophisticated team that’s also passionate about fitness.”</w:t>
      </w:r>
    </w:p>
    <w:p w14:paraId="6F4E30FD" w14:textId="77777777" w:rsidR="00F70529" w:rsidRPr="00F70529" w:rsidRDefault="00F70529" w:rsidP="00F70529">
      <w:pPr>
        <w:jc w:val="both"/>
        <w:rPr>
          <w:rFonts w:ascii="Times New Roman" w:hAnsi="Times New Roman" w:cs="Times New Roman"/>
          <w:sz w:val="24"/>
          <w:szCs w:val="24"/>
        </w:rPr>
      </w:pPr>
    </w:p>
    <w:p w14:paraId="368F3F59" w14:textId="77777777" w:rsidR="002A72E8" w:rsidRPr="002A72E8" w:rsidRDefault="002A72E8" w:rsidP="00F70529">
      <w:pPr>
        <w:jc w:val="both"/>
        <w:rPr>
          <w:rFonts w:ascii="Times New Roman" w:hAnsi="Times New Roman" w:cs="Times New Roman"/>
          <w:b/>
          <w:bCs/>
          <w:sz w:val="24"/>
          <w:szCs w:val="24"/>
        </w:rPr>
      </w:pPr>
      <w:r w:rsidRPr="002A72E8">
        <w:rPr>
          <w:rFonts w:ascii="Times New Roman" w:hAnsi="Times New Roman" w:cs="Times New Roman"/>
          <w:b/>
          <w:bCs/>
          <w:sz w:val="24"/>
          <w:szCs w:val="24"/>
        </w:rPr>
        <w:t xml:space="preserve">About Sportstech Brands Holding GMBH </w:t>
      </w:r>
    </w:p>
    <w:p w14:paraId="35D36425" w14:textId="0037C597" w:rsidR="00F70529" w:rsidRDefault="002A72E8" w:rsidP="00F70529">
      <w:pPr>
        <w:jc w:val="both"/>
        <w:rPr>
          <w:rFonts w:ascii="Times New Roman" w:hAnsi="Times New Roman" w:cs="Times New Roman"/>
          <w:sz w:val="24"/>
          <w:szCs w:val="24"/>
        </w:rPr>
      </w:pPr>
      <w:r w:rsidRPr="002A72E8">
        <w:rPr>
          <w:rFonts w:ascii="Times New Roman" w:hAnsi="Times New Roman" w:cs="Times New Roman"/>
          <w:sz w:val="24"/>
          <w:szCs w:val="24"/>
        </w:rPr>
        <w:t>Sportstech is a profitable, $40M+ revenue company based in Germany that serves customers in the DACH region (Germany, Austria and Switzerland), France and Spain. It offers customers unique fitness equipment and app-based fitness content that’s designed to fit in with busy lifestyles and motivate anyone to achieve a healthier, more active lifestyle. Founded by CEO Ali Ahmad in 2012, as an outgrowth of his own personal journey to a happier, fitter and healthier life, Sportstech offers a uniquely successful combination of technology, branded equipment and training-oriented community in the health and wellness space.</w:t>
      </w:r>
    </w:p>
    <w:p w14:paraId="5A479CCA" w14:textId="77777777" w:rsidR="002A72E8" w:rsidRPr="00F70529" w:rsidRDefault="002A72E8" w:rsidP="00F70529">
      <w:pPr>
        <w:jc w:val="both"/>
        <w:rPr>
          <w:rFonts w:ascii="Times New Roman" w:hAnsi="Times New Roman" w:cs="Times New Roman"/>
          <w:sz w:val="24"/>
          <w:szCs w:val="24"/>
        </w:rPr>
      </w:pPr>
    </w:p>
    <w:p w14:paraId="09B5AD38" w14:textId="77777777" w:rsidR="00F70529" w:rsidRPr="002A72E8" w:rsidRDefault="00F70529" w:rsidP="00F70529">
      <w:pPr>
        <w:jc w:val="both"/>
        <w:rPr>
          <w:rFonts w:ascii="Times New Roman" w:hAnsi="Times New Roman" w:cs="Times New Roman"/>
          <w:b/>
          <w:bCs/>
          <w:sz w:val="24"/>
          <w:szCs w:val="24"/>
        </w:rPr>
      </w:pPr>
      <w:r w:rsidRPr="002A72E8">
        <w:rPr>
          <w:rFonts w:ascii="Times New Roman" w:hAnsi="Times New Roman" w:cs="Times New Roman"/>
          <w:b/>
          <w:bCs/>
          <w:sz w:val="24"/>
          <w:szCs w:val="24"/>
        </w:rPr>
        <w:t>Transaction Overview</w:t>
      </w:r>
    </w:p>
    <w:p w14:paraId="69BC9602" w14:textId="7509BCA3" w:rsidR="00F70529" w:rsidRPr="002A72E8" w:rsidRDefault="00F70529" w:rsidP="002A72E8">
      <w:pPr>
        <w:pStyle w:val="ListParagraph"/>
        <w:numPr>
          <w:ilvl w:val="0"/>
          <w:numId w:val="2"/>
        </w:numPr>
        <w:jc w:val="both"/>
        <w:rPr>
          <w:rFonts w:ascii="Times New Roman" w:hAnsi="Times New Roman" w:cs="Times New Roman"/>
          <w:sz w:val="24"/>
          <w:szCs w:val="24"/>
        </w:rPr>
      </w:pPr>
      <w:r w:rsidRPr="002A72E8">
        <w:rPr>
          <w:rFonts w:ascii="Times New Roman" w:hAnsi="Times New Roman" w:cs="Times New Roman"/>
          <w:sz w:val="24"/>
          <w:szCs w:val="24"/>
        </w:rPr>
        <w:t xml:space="preserve">TRNR will acquire 99% of </w:t>
      </w:r>
      <w:r w:rsidR="002A72E8">
        <w:rPr>
          <w:rFonts w:ascii="Times New Roman" w:hAnsi="Times New Roman" w:cs="Times New Roman"/>
          <w:sz w:val="24"/>
          <w:szCs w:val="24"/>
        </w:rPr>
        <w:t>Sportstech</w:t>
      </w:r>
      <w:r w:rsidRPr="002A72E8">
        <w:rPr>
          <w:rFonts w:ascii="Times New Roman" w:hAnsi="Times New Roman" w:cs="Times New Roman"/>
          <w:sz w:val="24"/>
          <w:szCs w:val="24"/>
        </w:rPr>
        <w:t xml:space="preserve"> in an all-stock transaction, with an initial consideration of $15M in non-voting convertible preferred stock, wi</w:t>
      </w:r>
      <w:r w:rsidR="002E0871">
        <w:rPr>
          <w:rFonts w:ascii="Times New Roman" w:hAnsi="Times New Roman" w:cs="Times New Roman"/>
          <w:sz w:val="24"/>
          <w:szCs w:val="24"/>
        </w:rPr>
        <w:t>th</w:t>
      </w:r>
      <w:r w:rsidRPr="002A72E8">
        <w:rPr>
          <w:rFonts w:ascii="Times New Roman" w:hAnsi="Times New Roman" w:cs="Times New Roman"/>
          <w:sz w:val="24"/>
          <w:szCs w:val="24"/>
        </w:rPr>
        <w:t xml:space="preserve"> the conversion price </w:t>
      </w:r>
      <w:r w:rsidR="002E0871">
        <w:rPr>
          <w:rFonts w:ascii="Times New Roman" w:hAnsi="Times New Roman" w:cs="Times New Roman"/>
          <w:sz w:val="24"/>
          <w:szCs w:val="24"/>
        </w:rPr>
        <w:t xml:space="preserve">to </w:t>
      </w:r>
      <w:r w:rsidRPr="002A72E8">
        <w:rPr>
          <w:rFonts w:ascii="Times New Roman" w:hAnsi="Times New Roman" w:cs="Times New Roman"/>
          <w:sz w:val="24"/>
          <w:szCs w:val="24"/>
        </w:rPr>
        <w:t>be determined by using the volume-weighted average price of the 20 trading days</w:t>
      </w:r>
      <w:r w:rsidR="002E0871">
        <w:rPr>
          <w:rFonts w:ascii="Times New Roman" w:hAnsi="Times New Roman" w:cs="Times New Roman"/>
          <w:sz w:val="24"/>
          <w:szCs w:val="24"/>
        </w:rPr>
        <w:t xml:space="preserve"> immediately prior to June 15, 2026</w:t>
      </w:r>
      <w:r w:rsidRPr="002A72E8">
        <w:rPr>
          <w:rFonts w:ascii="Times New Roman" w:hAnsi="Times New Roman" w:cs="Times New Roman"/>
          <w:sz w:val="24"/>
          <w:szCs w:val="24"/>
        </w:rPr>
        <w:t>, subject to compliance with Nasdaq Listing Rule 5635.</w:t>
      </w:r>
    </w:p>
    <w:p w14:paraId="02D3A95D" w14:textId="0D06A492" w:rsidR="00F70529" w:rsidRPr="002A72E8" w:rsidRDefault="00F70529" w:rsidP="002A72E8">
      <w:pPr>
        <w:pStyle w:val="ListParagraph"/>
        <w:numPr>
          <w:ilvl w:val="0"/>
          <w:numId w:val="2"/>
        </w:numPr>
        <w:jc w:val="both"/>
        <w:rPr>
          <w:rFonts w:ascii="Times New Roman" w:hAnsi="Times New Roman" w:cs="Times New Roman"/>
          <w:sz w:val="24"/>
          <w:szCs w:val="24"/>
        </w:rPr>
      </w:pPr>
      <w:r w:rsidRPr="002A72E8">
        <w:rPr>
          <w:rFonts w:ascii="Times New Roman" w:hAnsi="Times New Roman" w:cs="Times New Roman"/>
          <w:sz w:val="24"/>
          <w:szCs w:val="24"/>
        </w:rPr>
        <w:t xml:space="preserve">There is the potential for future stock-based earnouts in three tranches, contingent upon specific EBITDA-performance targets for the business as of March 2026 and March 2027, that could total an additional $40M, upon achieving a cumulative EBITDA of more than $25M over the 24 months from April 2025 to March 2027. </w:t>
      </w:r>
    </w:p>
    <w:p w14:paraId="0D151813" w14:textId="0AE03193" w:rsidR="00F70529" w:rsidRPr="002A72E8" w:rsidRDefault="002A72E8" w:rsidP="002A72E8">
      <w:pPr>
        <w:pStyle w:val="ListParagraph"/>
        <w:numPr>
          <w:ilvl w:val="0"/>
          <w:numId w:val="2"/>
        </w:numPr>
        <w:jc w:val="both"/>
        <w:rPr>
          <w:rFonts w:ascii="Times New Roman" w:hAnsi="Times New Roman" w:cs="Times New Roman"/>
          <w:sz w:val="24"/>
          <w:szCs w:val="24"/>
        </w:rPr>
      </w:pPr>
      <w:r w:rsidRPr="002A72E8">
        <w:rPr>
          <w:rFonts w:ascii="Times New Roman" w:hAnsi="Times New Roman" w:cs="Times New Roman"/>
          <w:sz w:val="24"/>
          <w:szCs w:val="24"/>
        </w:rPr>
        <w:t>T</w:t>
      </w:r>
      <w:r w:rsidR="00F70529" w:rsidRPr="002A72E8">
        <w:rPr>
          <w:rFonts w:ascii="Times New Roman" w:hAnsi="Times New Roman" w:cs="Times New Roman"/>
          <w:sz w:val="24"/>
          <w:szCs w:val="24"/>
        </w:rPr>
        <w:t xml:space="preserve">his performance-driven valuation structure, with up to 73% of the total consideration being contingent upon future earnings, protects the TRNR shareholders and should ensure an attractive acquisition multiple of earnings.  </w:t>
      </w:r>
    </w:p>
    <w:p w14:paraId="7D4948B9" w14:textId="4079BA1D" w:rsidR="00F70529" w:rsidRPr="002A72E8" w:rsidRDefault="00F70529" w:rsidP="002A72E8">
      <w:pPr>
        <w:pStyle w:val="ListParagraph"/>
        <w:numPr>
          <w:ilvl w:val="0"/>
          <w:numId w:val="2"/>
        </w:numPr>
        <w:jc w:val="both"/>
        <w:rPr>
          <w:rFonts w:ascii="Times New Roman" w:hAnsi="Times New Roman" w:cs="Times New Roman"/>
          <w:sz w:val="24"/>
          <w:szCs w:val="24"/>
        </w:rPr>
      </w:pPr>
      <w:r w:rsidRPr="002A72E8">
        <w:rPr>
          <w:rFonts w:ascii="Times New Roman" w:hAnsi="Times New Roman" w:cs="Times New Roman"/>
          <w:sz w:val="24"/>
          <w:szCs w:val="24"/>
        </w:rPr>
        <w:t xml:space="preserve">The </w:t>
      </w:r>
      <w:r w:rsidR="002A72E8">
        <w:rPr>
          <w:rFonts w:ascii="Times New Roman" w:hAnsi="Times New Roman" w:cs="Times New Roman"/>
          <w:sz w:val="24"/>
          <w:szCs w:val="24"/>
        </w:rPr>
        <w:t>Sportstech</w:t>
      </w:r>
      <w:r w:rsidRPr="002A72E8">
        <w:rPr>
          <w:rFonts w:ascii="Times New Roman" w:hAnsi="Times New Roman" w:cs="Times New Roman"/>
          <w:sz w:val="24"/>
          <w:szCs w:val="24"/>
        </w:rPr>
        <w:t xml:space="preserve"> shareholder is exchanging </w:t>
      </w:r>
      <w:proofErr w:type="gramStart"/>
      <w:r w:rsidRPr="002A72E8">
        <w:rPr>
          <w:rFonts w:ascii="Times New Roman" w:hAnsi="Times New Roman" w:cs="Times New Roman"/>
          <w:sz w:val="24"/>
          <w:szCs w:val="24"/>
        </w:rPr>
        <w:t>all of</w:t>
      </w:r>
      <w:proofErr w:type="gramEnd"/>
      <w:r w:rsidRPr="002A72E8">
        <w:rPr>
          <w:rFonts w:ascii="Times New Roman" w:hAnsi="Times New Roman" w:cs="Times New Roman"/>
          <w:sz w:val="24"/>
          <w:szCs w:val="24"/>
        </w:rPr>
        <w:t xml:space="preserve"> his equity to become a long-term shareholder in the combined company, with an extended “lock-up” of 45% of the maximum consideration until June 2026 and 55% until June 2027. There is no cash consideration being paid to the </w:t>
      </w:r>
      <w:r w:rsidR="002A72E8">
        <w:rPr>
          <w:rFonts w:ascii="Times New Roman" w:hAnsi="Times New Roman" w:cs="Times New Roman"/>
          <w:sz w:val="24"/>
          <w:szCs w:val="24"/>
        </w:rPr>
        <w:t>Sportstech</w:t>
      </w:r>
      <w:r w:rsidRPr="002A72E8">
        <w:rPr>
          <w:rFonts w:ascii="Times New Roman" w:hAnsi="Times New Roman" w:cs="Times New Roman"/>
          <w:sz w:val="24"/>
          <w:szCs w:val="24"/>
        </w:rPr>
        <w:t xml:space="preserve"> shareholder. </w:t>
      </w:r>
    </w:p>
    <w:p w14:paraId="7F77DE66" w14:textId="0A1F435E" w:rsidR="00F70529" w:rsidRPr="002A72E8" w:rsidRDefault="002A72E8" w:rsidP="002A72E8">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Sportstech</w:t>
      </w:r>
      <w:r w:rsidR="00F70529" w:rsidRPr="002A72E8">
        <w:rPr>
          <w:rFonts w:ascii="Times New Roman" w:hAnsi="Times New Roman" w:cs="Times New Roman"/>
          <w:sz w:val="24"/>
          <w:szCs w:val="24"/>
        </w:rPr>
        <w:t xml:space="preserve"> Founder and CEO, Ali Ahmad, will join the TRNR Board upon</w:t>
      </w:r>
      <w:r w:rsidR="00BB4B23">
        <w:rPr>
          <w:rFonts w:ascii="Times New Roman" w:hAnsi="Times New Roman" w:cs="Times New Roman"/>
          <w:sz w:val="24"/>
          <w:szCs w:val="24"/>
        </w:rPr>
        <w:t xml:space="preserve"> the</w:t>
      </w:r>
      <w:r w:rsidR="00F70529" w:rsidRPr="002A72E8">
        <w:rPr>
          <w:rFonts w:ascii="Times New Roman" w:hAnsi="Times New Roman" w:cs="Times New Roman"/>
          <w:sz w:val="24"/>
          <w:szCs w:val="24"/>
        </w:rPr>
        <w:t xml:space="preserve"> closing of the transaction.</w:t>
      </w:r>
    </w:p>
    <w:p w14:paraId="349BF40E" w14:textId="1DFD6ADF" w:rsidR="00F70529" w:rsidRPr="002A72E8" w:rsidRDefault="00F70529" w:rsidP="002A72E8">
      <w:pPr>
        <w:pStyle w:val="ListParagraph"/>
        <w:numPr>
          <w:ilvl w:val="0"/>
          <w:numId w:val="2"/>
        </w:numPr>
        <w:jc w:val="both"/>
        <w:rPr>
          <w:rFonts w:ascii="Times New Roman" w:hAnsi="Times New Roman" w:cs="Times New Roman"/>
          <w:sz w:val="24"/>
          <w:szCs w:val="24"/>
        </w:rPr>
      </w:pPr>
      <w:r w:rsidRPr="002A72E8">
        <w:rPr>
          <w:rFonts w:ascii="Times New Roman" w:hAnsi="Times New Roman" w:cs="Times New Roman"/>
          <w:sz w:val="24"/>
          <w:szCs w:val="24"/>
        </w:rPr>
        <w:t xml:space="preserve">The acquisition does not have a financing contingency. </w:t>
      </w:r>
    </w:p>
    <w:p w14:paraId="5DEE8072" w14:textId="77777777" w:rsidR="00F70529" w:rsidRPr="00F70529" w:rsidRDefault="00F70529" w:rsidP="00F70529">
      <w:pPr>
        <w:jc w:val="both"/>
        <w:rPr>
          <w:rFonts w:ascii="Times New Roman" w:hAnsi="Times New Roman" w:cs="Times New Roman"/>
          <w:sz w:val="24"/>
          <w:szCs w:val="24"/>
        </w:rPr>
      </w:pPr>
    </w:p>
    <w:p w14:paraId="21C27A92" w14:textId="3517FAD9" w:rsidR="00F70529" w:rsidRPr="00F70529" w:rsidRDefault="00F70529" w:rsidP="00F70529">
      <w:pPr>
        <w:jc w:val="both"/>
        <w:rPr>
          <w:rFonts w:ascii="Times New Roman" w:hAnsi="Times New Roman" w:cs="Times New Roman"/>
          <w:sz w:val="24"/>
          <w:szCs w:val="24"/>
        </w:rPr>
      </w:pPr>
      <w:r w:rsidRPr="00F70529">
        <w:rPr>
          <w:rFonts w:ascii="Times New Roman" w:hAnsi="Times New Roman" w:cs="Times New Roman"/>
          <w:sz w:val="24"/>
          <w:szCs w:val="24"/>
        </w:rPr>
        <w:t>For more information</w:t>
      </w:r>
      <w:r w:rsidR="00BB4B23">
        <w:rPr>
          <w:rFonts w:ascii="Times New Roman" w:hAnsi="Times New Roman" w:cs="Times New Roman"/>
          <w:sz w:val="24"/>
          <w:szCs w:val="24"/>
        </w:rPr>
        <w:t>, please see</w:t>
      </w:r>
      <w:r w:rsidRPr="00F70529">
        <w:rPr>
          <w:rFonts w:ascii="Times New Roman" w:hAnsi="Times New Roman" w:cs="Times New Roman"/>
          <w:sz w:val="24"/>
          <w:szCs w:val="24"/>
        </w:rPr>
        <w:t xml:space="preserve"> the Company’s </w:t>
      </w:r>
      <w:hyperlink r:id="rId11" w:history="1">
        <w:r w:rsidRPr="002A72E8">
          <w:rPr>
            <w:rStyle w:val="Hyperlink"/>
            <w:rFonts w:ascii="Times New Roman" w:hAnsi="Times New Roman" w:cs="Times New Roman"/>
            <w:sz w:val="24"/>
            <w:szCs w:val="24"/>
          </w:rPr>
          <w:t>investor website</w:t>
        </w:r>
      </w:hyperlink>
      <w:r w:rsidRPr="00F70529">
        <w:rPr>
          <w:rFonts w:ascii="Times New Roman" w:hAnsi="Times New Roman" w:cs="Times New Roman"/>
          <w:sz w:val="24"/>
          <w:szCs w:val="24"/>
        </w:rPr>
        <w:t xml:space="preserve"> as well as its required filings with the US Securities &amp; Exchange Commission (SEC).</w:t>
      </w:r>
    </w:p>
    <w:p w14:paraId="2291E4A2" w14:textId="77777777" w:rsidR="00EC36B2" w:rsidRDefault="00EC36B2">
      <w:pPr>
        <w:rPr>
          <w:rFonts w:ascii="Times New Roman" w:eastAsia="Times New Roman" w:hAnsi="Times New Roman"/>
          <w:b/>
          <w:sz w:val="24"/>
          <w:szCs w:val="24"/>
        </w:rPr>
      </w:pPr>
    </w:p>
    <w:p w14:paraId="491D7422" w14:textId="45AC6AD9"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TRNR Investor Contact</w:t>
      </w:r>
    </w:p>
    <w:p w14:paraId="09FD21F5" w14:textId="6D5C0681" w:rsidR="005B653B" w:rsidRPr="00067CE8" w:rsidRDefault="005B653B" w:rsidP="005B653B">
      <w:pPr>
        <w:jc w:val="both"/>
        <w:rPr>
          <w:rFonts w:ascii="Times New Roman" w:eastAsia="Times New Roman" w:hAnsi="Times New Roman"/>
          <w:bCs/>
          <w:sz w:val="24"/>
          <w:szCs w:val="24"/>
        </w:rPr>
      </w:pPr>
      <w:r w:rsidRPr="00067CE8">
        <w:rPr>
          <w:rFonts w:ascii="Times New Roman" w:eastAsia="Times New Roman" w:hAnsi="Times New Roman"/>
          <w:bCs/>
          <w:sz w:val="24"/>
          <w:szCs w:val="24"/>
        </w:rPr>
        <w:t>ir@</w:t>
      </w:r>
      <w:r>
        <w:rPr>
          <w:rFonts w:ascii="Times New Roman" w:eastAsia="Times New Roman" w:hAnsi="Times New Roman"/>
          <w:bCs/>
          <w:sz w:val="24"/>
          <w:szCs w:val="24"/>
        </w:rPr>
        <w:t>interactivestrength</w:t>
      </w:r>
      <w:r w:rsidRPr="00067CE8">
        <w:rPr>
          <w:rFonts w:ascii="Times New Roman" w:eastAsia="Times New Roman" w:hAnsi="Times New Roman"/>
          <w:bCs/>
          <w:sz w:val="24"/>
          <w:szCs w:val="24"/>
        </w:rPr>
        <w:t xml:space="preserve">.com </w:t>
      </w:r>
    </w:p>
    <w:p w14:paraId="4F0C732B" w14:textId="77777777" w:rsidR="005B653B" w:rsidRPr="00067CE8" w:rsidRDefault="005B653B" w:rsidP="005B653B">
      <w:pPr>
        <w:jc w:val="both"/>
        <w:rPr>
          <w:rFonts w:ascii="Times New Roman" w:eastAsia="Times New Roman" w:hAnsi="Times New Roman"/>
          <w:b/>
          <w:sz w:val="24"/>
          <w:szCs w:val="24"/>
        </w:rPr>
      </w:pPr>
    </w:p>
    <w:p w14:paraId="2BAB172F" w14:textId="77777777"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 xml:space="preserve">TRNR Media Contact </w:t>
      </w:r>
    </w:p>
    <w:p w14:paraId="5DA52264" w14:textId="4801865B" w:rsidR="005B653B" w:rsidRDefault="000553E5" w:rsidP="005B653B">
      <w:pPr>
        <w:jc w:val="both"/>
        <w:rPr>
          <w:rFonts w:ascii="Times New Roman" w:eastAsia="Times New Roman" w:hAnsi="Times New Roman"/>
          <w:bCs/>
          <w:sz w:val="24"/>
          <w:szCs w:val="24"/>
        </w:rPr>
      </w:pPr>
      <w:hyperlink r:id="rId12" w:history="1">
        <w:r w:rsidRPr="002176F4">
          <w:rPr>
            <w:rStyle w:val="Hyperlink"/>
            <w:rFonts w:ascii="Times New Roman" w:eastAsia="Times New Roman" w:hAnsi="Times New Roman"/>
            <w:bCs/>
            <w:sz w:val="24"/>
            <w:szCs w:val="24"/>
          </w:rPr>
          <w:t>forme@jacktaylorpr.com</w:t>
        </w:r>
      </w:hyperlink>
    </w:p>
    <w:p w14:paraId="6952E799" w14:textId="77777777" w:rsidR="000553E5" w:rsidRDefault="000553E5" w:rsidP="005B653B">
      <w:pPr>
        <w:jc w:val="both"/>
        <w:rPr>
          <w:rFonts w:ascii="Times New Roman" w:eastAsia="Times New Roman" w:hAnsi="Times New Roman"/>
          <w:bCs/>
          <w:sz w:val="24"/>
          <w:szCs w:val="24"/>
        </w:rPr>
      </w:pPr>
    </w:p>
    <w:p w14:paraId="65FA84AD" w14:textId="77777777" w:rsidR="005B653B" w:rsidRPr="004E69AB" w:rsidRDefault="005B653B" w:rsidP="005B653B">
      <w:pPr>
        <w:jc w:val="both"/>
        <w:rPr>
          <w:rFonts w:ascii="Times New Roman" w:eastAsia="Times New Roman" w:hAnsi="Times New Roman"/>
          <w:b/>
          <w:sz w:val="24"/>
          <w:szCs w:val="24"/>
        </w:rPr>
      </w:pPr>
      <w:r w:rsidRPr="000B643F">
        <w:rPr>
          <w:rFonts w:ascii="Times New Roman" w:eastAsia="Times New Roman" w:hAnsi="Times New Roman"/>
          <w:b/>
          <w:sz w:val="24"/>
          <w:szCs w:val="24"/>
        </w:rPr>
        <w:t>About Interactive Strength Inc.:</w:t>
      </w:r>
    </w:p>
    <w:p w14:paraId="7582BC8F" w14:textId="77777777" w:rsidR="000B643F" w:rsidRPr="00067CE8" w:rsidRDefault="005B653B" w:rsidP="000B643F">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sidR="000B643F">
        <w:rPr>
          <w:rFonts w:ascii="Times New Roman" w:eastAsia="Times New Roman" w:hAnsi="Times New Roman"/>
          <w:sz w:val="24"/>
          <w:szCs w:val="24"/>
        </w:rPr>
        <w:t>Interactive Strength Inc.</w:t>
      </w:r>
      <w:r w:rsidR="000B643F" w:rsidRPr="00067CE8">
        <w:rPr>
          <w:rFonts w:ascii="Times New Roman" w:eastAsia="Times New Roman" w:hAnsi="Times New Roman"/>
          <w:sz w:val="24"/>
          <w:szCs w:val="24"/>
        </w:rPr>
        <w:t xml:space="preserve"> is listed on NASDAQ (symbol: TRNR).</w:t>
      </w:r>
    </w:p>
    <w:p w14:paraId="3FA92B5A" w14:textId="6EFD18BB" w:rsidR="005B653B" w:rsidRDefault="005B653B" w:rsidP="005B653B">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sidR="00AB5A22">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sidR="00AB5A22">
        <w:rPr>
          <w:rFonts w:ascii="Times New Roman" w:eastAsia="Times New Roman" w:hAnsi="Times New Roman"/>
          <w:bCs/>
          <w:sz w:val="24"/>
          <w:szCs w:val="24"/>
        </w:rPr>
        <w:t xml:space="preserve"> that </w:t>
      </w:r>
      <w:r w:rsidR="00AB5A22" w:rsidRPr="0039284A">
        <w:rPr>
          <w:rFonts w:ascii="Times New Roman" w:eastAsia="Times New Roman" w:hAnsi="Times New Roman"/>
          <w:bCs/>
          <w:sz w:val="24"/>
          <w:szCs w:val="24"/>
        </w:rPr>
        <w:t xml:space="preserve">offers </w:t>
      </w:r>
      <w:proofErr w:type="gramStart"/>
      <w:r w:rsidR="00AB5A22" w:rsidRPr="0039284A">
        <w:rPr>
          <w:rFonts w:ascii="Times New Roman" w:eastAsia="Times New Roman" w:hAnsi="Times New Roman"/>
          <w:bCs/>
          <w:sz w:val="24"/>
          <w:szCs w:val="24"/>
        </w:rPr>
        <w:t>an efficient</w:t>
      </w:r>
      <w:proofErr w:type="gramEnd"/>
      <w:r w:rsidR="00AB5A22" w:rsidRPr="0039284A">
        <w:rPr>
          <w:rFonts w:ascii="Times New Roman" w:eastAsia="Times New Roman" w:hAnsi="Times New Roman"/>
          <w:bCs/>
          <w:sz w:val="24"/>
          <w:szCs w:val="24"/>
        </w:rPr>
        <w:t xml:space="preserve"> and effective full-body strength and cardio workout</w:t>
      </w:r>
      <w:r w:rsidRPr="0039284A">
        <w:rPr>
          <w:rFonts w:ascii="Times New Roman" w:eastAsia="Times New Roman" w:hAnsi="Times New Roman"/>
          <w:bCs/>
          <w:sz w:val="24"/>
          <w:szCs w:val="24"/>
        </w:rPr>
        <w:t>. CLMBR's design is compact and easy to move – making it perfect for commercial or in-home use. With its low impact and ergonomic movement, CLMBR is safe for most ages and levels of ability</w:t>
      </w:r>
      <w:r w:rsidR="00AB5A22">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sidR="00AB5A22">
        <w:rPr>
          <w:rFonts w:ascii="Times New Roman" w:eastAsia="Times New Roman" w:hAnsi="Times New Roman"/>
          <w:bCs/>
          <w:sz w:val="24"/>
          <w:szCs w:val="24"/>
        </w:rPr>
        <w:t xml:space="preserve">, as well as </w:t>
      </w:r>
      <w:r w:rsidR="00AB5A22" w:rsidRPr="0039284A">
        <w:rPr>
          <w:rFonts w:ascii="Times New Roman" w:eastAsia="Times New Roman" w:hAnsi="Times New Roman"/>
          <w:bCs/>
          <w:sz w:val="24"/>
          <w:szCs w:val="24"/>
        </w:rPr>
        <w:t xml:space="preserve">available </w:t>
      </w:r>
      <w:r w:rsidR="00AB5A22">
        <w:rPr>
          <w:rFonts w:ascii="Times New Roman" w:eastAsia="Times New Roman" w:hAnsi="Times New Roman"/>
          <w:bCs/>
          <w:sz w:val="24"/>
          <w:szCs w:val="24"/>
        </w:rPr>
        <w:t xml:space="preserve">for </w:t>
      </w:r>
      <w:r w:rsidR="00AB5A22" w:rsidRPr="0039284A">
        <w:rPr>
          <w:rFonts w:ascii="Times New Roman" w:eastAsia="Times New Roman" w:hAnsi="Times New Roman"/>
          <w:bCs/>
          <w:sz w:val="24"/>
          <w:szCs w:val="24"/>
        </w:rPr>
        <w:t>consumers</w:t>
      </w:r>
      <w:r w:rsidR="00AB5A22">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sidR="000B643F">
        <w:rPr>
          <w:rFonts w:ascii="Times New Roman" w:eastAsia="Times New Roman" w:hAnsi="Times New Roman"/>
          <w:bCs/>
          <w:sz w:val="24"/>
          <w:szCs w:val="24"/>
        </w:rPr>
        <w:t xml:space="preserve"> www.clmbr.com.</w:t>
      </w:r>
      <w:r w:rsidRPr="0039284A">
        <w:rPr>
          <w:rFonts w:ascii="Times New Roman" w:eastAsia="Times New Roman" w:hAnsi="Times New Roman"/>
          <w:bCs/>
          <w:sz w:val="24"/>
          <w:szCs w:val="24"/>
        </w:rPr>
        <w:t xml:space="preserve"> </w:t>
      </w:r>
    </w:p>
    <w:p w14:paraId="57F0FF80" w14:textId="07445A63" w:rsidR="005B653B" w:rsidRDefault="005B653B" w:rsidP="005B653B">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 xml:space="preserve">a digital fitness platform that combines premium smart gyms with live virtual personal training and coaching to deliver </w:t>
      </w:r>
      <w:proofErr w:type="gramStart"/>
      <w:r w:rsidRPr="00067CE8">
        <w:rPr>
          <w:rFonts w:ascii="Times New Roman" w:eastAsia="Times New Roman" w:hAnsi="Times New Roman"/>
          <w:sz w:val="24"/>
          <w:szCs w:val="24"/>
        </w:rPr>
        <w:t>an immersive</w:t>
      </w:r>
      <w:proofErr w:type="gramEnd"/>
      <w:r w:rsidRPr="00067CE8">
        <w:rPr>
          <w:rFonts w:ascii="Times New Roman" w:eastAsia="Times New Roman" w:hAnsi="Times New Roman"/>
          <w:sz w:val="24"/>
          <w:szCs w:val="24"/>
        </w:rPr>
        <w:t xml:space="preserve"> experience and better outcomes for both consumers and trainers. FORME delivers an immersive and dynamic fitness experience through two connected hardware products: 1</w:t>
      </w:r>
      <w:r w:rsidR="00131B82">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Lift (fitness mirror and cable-based digital resistance)</w:t>
      </w:r>
      <w:r w:rsidRPr="00067CE8">
        <w:rPr>
          <w:rFonts w:ascii="Times New Roman" w:eastAsia="Times New Roman" w:hAnsi="Times New Roman"/>
          <w:sz w:val="24"/>
          <w:szCs w:val="24"/>
        </w:rPr>
        <w:t xml:space="preserve"> and 2</w:t>
      </w:r>
      <w:r w:rsidR="00131B82">
        <w:rPr>
          <w:rFonts w:ascii="Times New Roman" w:eastAsia="Times New Roman" w:hAnsi="Times New Roman"/>
          <w:sz w:val="24"/>
          <w:szCs w:val="24"/>
        </w:rPr>
        <w:t>)</w:t>
      </w:r>
      <w:r w:rsidRPr="00067CE8">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(fitness mirror)</w:t>
      </w:r>
      <w:r w:rsidRPr="00067CE8">
        <w:rPr>
          <w:rFonts w:ascii="Times New Roman" w:eastAsia="Times New Roman" w:hAnsi="Times New Roman"/>
          <w:sz w:val="24"/>
          <w:szCs w:val="24"/>
        </w:rPr>
        <w:t xml:space="preserve">. In addition to the company’s connected fitness hardware products, FORME offers expert personal training and health coaching in different formats and price points through Video On-Demand, Custom Training, and Live 1:1 virtual personal training. </w:t>
      </w:r>
      <w:r>
        <w:rPr>
          <w:rFonts w:ascii="Times New Roman" w:eastAsia="Times New Roman" w:hAnsi="Times New Roman"/>
          <w:sz w:val="24"/>
          <w:szCs w:val="24"/>
        </w:rPr>
        <w:t>www.formelife.com</w:t>
      </w:r>
      <w:r w:rsidR="000B643F">
        <w:rPr>
          <w:rFonts w:ascii="Times New Roman" w:eastAsia="Times New Roman" w:hAnsi="Times New Roman"/>
          <w:sz w:val="24"/>
          <w:szCs w:val="24"/>
        </w:rPr>
        <w:t>.</w:t>
      </w:r>
    </w:p>
    <w:p w14:paraId="0748C9D3" w14:textId="77777777" w:rsidR="000B643F" w:rsidRDefault="000B643F" w:rsidP="005B653B">
      <w:pPr>
        <w:jc w:val="both"/>
        <w:rPr>
          <w:rFonts w:ascii="Times New Roman" w:eastAsia="Times New Roman" w:hAnsi="Times New Roman" w:cs="Times New Roman"/>
          <w:b/>
          <w:sz w:val="24"/>
          <w:szCs w:val="24"/>
        </w:rPr>
      </w:pPr>
    </w:p>
    <w:p w14:paraId="5045BA3E" w14:textId="352C4065" w:rsidR="005B653B" w:rsidRDefault="005B653B" w:rsidP="005B653B">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1E06C6B3" w14:textId="37912B0C" w:rsidR="005B653B" w:rsidRPr="00AC268F" w:rsidRDefault="005B653B" w:rsidP="005B653B">
      <w:pPr>
        <w:jc w:val="both"/>
        <w:rPr>
          <w:rFonts w:ascii="Times New Roman" w:hAnsi="Times New Roman"/>
          <w:sz w:val="24"/>
          <w:szCs w:val="24"/>
        </w:rPr>
      </w:pPr>
      <w:r w:rsidRPr="00AC268F">
        <w:rPr>
          <w:rFonts w:ascii="Times New Roman" w:hAnsi="Times New Roman"/>
          <w:sz w:val="24"/>
          <w:szCs w:val="24"/>
        </w:rPr>
        <w:t xml:space="preserve">This press release includes certain statements that are </w:t>
      </w:r>
      <w:r w:rsidR="00E1184F">
        <w:rPr>
          <w:rFonts w:ascii="Times New Roman" w:hAnsi="Times New Roman"/>
          <w:sz w:val="24"/>
          <w:szCs w:val="24"/>
        </w:rPr>
        <w:t>“</w:t>
      </w:r>
      <w:r w:rsidRPr="00AC268F">
        <w:rPr>
          <w:rFonts w:ascii="Times New Roman" w:hAnsi="Times New Roman"/>
          <w:sz w:val="24"/>
          <w:szCs w:val="24"/>
        </w:rPr>
        <w:t>forward-looking statements</w:t>
      </w:r>
      <w:r w:rsidR="00E1184F">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00926597"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sidR="00E1184F">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t>
      </w:r>
      <w:r w:rsidRPr="00AC268F">
        <w:rPr>
          <w:rFonts w:ascii="Times New Roman" w:hAnsi="Times New Roman"/>
          <w:sz w:val="24"/>
          <w:szCs w:val="24"/>
        </w:rPr>
        <w:lastRenderedPageBreak/>
        <w:t xml:space="preserve">“will”, “would”, “will be”, “will continue”, “will likely result” or similar expressions that predict or indicate future events or trends or that are not statements of historical matters. </w:t>
      </w:r>
      <w:r w:rsidR="00FD00A6" w:rsidRPr="00FD00A6">
        <w:rPr>
          <w:rFonts w:ascii="Times New Roman" w:hAnsi="Times New Roman"/>
          <w:sz w:val="24"/>
          <w:szCs w:val="24"/>
        </w:rPr>
        <w:t xml:space="preserve">These forward-looking statements include, but are not limited to, statements regarding </w:t>
      </w:r>
      <w:r w:rsidR="001E1CFD">
        <w:rPr>
          <w:rFonts w:ascii="Times New Roman" w:hAnsi="Times New Roman"/>
          <w:sz w:val="24"/>
          <w:szCs w:val="24"/>
        </w:rPr>
        <w:t xml:space="preserve">the possibility </w:t>
      </w:r>
      <w:r w:rsidR="007F339F">
        <w:rPr>
          <w:rFonts w:ascii="Times New Roman" w:hAnsi="Times New Roman"/>
          <w:sz w:val="24"/>
          <w:szCs w:val="24"/>
        </w:rPr>
        <w:t xml:space="preserve">of completing this or other acquisitions, </w:t>
      </w:r>
      <w:r w:rsidR="00BB4B23">
        <w:rPr>
          <w:rFonts w:ascii="Times New Roman" w:hAnsi="Times New Roman"/>
          <w:sz w:val="24"/>
          <w:szCs w:val="24"/>
        </w:rPr>
        <w:t xml:space="preserve">the timing of the closing of this acquisition, </w:t>
      </w:r>
      <w:r w:rsidR="00987B8E">
        <w:rPr>
          <w:rFonts w:ascii="Times New Roman" w:hAnsi="Times New Roman"/>
          <w:sz w:val="24"/>
          <w:szCs w:val="24"/>
        </w:rPr>
        <w:t xml:space="preserve">as well as </w:t>
      </w:r>
      <w:r w:rsidR="007F339F">
        <w:rPr>
          <w:rFonts w:ascii="Times New Roman" w:hAnsi="Times New Roman"/>
          <w:sz w:val="24"/>
          <w:szCs w:val="24"/>
        </w:rPr>
        <w:t>the acquisition being accretive to the Company’s financial results</w:t>
      </w:r>
      <w:r w:rsidR="002E0871">
        <w:rPr>
          <w:rFonts w:ascii="Times New Roman" w:hAnsi="Times New Roman"/>
          <w:sz w:val="24"/>
          <w:szCs w:val="24"/>
        </w:rPr>
        <w:t>, as well as projections of the revenue for 2025 and achieving profitability in the second half of 2025</w:t>
      </w:r>
      <w:r w:rsidR="00BB4B23">
        <w:rPr>
          <w:rFonts w:ascii="Times New Roman" w:hAnsi="Times New Roman"/>
          <w:sz w:val="24"/>
          <w:szCs w:val="24"/>
        </w:rPr>
        <w:t>, as well as TRNR</w:t>
      </w:r>
      <w:r w:rsidR="00BB4B23" w:rsidRPr="00BB4B23">
        <w:rPr>
          <w:rFonts w:ascii="Times New Roman" w:hAnsi="Times New Roman"/>
          <w:sz w:val="24"/>
          <w:szCs w:val="24"/>
        </w:rPr>
        <w:t xml:space="preserve"> accelerat</w:t>
      </w:r>
      <w:r w:rsidR="00BB4B23">
        <w:rPr>
          <w:rFonts w:ascii="Times New Roman" w:hAnsi="Times New Roman"/>
          <w:sz w:val="24"/>
          <w:szCs w:val="24"/>
        </w:rPr>
        <w:t>ing Sportech’s</w:t>
      </w:r>
      <w:r w:rsidR="00BB4B23" w:rsidRPr="00BB4B23">
        <w:rPr>
          <w:rFonts w:ascii="Times New Roman" w:hAnsi="Times New Roman"/>
          <w:sz w:val="24"/>
          <w:szCs w:val="24"/>
        </w:rPr>
        <w:t xml:space="preserve"> growth beyond </w:t>
      </w:r>
      <w:r w:rsidR="00BB4B23">
        <w:rPr>
          <w:rFonts w:ascii="Times New Roman" w:hAnsi="Times New Roman"/>
          <w:sz w:val="24"/>
          <w:szCs w:val="24"/>
        </w:rPr>
        <w:t>Sportech’s</w:t>
      </w:r>
      <w:r w:rsidR="00BB4B23" w:rsidRPr="00BB4B23">
        <w:rPr>
          <w:rFonts w:ascii="Times New Roman" w:hAnsi="Times New Roman"/>
          <w:sz w:val="24"/>
          <w:szCs w:val="24"/>
        </w:rPr>
        <w:t xml:space="preserve"> core market</w:t>
      </w:r>
      <w:r w:rsidR="002949F8">
        <w:rPr>
          <w:rFonts w:ascii="Times New Roman" w:hAnsi="Times New Roman"/>
          <w:sz w:val="24"/>
          <w:szCs w:val="24"/>
        </w:rPr>
        <w:t xml:space="preserve">. </w:t>
      </w:r>
      <w:r w:rsidR="00E1184F"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sidR="00E1184F">
        <w:rPr>
          <w:rFonts w:ascii="Times New Roman" w:hAnsi="Times New Roman"/>
          <w:sz w:val="24"/>
          <w:szCs w:val="24"/>
        </w:rPr>
        <w:t>the Company</w:t>
      </w:r>
      <w:r w:rsidR="00E1184F" w:rsidRPr="00E1184F">
        <w:rPr>
          <w:rFonts w:ascii="Times New Roman" w:hAnsi="Times New Roman"/>
          <w:sz w:val="24"/>
          <w:szCs w:val="24"/>
        </w:rPr>
        <w:t xml:space="preserve">. Risks and uncertainties include but are not limited </w:t>
      </w:r>
      <w:proofErr w:type="gramStart"/>
      <w:r w:rsidR="00E1184F" w:rsidRPr="00E1184F">
        <w:rPr>
          <w:rFonts w:ascii="Times New Roman" w:hAnsi="Times New Roman"/>
          <w:sz w:val="24"/>
          <w:szCs w:val="24"/>
        </w:rPr>
        <w:t>to:</w:t>
      </w:r>
      <w:proofErr w:type="gramEnd"/>
      <w:r w:rsidR="00E1184F">
        <w:rPr>
          <w:rFonts w:ascii="Times New Roman" w:hAnsi="Times New Roman"/>
          <w:sz w:val="24"/>
          <w:szCs w:val="24"/>
        </w:rPr>
        <w:t xml:space="preserve"> demand for our products;</w:t>
      </w:r>
      <w:r w:rsidR="00E1184F" w:rsidRPr="00E1184F">
        <w:rPr>
          <w:rFonts w:ascii="Times New Roman" w:hAnsi="Times New Roman"/>
          <w:sz w:val="24"/>
          <w:szCs w:val="24"/>
        </w:rPr>
        <w:t xml:space="preserve"> competition, including technological advances</w:t>
      </w:r>
      <w:r w:rsidR="00E1184F">
        <w:rPr>
          <w:rFonts w:ascii="Times New Roman" w:hAnsi="Times New Roman"/>
          <w:sz w:val="24"/>
          <w:szCs w:val="24"/>
        </w:rPr>
        <w:t xml:space="preserve"> made </w:t>
      </w:r>
      <w:proofErr w:type="gramStart"/>
      <w:r w:rsidR="00E1184F">
        <w:rPr>
          <w:rFonts w:ascii="Times New Roman" w:hAnsi="Times New Roman"/>
          <w:sz w:val="24"/>
          <w:szCs w:val="24"/>
        </w:rPr>
        <w:t>by and</w:t>
      </w:r>
      <w:proofErr w:type="gramEnd"/>
      <w:r w:rsidR="00E1184F">
        <w:rPr>
          <w:rFonts w:ascii="Times New Roman" w:hAnsi="Times New Roman"/>
          <w:sz w:val="24"/>
          <w:szCs w:val="24"/>
        </w:rPr>
        <w:t xml:space="preserve"> </w:t>
      </w:r>
      <w:r w:rsidR="00E1184F" w:rsidRPr="00E1184F">
        <w:rPr>
          <w:rFonts w:ascii="Times New Roman" w:hAnsi="Times New Roman"/>
          <w:sz w:val="24"/>
          <w:szCs w:val="24"/>
        </w:rPr>
        <w:t>new products</w:t>
      </w:r>
      <w:r w:rsidR="00E1184F">
        <w:rPr>
          <w:rFonts w:ascii="Times New Roman" w:hAnsi="Times New Roman"/>
          <w:sz w:val="24"/>
          <w:szCs w:val="24"/>
        </w:rPr>
        <w:t xml:space="preserve"> released by our </w:t>
      </w:r>
      <w:r w:rsidR="00E1184F" w:rsidRPr="00E1184F">
        <w:rPr>
          <w:rFonts w:ascii="Times New Roman" w:hAnsi="Times New Roman"/>
          <w:sz w:val="24"/>
          <w:szCs w:val="24"/>
        </w:rPr>
        <w:t>competitors; our ability to accurately forecast consumer demand for our products and adequately maintain our inventory;</w:t>
      </w:r>
      <w:r w:rsidR="00E1184F">
        <w:rPr>
          <w:rFonts w:ascii="Times New Roman" w:hAnsi="Times New Roman"/>
          <w:sz w:val="24"/>
          <w:szCs w:val="24"/>
        </w:rPr>
        <w:t xml:space="preserve"> </w:t>
      </w:r>
      <w:r w:rsidR="002D25B8">
        <w:rPr>
          <w:rFonts w:ascii="Times New Roman" w:hAnsi="Times New Roman"/>
          <w:sz w:val="24"/>
          <w:szCs w:val="24"/>
        </w:rPr>
        <w:t xml:space="preserve">and </w:t>
      </w:r>
      <w:r w:rsidR="002D25B8" w:rsidRPr="002D25B8">
        <w:rPr>
          <w:rFonts w:ascii="Times New Roman" w:hAnsi="Times New Roman"/>
          <w:sz w:val="24"/>
          <w:szCs w:val="24"/>
        </w:rPr>
        <w:t>our reliance on a limited number of suppliers</w:t>
      </w:r>
      <w:r w:rsidR="002D25B8">
        <w:rPr>
          <w:rFonts w:ascii="Times New Roman" w:hAnsi="Times New Roman"/>
          <w:sz w:val="24"/>
          <w:szCs w:val="24"/>
        </w:rPr>
        <w:t xml:space="preserve"> and distributors for our products. </w:t>
      </w:r>
      <w:r w:rsidR="002D25B8" w:rsidRPr="002D25B8">
        <w:rPr>
          <w:rFonts w:ascii="Times New Roman" w:hAnsi="Times New Roman"/>
          <w:sz w:val="24"/>
          <w:szCs w:val="24"/>
        </w:rPr>
        <w:t>A further list and descriptions of these risks, uncertainties and other factors can be found i</w:t>
      </w:r>
      <w:r w:rsidR="002D25B8">
        <w:rPr>
          <w:rFonts w:ascii="Times New Roman" w:hAnsi="Times New Roman"/>
          <w:sz w:val="24"/>
          <w:szCs w:val="24"/>
        </w:rPr>
        <w:t xml:space="preserve">n </w:t>
      </w:r>
      <w:r w:rsidR="002D25B8" w:rsidRPr="002D25B8">
        <w:rPr>
          <w:rFonts w:ascii="Times New Roman" w:hAnsi="Times New Roman"/>
          <w:sz w:val="24"/>
          <w:szCs w:val="24"/>
        </w:rPr>
        <w:t>filings with the S</w:t>
      </w:r>
      <w:r w:rsidR="002D25B8">
        <w:rPr>
          <w:rFonts w:ascii="Times New Roman" w:hAnsi="Times New Roman"/>
          <w:sz w:val="24"/>
          <w:szCs w:val="24"/>
        </w:rPr>
        <w:t>ecurities and Exchange Commission. T</w:t>
      </w:r>
      <w:r w:rsidR="002D25B8" w:rsidRPr="002D25B8">
        <w:rPr>
          <w:rFonts w:ascii="Times New Roman" w:hAnsi="Times New Roman"/>
          <w:sz w:val="24"/>
          <w:szCs w:val="24"/>
        </w:rPr>
        <w:t xml:space="preserve">o the extent permitted under applicable law, </w:t>
      </w:r>
      <w:r w:rsidR="002D25B8">
        <w:rPr>
          <w:rFonts w:ascii="Times New Roman" w:hAnsi="Times New Roman"/>
          <w:sz w:val="24"/>
          <w:szCs w:val="24"/>
        </w:rPr>
        <w:t>the Company</w:t>
      </w:r>
      <w:r w:rsidR="002D25B8" w:rsidRPr="002D25B8">
        <w:rPr>
          <w:rFonts w:ascii="Times New Roman" w:hAnsi="Times New Roman"/>
          <w:sz w:val="24"/>
          <w:szCs w:val="24"/>
        </w:rPr>
        <w:t xml:space="preserve"> assumes no obligation to update any forward-looking statements.</w:t>
      </w:r>
    </w:p>
    <w:p w14:paraId="4335F000" w14:textId="77777777" w:rsidR="005B653B" w:rsidRDefault="005B653B">
      <w:pPr>
        <w:rPr>
          <w:rFonts w:ascii="Times New Roman" w:hAnsi="Times New Roman" w:cs="Times New Roman"/>
          <w:sz w:val="24"/>
          <w:szCs w:val="24"/>
        </w:rPr>
      </w:pPr>
    </w:p>
    <w:sectPr w:rsidR="005B653B">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3F151" w14:textId="77777777" w:rsidR="00851C67" w:rsidRDefault="00851C67" w:rsidP="005C50E1">
      <w:pPr>
        <w:spacing w:after="0" w:line="240" w:lineRule="auto"/>
      </w:pPr>
      <w:r>
        <w:separator/>
      </w:r>
    </w:p>
  </w:endnote>
  <w:endnote w:type="continuationSeparator" w:id="0">
    <w:p w14:paraId="5B429EE4" w14:textId="77777777" w:rsidR="00851C67" w:rsidRDefault="00851C67" w:rsidP="005C5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482507"/>
      <w:docPartObj>
        <w:docPartGallery w:val="Page Numbers (Bottom of Page)"/>
        <w:docPartUnique/>
      </w:docPartObj>
    </w:sdtPr>
    <w:sdtEndPr>
      <w:rPr>
        <w:noProof/>
      </w:rPr>
    </w:sdtEndPr>
    <w:sdtContent>
      <w:p w14:paraId="5EAFFD05" w14:textId="62E90A9D" w:rsidR="005C50E1" w:rsidRDefault="005C50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12EC4" w14:textId="77777777" w:rsidR="005C50E1" w:rsidRDefault="005C5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D33B9" w14:textId="77777777" w:rsidR="00851C67" w:rsidRDefault="00851C67" w:rsidP="005C50E1">
      <w:pPr>
        <w:spacing w:after="0" w:line="240" w:lineRule="auto"/>
      </w:pPr>
      <w:r>
        <w:separator/>
      </w:r>
    </w:p>
  </w:footnote>
  <w:footnote w:type="continuationSeparator" w:id="0">
    <w:p w14:paraId="29291967" w14:textId="77777777" w:rsidR="00851C67" w:rsidRDefault="00851C67" w:rsidP="005C50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77D2"/>
    <w:multiLevelType w:val="hybridMultilevel"/>
    <w:tmpl w:val="2738F55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55E46457"/>
    <w:multiLevelType w:val="hybridMultilevel"/>
    <w:tmpl w:val="5C662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4212054">
    <w:abstractNumId w:val="0"/>
  </w:num>
  <w:num w:numId="2" w16cid:durableId="9880522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F"/>
    <w:rsid w:val="00001FD5"/>
    <w:rsid w:val="0000263A"/>
    <w:rsid w:val="00006555"/>
    <w:rsid w:val="00023046"/>
    <w:rsid w:val="000262E3"/>
    <w:rsid w:val="00026BCF"/>
    <w:rsid w:val="000553E5"/>
    <w:rsid w:val="000677A2"/>
    <w:rsid w:val="0007380F"/>
    <w:rsid w:val="000759AC"/>
    <w:rsid w:val="00076A66"/>
    <w:rsid w:val="00080085"/>
    <w:rsid w:val="000A0E25"/>
    <w:rsid w:val="000A434A"/>
    <w:rsid w:val="000B643F"/>
    <w:rsid w:val="000B6AA6"/>
    <w:rsid w:val="000D05D5"/>
    <w:rsid w:val="000D69A4"/>
    <w:rsid w:val="000E25A7"/>
    <w:rsid w:val="000F4C8B"/>
    <w:rsid w:val="00102999"/>
    <w:rsid w:val="00106F31"/>
    <w:rsid w:val="001118AA"/>
    <w:rsid w:val="00131B82"/>
    <w:rsid w:val="00140640"/>
    <w:rsid w:val="00152019"/>
    <w:rsid w:val="00156467"/>
    <w:rsid w:val="0016217B"/>
    <w:rsid w:val="00163C7C"/>
    <w:rsid w:val="0019112F"/>
    <w:rsid w:val="001A1017"/>
    <w:rsid w:val="001A3DC6"/>
    <w:rsid w:val="001C1221"/>
    <w:rsid w:val="001E1CFD"/>
    <w:rsid w:val="001E4458"/>
    <w:rsid w:val="00206A96"/>
    <w:rsid w:val="00210678"/>
    <w:rsid w:val="00231679"/>
    <w:rsid w:val="00235368"/>
    <w:rsid w:val="00277F19"/>
    <w:rsid w:val="00281AA6"/>
    <w:rsid w:val="00286C9B"/>
    <w:rsid w:val="002949F8"/>
    <w:rsid w:val="00296AF3"/>
    <w:rsid w:val="002A72E8"/>
    <w:rsid w:val="002A78F6"/>
    <w:rsid w:val="002B3536"/>
    <w:rsid w:val="002B705F"/>
    <w:rsid w:val="002C2E16"/>
    <w:rsid w:val="002C4156"/>
    <w:rsid w:val="002D25B8"/>
    <w:rsid w:val="002D48CE"/>
    <w:rsid w:val="002D66FD"/>
    <w:rsid w:val="002E0871"/>
    <w:rsid w:val="002E5AFD"/>
    <w:rsid w:val="002E7F81"/>
    <w:rsid w:val="002F0E19"/>
    <w:rsid w:val="002F23A1"/>
    <w:rsid w:val="002F2C8F"/>
    <w:rsid w:val="002F3F33"/>
    <w:rsid w:val="00300488"/>
    <w:rsid w:val="00330C6B"/>
    <w:rsid w:val="00331E3F"/>
    <w:rsid w:val="00336A97"/>
    <w:rsid w:val="003432D4"/>
    <w:rsid w:val="0036014F"/>
    <w:rsid w:val="00360353"/>
    <w:rsid w:val="00391292"/>
    <w:rsid w:val="003C5666"/>
    <w:rsid w:val="003D715E"/>
    <w:rsid w:val="003E6CF1"/>
    <w:rsid w:val="003E6EE2"/>
    <w:rsid w:val="003F4296"/>
    <w:rsid w:val="00415C32"/>
    <w:rsid w:val="0044677E"/>
    <w:rsid w:val="0046483F"/>
    <w:rsid w:val="00473A4F"/>
    <w:rsid w:val="00474E56"/>
    <w:rsid w:val="0047732D"/>
    <w:rsid w:val="00483F72"/>
    <w:rsid w:val="004A243D"/>
    <w:rsid w:val="004A44FE"/>
    <w:rsid w:val="004A52BC"/>
    <w:rsid w:val="004B1BEE"/>
    <w:rsid w:val="004D53B8"/>
    <w:rsid w:val="004E188C"/>
    <w:rsid w:val="004E193F"/>
    <w:rsid w:val="004E3159"/>
    <w:rsid w:val="00500864"/>
    <w:rsid w:val="005048C9"/>
    <w:rsid w:val="00506548"/>
    <w:rsid w:val="005245CF"/>
    <w:rsid w:val="005411A9"/>
    <w:rsid w:val="00571619"/>
    <w:rsid w:val="00574BB4"/>
    <w:rsid w:val="00582B58"/>
    <w:rsid w:val="0058676F"/>
    <w:rsid w:val="00586FED"/>
    <w:rsid w:val="00594DC7"/>
    <w:rsid w:val="005A44DF"/>
    <w:rsid w:val="005A5C4A"/>
    <w:rsid w:val="005B653B"/>
    <w:rsid w:val="005C3D40"/>
    <w:rsid w:val="005C50E1"/>
    <w:rsid w:val="005C731D"/>
    <w:rsid w:val="005C747A"/>
    <w:rsid w:val="005D24CE"/>
    <w:rsid w:val="005E31B5"/>
    <w:rsid w:val="005E7FD0"/>
    <w:rsid w:val="006025B9"/>
    <w:rsid w:val="00607814"/>
    <w:rsid w:val="00607E79"/>
    <w:rsid w:val="00610D83"/>
    <w:rsid w:val="00610FA4"/>
    <w:rsid w:val="00620388"/>
    <w:rsid w:val="00644116"/>
    <w:rsid w:val="006514B2"/>
    <w:rsid w:val="00663710"/>
    <w:rsid w:val="00672BE9"/>
    <w:rsid w:val="006827D8"/>
    <w:rsid w:val="00691153"/>
    <w:rsid w:val="006A13D2"/>
    <w:rsid w:val="006C587B"/>
    <w:rsid w:val="006C7DDF"/>
    <w:rsid w:val="006D13A8"/>
    <w:rsid w:val="006D53F0"/>
    <w:rsid w:val="006F7CF2"/>
    <w:rsid w:val="00710724"/>
    <w:rsid w:val="00711413"/>
    <w:rsid w:val="007160F9"/>
    <w:rsid w:val="00722E7A"/>
    <w:rsid w:val="00723364"/>
    <w:rsid w:val="007326E2"/>
    <w:rsid w:val="00732E50"/>
    <w:rsid w:val="0075159E"/>
    <w:rsid w:val="00757357"/>
    <w:rsid w:val="00761CEF"/>
    <w:rsid w:val="00766CB4"/>
    <w:rsid w:val="00767A02"/>
    <w:rsid w:val="00797210"/>
    <w:rsid w:val="007A0648"/>
    <w:rsid w:val="007E300F"/>
    <w:rsid w:val="007F339F"/>
    <w:rsid w:val="00807B04"/>
    <w:rsid w:val="00834A02"/>
    <w:rsid w:val="00845AF1"/>
    <w:rsid w:val="00851C67"/>
    <w:rsid w:val="00872688"/>
    <w:rsid w:val="008768C2"/>
    <w:rsid w:val="008922ED"/>
    <w:rsid w:val="008A266D"/>
    <w:rsid w:val="008B5522"/>
    <w:rsid w:val="008B55EB"/>
    <w:rsid w:val="008B7455"/>
    <w:rsid w:val="008C034D"/>
    <w:rsid w:val="008D6644"/>
    <w:rsid w:val="008E28AA"/>
    <w:rsid w:val="008F5C4A"/>
    <w:rsid w:val="008F64EA"/>
    <w:rsid w:val="00926597"/>
    <w:rsid w:val="009539FE"/>
    <w:rsid w:val="00962992"/>
    <w:rsid w:val="00965880"/>
    <w:rsid w:val="009741F1"/>
    <w:rsid w:val="00987B8E"/>
    <w:rsid w:val="00992027"/>
    <w:rsid w:val="0099368C"/>
    <w:rsid w:val="009A3340"/>
    <w:rsid w:val="009A49D9"/>
    <w:rsid w:val="009C41D0"/>
    <w:rsid w:val="009F0374"/>
    <w:rsid w:val="009F0C12"/>
    <w:rsid w:val="009F1BEB"/>
    <w:rsid w:val="009F57E7"/>
    <w:rsid w:val="00A1654D"/>
    <w:rsid w:val="00A519A5"/>
    <w:rsid w:val="00A57535"/>
    <w:rsid w:val="00A60404"/>
    <w:rsid w:val="00A76EDA"/>
    <w:rsid w:val="00A8364F"/>
    <w:rsid w:val="00A9530E"/>
    <w:rsid w:val="00AA4C12"/>
    <w:rsid w:val="00AA6BC8"/>
    <w:rsid w:val="00AB5A22"/>
    <w:rsid w:val="00AC10F5"/>
    <w:rsid w:val="00AC7069"/>
    <w:rsid w:val="00AD1CCB"/>
    <w:rsid w:val="00AE19A8"/>
    <w:rsid w:val="00B02736"/>
    <w:rsid w:val="00B32B05"/>
    <w:rsid w:val="00B50481"/>
    <w:rsid w:val="00B50A73"/>
    <w:rsid w:val="00B5725A"/>
    <w:rsid w:val="00B60543"/>
    <w:rsid w:val="00B64BEF"/>
    <w:rsid w:val="00B65DE0"/>
    <w:rsid w:val="00B71E8D"/>
    <w:rsid w:val="00B817CD"/>
    <w:rsid w:val="00B819B0"/>
    <w:rsid w:val="00BB1EEA"/>
    <w:rsid w:val="00BB4B23"/>
    <w:rsid w:val="00BD0165"/>
    <w:rsid w:val="00BE3440"/>
    <w:rsid w:val="00BF3AAF"/>
    <w:rsid w:val="00C1166D"/>
    <w:rsid w:val="00C125F6"/>
    <w:rsid w:val="00C20EDD"/>
    <w:rsid w:val="00C33712"/>
    <w:rsid w:val="00C37B79"/>
    <w:rsid w:val="00C40C74"/>
    <w:rsid w:val="00C42BCC"/>
    <w:rsid w:val="00C439B9"/>
    <w:rsid w:val="00C624A5"/>
    <w:rsid w:val="00C65F87"/>
    <w:rsid w:val="00C73D9F"/>
    <w:rsid w:val="00C9796B"/>
    <w:rsid w:val="00CC4D79"/>
    <w:rsid w:val="00CD0C07"/>
    <w:rsid w:val="00CF32B7"/>
    <w:rsid w:val="00CF33E9"/>
    <w:rsid w:val="00D217AE"/>
    <w:rsid w:val="00D219DF"/>
    <w:rsid w:val="00D30609"/>
    <w:rsid w:val="00D30E25"/>
    <w:rsid w:val="00D317F5"/>
    <w:rsid w:val="00D32FB7"/>
    <w:rsid w:val="00D34253"/>
    <w:rsid w:val="00D35555"/>
    <w:rsid w:val="00D416B3"/>
    <w:rsid w:val="00D45A83"/>
    <w:rsid w:val="00D64F0D"/>
    <w:rsid w:val="00D66ACE"/>
    <w:rsid w:val="00D8299B"/>
    <w:rsid w:val="00D91922"/>
    <w:rsid w:val="00D933D3"/>
    <w:rsid w:val="00DA43F6"/>
    <w:rsid w:val="00DA56B2"/>
    <w:rsid w:val="00DB3306"/>
    <w:rsid w:val="00DB5DE9"/>
    <w:rsid w:val="00DC61E7"/>
    <w:rsid w:val="00DE5CDE"/>
    <w:rsid w:val="00DE6D69"/>
    <w:rsid w:val="00DF1E4B"/>
    <w:rsid w:val="00DF2709"/>
    <w:rsid w:val="00E0120C"/>
    <w:rsid w:val="00E021A3"/>
    <w:rsid w:val="00E1184F"/>
    <w:rsid w:val="00E12356"/>
    <w:rsid w:val="00E20EE1"/>
    <w:rsid w:val="00E6223A"/>
    <w:rsid w:val="00E71541"/>
    <w:rsid w:val="00E75012"/>
    <w:rsid w:val="00E91773"/>
    <w:rsid w:val="00EA3D33"/>
    <w:rsid w:val="00EC36B2"/>
    <w:rsid w:val="00ED2FCC"/>
    <w:rsid w:val="00EF28CC"/>
    <w:rsid w:val="00EF4A6E"/>
    <w:rsid w:val="00EF6CD3"/>
    <w:rsid w:val="00F30623"/>
    <w:rsid w:val="00F30ADE"/>
    <w:rsid w:val="00F31030"/>
    <w:rsid w:val="00F32E0D"/>
    <w:rsid w:val="00F37ADB"/>
    <w:rsid w:val="00F55A77"/>
    <w:rsid w:val="00F658E8"/>
    <w:rsid w:val="00F678BE"/>
    <w:rsid w:val="00F70529"/>
    <w:rsid w:val="00F8629E"/>
    <w:rsid w:val="00F9148D"/>
    <w:rsid w:val="00FD00A6"/>
    <w:rsid w:val="00FD24B0"/>
    <w:rsid w:val="00FE1BDE"/>
    <w:rsid w:val="00FE40E7"/>
    <w:rsid w:val="00FF0496"/>
    <w:rsid w:val="00FF0F00"/>
    <w:rsid w:val="00FF7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52CEC"/>
  <w15:docId w15:val="{72C1B2E8-87A9-404A-BC98-37EE92E5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773"/>
    <w:rPr>
      <w:color w:val="0563C1" w:themeColor="hyperlink"/>
      <w:u w:val="single"/>
    </w:rPr>
  </w:style>
  <w:style w:type="character" w:styleId="UnresolvedMention">
    <w:name w:val="Unresolved Mention"/>
    <w:basedOn w:val="DefaultParagraphFont"/>
    <w:uiPriority w:val="99"/>
    <w:semiHidden/>
    <w:unhideWhenUsed/>
    <w:rsid w:val="00E91773"/>
    <w:rPr>
      <w:color w:val="605E5C"/>
      <w:shd w:val="clear" w:color="auto" w:fill="E1DFDD"/>
    </w:rPr>
  </w:style>
  <w:style w:type="character" w:customStyle="1" w:styleId="sh-incorrect-word">
    <w:name w:val="sh-incorrect-word"/>
    <w:basedOn w:val="DefaultParagraphFont"/>
    <w:rsid w:val="00C73D9F"/>
  </w:style>
  <w:style w:type="paragraph" w:styleId="ListParagraph">
    <w:name w:val="List Paragraph"/>
    <w:basedOn w:val="Normal"/>
    <w:uiPriority w:val="34"/>
    <w:qFormat/>
    <w:rsid w:val="000262E3"/>
    <w:pPr>
      <w:spacing w:after="0" w:line="276" w:lineRule="auto"/>
      <w:ind w:left="720"/>
      <w:contextualSpacing/>
    </w:pPr>
    <w:rPr>
      <w:rFonts w:ascii="Arial" w:eastAsia="Arial" w:hAnsi="Arial" w:cs="Arial"/>
      <w:kern w:val="0"/>
      <w:lang w:val="en"/>
      <w14:ligatures w14:val="none"/>
    </w:rPr>
  </w:style>
  <w:style w:type="paragraph" w:styleId="Revision">
    <w:name w:val="Revision"/>
    <w:hidden/>
    <w:uiPriority w:val="99"/>
    <w:semiHidden/>
    <w:rsid w:val="00926597"/>
    <w:pPr>
      <w:spacing w:after="0" w:line="240" w:lineRule="auto"/>
    </w:pPr>
  </w:style>
  <w:style w:type="paragraph" w:styleId="Header">
    <w:name w:val="header"/>
    <w:basedOn w:val="Normal"/>
    <w:link w:val="HeaderChar"/>
    <w:uiPriority w:val="99"/>
    <w:unhideWhenUsed/>
    <w:rsid w:val="005C5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E1"/>
  </w:style>
  <w:style w:type="paragraph" w:styleId="Footer">
    <w:name w:val="footer"/>
    <w:basedOn w:val="Normal"/>
    <w:link w:val="FooterChar"/>
    <w:uiPriority w:val="99"/>
    <w:unhideWhenUsed/>
    <w:rsid w:val="005C5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E1"/>
  </w:style>
  <w:style w:type="character" w:styleId="FollowedHyperlink">
    <w:name w:val="FollowedHyperlink"/>
    <w:basedOn w:val="DefaultParagraphFont"/>
    <w:uiPriority w:val="99"/>
    <w:semiHidden/>
    <w:unhideWhenUsed/>
    <w:rsid w:val="003C5666"/>
    <w:rPr>
      <w:color w:val="954F72" w:themeColor="followedHyperlink"/>
      <w:u w:val="single"/>
    </w:rPr>
  </w:style>
  <w:style w:type="character" w:styleId="CommentReference">
    <w:name w:val="annotation reference"/>
    <w:basedOn w:val="DefaultParagraphFont"/>
    <w:uiPriority w:val="99"/>
    <w:semiHidden/>
    <w:unhideWhenUsed/>
    <w:rsid w:val="00A1654D"/>
    <w:rPr>
      <w:sz w:val="16"/>
      <w:szCs w:val="16"/>
    </w:rPr>
  </w:style>
  <w:style w:type="paragraph" w:styleId="CommentText">
    <w:name w:val="annotation text"/>
    <w:basedOn w:val="Normal"/>
    <w:link w:val="CommentTextChar"/>
    <w:uiPriority w:val="99"/>
    <w:semiHidden/>
    <w:unhideWhenUsed/>
    <w:rsid w:val="00A1654D"/>
    <w:pPr>
      <w:spacing w:line="240" w:lineRule="auto"/>
    </w:pPr>
    <w:rPr>
      <w:sz w:val="20"/>
      <w:szCs w:val="20"/>
    </w:rPr>
  </w:style>
  <w:style w:type="character" w:customStyle="1" w:styleId="CommentTextChar">
    <w:name w:val="Comment Text Char"/>
    <w:basedOn w:val="DefaultParagraphFont"/>
    <w:link w:val="CommentText"/>
    <w:uiPriority w:val="99"/>
    <w:semiHidden/>
    <w:rsid w:val="00A1654D"/>
    <w:rPr>
      <w:sz w:val="20"/>
      <w:szCs w:val="20"/>
    </w:rPr>
  </w:style>
  <w:style w:type="paragraph" w:styleId="CommentSubject">
    <w:name w:val="annotation subject"/>
    <w:basedOn w:val="CommentText"/>
    <w:next w:val="CommentText"/>
    <w:link w:val="CommentSubjectChar"/>
    <w:uiPriority w:val="99"/>
    <w:semiHidden/>
    <w:unhideWhenUsed/>
    <w:rsid w:val="00A1654D"/>
    <w:rPr>
      <w:b/>
      <w:bCs/>
    </w:rPr>
  </w:style>
  <w:style w:type="character" w:customStyle="1" w:styleId="CommentSubjectChar">
    <w:name w:val="Comment Subject Char"/>
    <w:basedOn w:val="CommentTextChar"/>
    <w:link w:val="CommentSubject"/>
    <w:uiPriority w:val="99"/>
    <w:semiHidden/>
    <w:rsid w:val="00A165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043511">
      <w:bodyDiv w:val="1"/>
      <w:marLeft w:val="0"/>
      <w:marRight w:val="0"/>
      <w:marTop w:val="0"/>
      <w:marBottom w:val="0"/>
      <w:divBdr>
        <w:top w:val="none" w:sz="0" w:space="0" w:color="auto"/>
        <w:left w:val="none" w:sz="0" w:space="0" w:color="auto"/>
        <w:bottom w:val="none" w:sz="0" w:space="0" w:color="auto"/>
        <w:right w:val="none" w:sz="0" w:space="0" w:color="auto"/>
      </w:divBdr>
      <w:divsChild>
        <w:div w:id="815224969">
          <w:marLeft w:val="0"/>
          <w:marRight w:val="0"/>
          <w:marTop w:val="0"/>
          <w:marBottom w:val="0"/>
          <w:divBdr>
            <w:top w:val="none" w:sz="0" w:space="0" w:color="auto"/>
            <w:left w:val="none" w:sz="0" w:space="0" w:color="auto"/>
            <w:bottom w:val="none" w:sz="0" w:space="0" w:color="auto"/>
            <w:right w:val="none" w:sz="0" w:space="0" w:color="auto"/>
          </w:divBdr>
        </w:div>
        <w:div w:id="1781026322">
          <w:marLeft w:val="0"/>
          <w:marRight w:val="0"/>
          <w:marTop w:val="0"/>
          <w:marBottom w:val="0"/>
          <w:divBdr>
            <w:top w:val="none" w:sz="0" w:space="0" w:color="auto"/>
            <w:left w:val="none" w:sz="0" w:space="0" w:color="auto"/>
            <w:bottom w:val="none" w:sz="0" w:space="0" w:color="auto"/>
            <w:right w:val="none" w:sz="0" w:space="0" w:color="auto"/>
          </w:divBdr>
        </w:div>
      </w:divsChild>
    </w:div>
    <w:div w:id="914238681">
      <w:bodyDiv w:val="1"/>
      <w:marLeft w:val="0"/>
      <w:marRight w:val="0"/>
      <w:marTop w:val="0"/>
      <w:marBottom w:val="0"/>
      <w:divBdr>
        <w:top w:val="none" w:sz="0" w:space="0" w:color="auto"/>
        <w:left w:val="none" w:sz="0" w:space="0" w:color="auto"/>
        <w:bottom w:val="none" w:sz="0" w:space="0" w:color="auto"/>
        <w:right w:val="none" w:sz="0" w:space="0" w:color="auto"/>
      </w:divBdr>
      <w:divsChild>
        <w:div w:id="620573">
          <w:marLeft w:val="0"/>
          <w:marRight w:val="0"/>
          <w:marTop w:val="0"/>
          <w:marBottom w:val="0"/>
          <w:divBdr>
            <w:top w:val="none" w:sz="0" w:space="0" w:color="auto"/>
            <w:left w:val="none" w:sz="0" w:space="0" w:color="auto"/>
            <w:bottom w:val="none" w:sz="0" w:space="0" w:color="auto"/>
            <w:right w:val="none" w:sz="0" w:space="0" w:color="auto"/>
          </w:divBdr>
        </w:div>
        <w:div w:id="16127234">
          <w:marLeft w:val="0"/>
          <w:marRight w:val="0"/>
          <w:marTop w:val="0"/>
          <w:marBottom w:val="0"/>
          <w:divBdr>
            <w:top w:val="none" w:sz="0" w:space="0" w:color="auto"/>
            <w:left w:val="none" w:sz="0" w:space="0" w:color="auto"/>
            <w:bottom w:val="none" w:sz="0" w:space="0" w:color="auto"/>
            <w:right w:val="none" w:sz="0" w:space="0" w:color="auto"/>
          </w:divBdr>
        </w:div>
        <w:div w:id="95440459">
          <w:marLeft w:val="0"/>
          <w:marRight w:val="0"/>
          <w:marTop w:val="0"/>
          <w:marBottom w:val="0"/>
          <w:divBdr>
            <w:top w:val="none" w:sz="0" w:space="0" w:color="auto"/>
            <w:left w:val="none" w:sz="0" w:space="0" w:color="auto"/>
            <w:bottom w:val="none" w:sz="0" w:space="0" w:color="auto"/>
            <w:right w:val="none" w:sz="0" w:space="0" w:color="auto"/>
          </w:divBdr>
        </w:div>
        <w:div w:id="133257119">
          <w:marLeft w:val="0"/>
          <w:marRight w:val="0"/>
          <w:marTop w:val="0"/>
          <w:marBottom w:val="0"/>
          <w:divBdr>
            <w:top w:val="none" w:sz="0" w:space="0" w:color="auto"/>
            <w:left w:val="none" w:sz="0" w:space="0" w:color="auto"/>
            <w:bottom w:val="none" w:sz="0" w:space="0" w:color="auto"/>
            <w:right w:val="none" w:sz="0" w:space="0" w:color="auto"/>
          </w:divBdr>
        </w:div>
        <w:div w:id="187304483">
          <w:marLeft w:val="0"/>
          <w:marRight w:val="0"/>
          <w:marTop w:val="0"/>
          <w:marBottom w:val="0"/>
          <w:divBdr>
            <w:top w:val="none" w:sz="0" w:space="0" w:color="auto"/>
            <w:left w:val="none" w:sz="0" w:space="0" w:color="auto"/>
            <w:bottom w:val="none" w:sz="0" w:space="0" w:color="auto"/>
            <w:right w:val="none" w:sz="0" w:space="0" w:color="auto"/>
          </w:divBdr>
        </w:div>
        <w:div w:id="192620593">
          <w:marLeft w:val="0"/>
          <w:marRight w:val="0"/>
          <w:marTop w:val="0"/>
          <w:marBottom w:val="0"/>
          <w:divBdr>
            <w:top w:val="none" w:sz="0" w:space="0" w:color="auto"/>
            <w:left w:val="none" w:sz="0" w:space="0" w:color="auto"/>
            <w:bottom w:val="none" w:sz="0" w:space="0" w:color="auto"/>
            <w:right w:val="none" w:sz="0" w:space="0" w:color="auto"/>
          </w:divBdr>
        </w:div>
        <w:div w:id="216748000">
          <w:marLeft w:val="0"/>
          <w:marRight w:val="0"/>
          <w:marTop w:val="0"/>
          <w:marBottom w:val="0"/>
          <w:divBdr>
            <w:top w:val="none" w:sz="0" w:space="0" w:color="auto"/>
            <w:left w:val="none" w:sz="0" w:space="0" w:color="auto"/>
            <w:bottom w:val="none" w:sz="0" w:space="0" w:color="auto"/>
            <w:right w:val="none" w:sz="0" w:space="0" w:color="auto"/>
          </w:divBdr>
        </w:div>
        <w:div w:id="247816367">
          <w:marLeft w:val="0"/>
          <w:marRight w:val="0"/>
          <w:marTop w:val="0"/>
          <w:marBottom w:val="0"/>
          <w:divBdr>
            <w:top w:val="none" w:sz="0" w:space="0" w:color="auto"/>
            <w:left w:val="none" w:sz="0" w:space="0" w:color="auto"/>
            <w:bottom w:val="none" w:sz="0" w:space="0" w:color="auto"/>
            <w:right w:val="none" w:sz="0" w:space="0" w:color="auto"/>
          </w:divBdr>
        </w:div>
        <w:div w:id="277224373">
          <w:marLeft w:val="0"/>
          <w:marRight w:val="0"/>
          <w:marTop w:val="0"/>
          <w:marBottom w:val="0"/>
          <w:divBdr>
            <w:top w:val="none" w:sz="0" w:space="0" w:color="auto"/>
            <w:left w:val="none" w:sz="0" w:space="0" w:color="auto"/>
            <w:bottom w:val="none" w:sz="0" w:space="0" w:color="auto"/>
            <w:right w:val="none" w:sz="0" w:space="0" w:color="auto"/>
          </w:divBdr>
        </w:div>
        <w:div w:id="333342325">
          <w:marLeft w:val="0"/>
          <w:marRight w:val="0"/>
          <w:marTop w:val="0"/>
          <w:marBottom w:val="0"/>
          <w:divBdr>
            <w:top w:val="none" w:sz="0" w:space="0" w:color="auto"/>
            <w:left w:val="none" w:sz="0" w:space="0" w:color="auto"/>
            <w:bottom w:val="none" w:sz="0" w:space="0" w:color="auto"/>
            <w:right w:val="none" w:sz="0" w:space="0" w:color="auto"/>
          </w:divBdr>
        </w:div>
        <w:div w:id="777717403">
          <w:marLeft w:val="0"/>
          <w:marRight w:val="0"/>
          <w:marTop w:val="0"/>
          <w:marBottom w:val="0"/>
          <w:divBdr>
            <w:top w:val="none" w:sz="0" w:space="0" w:color="auto"/>
            <w:left w:val="none" w:sz="0" w:space="0" w:color="auto"/>
            <w:bottom w:val="none" w:sz="0" w:space="0" w:color="auto"/>
            <w:right w:val="none" w:sz="0" w:space="0" w:color="auto"/>
          </w:divBdr>
        </w:div>
        <w:div w:id="839857084">
          <w:marLeft w:val="0"/>
          <w:marRight w:val="0"/>
          <w:marTop w:val="0"/>
          <w:marBottom w:val="0"/>
          <w:divBdr>
            <w:top w:val="none" w:sz="0" w:space="0" w:color="auto"/>
            <w:left w:val="none" w:sz="0" w:space="0" w:color="auto"/>
            <w:bottom w:val="none" w:sz="0" w:space="0" w:color="auto"/>
            <w:right w:val="none" w:sz="0" w:space="0" w:color="auto"/>
          </w:divBdr>
        </w:div>
        <w:div w:id="917404776">
          <w:marLeft w:val="0"/>
          <w:marRight w:val="0"/>
          <w:marTop w:val="0"/>
          <w:marBottom w:val="0"/>
          <w:divBdr>
            <w:top w:val="none" w:sz="0" w:space="0" w:color="auto"/>
            <w:left w:val="none" w:sz="0" w:space="0" w:color="auto"/>
            <w:bottom w:val="none" w:sz="0" w:space="0" w:color="auto"/>
            <w:right w:val="none" w:sz="0" w:space="0" w:color="auto"/>
          </w:divBdr>
        </w:div>
        <w:div w:id="938366812">
          <w:marLeft w:val="0"/>
          <w:marRight w:val="0"/>
          <w:marTop w:val="0"/>
          <w:marBottom w:val="0"/>
          <w:divBdr>
            <w:top w:val="none" w:sz="0" w:space="0" w:color="auto"/>
            <w:left w:val="none" w:sz="0" w:space="0" w:color="auto"/>
            <w:bottom w:val="none" w:sz="0" w:space="0" w:color="auto"/>
            <w:right w:val="none" w:sz="0" w:space="0" w:color="auto"/>
          </w:divBdr>
        </w:div>
        <w:div w:id="1042553740">
          <w:marLeft w:val="0"/>
          <w:marRight w:val="0"/>
          <w:marTop w:val="0"/>
          <w:marBottom w:val="0"/>
          <w:divBdr>
            <w:top w:val="none" w:sz="0" w:space="0" w:color="auto"/>
            <w:left w:val="none" w:sz="0" w:space="0" w:color="auto"/>
            <w:bottom w:val="none" w:sz="0" w:space="0" w:color="auto"/>
            <w:right w:val="none" w:sz="0" w:space="0" w:color="auto"/>
          </w:divBdr>
        </w:div>
        <w:div w:id="1059717217">
          <w:marLeft w:val="0"/>
          <w:marRight w:val="0"/>
          <w:marTop w:val="0"/>
          <w:marBottom w:val="0"/>
          <w:divBdr>
            <w:top w:val="none" w:sz="0" w:space="0" w:color="auto"/>
            <w:left w:val="none" w:sz="0" w:space="0" w:color="auto"/>
            <w:bottom w:val="none" w:sz="0" w:space="0" w:color="auto"/>
            <w:right w:val="none" w:sz="0" w:space="0" w:color="auto"/>
          </w:divBdr>
        </w:div>
        <w:div w:id="1086343019">
          <w:marLeft w:val="0"/>
          <w:marRight w:val="0"/>
          <w:marTop w:val="0"/>
          <w:marBottom w:val="0"/>
          <w:divBdr>
            <w:top w:val="none" w:sz="0" w:space="0" w:color="auto"/>
            <w:left w:val="none" w:sz="0" w:space="0" w:color="auto"/>
            <w:bottom w:val="none" w:sz="0" w:space="0" w:color="auto"/>
            <w:right w:val="none" w:sz="0" w:space="0" w:color="auto"/>
          </w:divBdr>
        </w:div>
        <w:div w:id="1183133048">
          <w:marLeft w:val="0"/>
          <w:marRight w:val="0"/>
          <w:marTop w:val="0"/>
          <w:marBottom w:val="0"/>
          <w:divBdr>
            <w:top w:val="none" w:sz="0" w:space="0" w:color="auto"/>
            <w:left w:val="none" w:sz="0" w:space="0" w:color="auto"/>
            <w:bottom w:val="none" w:sz="0" w:space="0" w:color="auto"/>
            <w:right w:val="none" w:sz="0" w:space="0" w:color="auto"/>
          </w:divBdr>
        </w:div>
        <w:div w:id="1189098526">
          <w:marLeft w:val="0"/>
          <w:marRight w:val="0"/>
          <w:marTop w:val="0"/>
          <w:marBottom w:val="0"/>
          <w:divBdr>
            <w:top w:val="none" w:sz="0" w:space="0" w:color="auto"/>
            <w:left w:val="none" w:sz="0" w:space="0" w:color="auto"/>
            <w:bottom w:val="none" w:sz="0" w:space="0" w:color="auto"/>
            <w:right w:val="none" w:sz="0" w:space="0" w:color="auto"/>
          </w:divBdr>
        </w:div>
        <w:div w:id="1265962947">
          <w:marLeft w:val="0"/>
          <w:marRight w:val="0"/>
          <w:marTop w:val="0"/>
          <w:marBottom w:val="0"/>
          <w:divBdr>
            <w:top w:val="none" w:sz="0" w:space="0" w:color="auto"/>
            <w:left w:val="none" w:sz="0" w:space="0" w:color="auto"/>
            <w:bottom w:val="none" w:sz="0" w:space="0" w:color="auto"/>
            <w:right w:val="none" w:sz="0" w:space="0" w:color="auto"/>
          </w:divBdr>
        </w:div>
        <w:div w:id="1327242769">
          <w:marLeft w:val="0"/>
          <w:marRight w:val="0"/>
          <w:marTop w:val="0"/>
          <w:marBottom w:val="0"/>
          <w:divBdr>
            <w:top w:val="none" w:sz="0" w:space="0" w:color="auto"/>
            <w:left w:val="none" w:sz="0" w:space="0" w:color="auto"/>
            <w:bottom w:val="none" w:sz="0" w:space="0" w:color="auto"/>
            <w:right w:val="none" w:sz="0" w:space="0" w:color="auto"/>
          </w:divBdr>
        </w:div>
        <w:div w:id="1418793460">
          <w:marLeft w:val="0"/>
          <w:marRight w:val="0"/>
          <w:marTop w:val="0"/>
          <w:marBottom w:val="0"/>
          <w:divBdr>
            <w:top w:val="none" w:sz="0" w:space="0" w:color="auto"/>
            <w:left w:val="none" w:sz="0" w:space="0" w:color="auto"/>
            <w:bottom w:val="none" w:sz="0" w:space="0" w:color="auto"/>
            <w:right w:val="none" w:sz="0" w:space="0" w:color="auto"/>
          </w:divBdr>
        </w:div>
        <w:div w:id="1502503355">
          <w:marLeft w:val="0"/>
          <w:marRight w:val="0"/>
          <w:marTop w:val="0"/>
          <w:marBottom w:val="0"/>
          <w:divBdr>
            <w:top w:val="none" w:sz="0" w:space="0" w:color="auto"/>
            <w:left w:val="none" w:sz="0" w:space="0" w:color="auto"/>
            <w:bottom w:val="none" w:sz="0" w:space="0" w:color="auto"/>
            <w:right w:val="none" w:sz="0" w:space="0" w:color="auto"/>
          </w:divBdr>
        </w:div>
        <w:div w:id="1545602311">
          <w:marLeft w:val="0"/>
          <w:marRight w:val="0"/>
          <w:marTop w:val="0"/>
          <w:marBottom w:val="0"/>
          <w:divBdr>
            <w:top w:val="none" w:sz="0" w:space="0" w:color="auto"/>
            <w:left w:val="none" w:sz="0" w:space="0" w:color="auto"/>
            <w:bottom w:val="none" w:sz="0" w:space="0" w:color="auto"/>
            <w:right w:val="none" w:sz="0" w:space="0" w:color="auto"/>
          </w:divBdr>
        </w:div>
        <w:div w:id="1561793078">
          <w:marLeft w:val="0"/>
          <w:marRight w:val="0"/>
          <w:marTop w:val="0"/>
          <w:marBottom w:val="0"/>
          <w:divBdr>
            <w:top w:val="none" w:sz="0" w:space="0" w:color="auto"/>
            <w:left w:val="none" w:sz="0" w:space="0" w:color="auto"/>
            <w:bottom w:val="none" w:sz="0" w:space="0" w:color="auto"/>
            <w:right w:val="none" w:sz="0" w:space="0" w:color="auto"/>
          </w:divBdr>
        </w:div>
        <w:div w:id="1671828028">
          <w:marLeft w:val="0"/>
          <w:marRight w:val="0"/>
          <w:marTop w:val="0"/>
          <w:marBottom w:val="0"/>
          <w:divBdr>
            <w:top w:val="none" w:sz="0" w:space="0" w:color="auto"/>
            <w:left w:val="none" w:sz="0" w:space="0" w:color="auto"/>
            <w:bottom w:val="none" w:sz="0" w:space="0" w:color="auto"/>
            <w:right w:val="none" w:sz="0" w:space="0" w:color="auto"/>
          </w:divBdr>
          <w:divsChild>
            <w:div w:id="1131479049">
              <w:marLeft w:val="0"/>
              <w:marRight w:val="0"/>
              <w:marTop w:val="0"/>
              <w:marBottom w:val="0"/>
              <w:divBdr>
                <w:top w:val="none" w:sz="0" w:space="0" w:color="auto"/>
                <w:left w:val="none" w:sz="0" w:space="0" w:color="auto"/>
                <w:bottom w:val="none" w:sz="0" w:space="0" w:color="auto"/>
                <w:right w:val="none" w:sz="0" w:space="0" w:color="auto"/>
              </w:divBdr>
            </w:div>
            <w:div w:id="2044593247">
              <w:marLeft w:val="0"/>
              <w:marRight w:val="0"/>
              <w:marTop w:val="0"/>
              <w:marBottom w:val="0"/>
              <w:divBdr>
                <w:top w:val="none" w:sz="0" w:space="0" w:color="auto"/>
                <w:left w:val="none" w:sz="0" w:space="0" w:color="auto"/>
                <w:bottom w:val="none" w:sz="0" w:space="0" w:color="auto"/>
                <w:right w:val="none" w:sz="0" w:space="0" w:color="auto"/>
              </w:divBdr>
            </w:div>
          </w:divsChild>
        </w:div>
        <w:div w:id="1721130943">
          <w:marLeft w:val="0"/>
          <w:marRight w:val="0"/>
          <w:marTop w:val="0"/>
          <w:marBottom w:val="0"/>
          <w:divBdr>
            <w:top w:val="none" w:sz="0" w:space="0" w:color="auto"/>
            <w:left w:val="none" w:sz="0" w:space="0" w:color="auto"/>
            <w:bottom w:val="none" w:sz="0" w:space="0" w:color="auto"/>
            <w:right w:val="none" w:sz="0" w:space="0" w:color="auto"/>
          </w:divBdr>
        </w:div>
        <w:div w:id="1724140225">
          <w:marLeft w:val="0"/>
          <w:marRight w:val="0"/>
          <w:marTop w:val="0"/>
          <w:marBottom w:val="0"/>
          <w:divBdr>
            <w:top w:val="none" w:sz="0" w:space="0" w:color="auto"/>
            <w:left w:val="none" w:sz="0" w:space="0" w:color="auto"/>
            <w:bottom w:val="none" w:sz="0" w:space="0" w:color="auto"/>
            <w:right w:val="none" w:sz="0" w:space="0" w:color="auto"/>
          </w:divBdr>
        </w:div>
        <w:div w:id="1754424340">
          <w:marLeft w:val="0"/>
          <w:marRight w:val="0"/>
          <w:marTop w:val="0"/>
          <w:marBottom w:val="0"/>
          <w:divBdr>
            <w:top w:val="none" w:sz="0" w:space="0" w:color="auto"/>
            <w:left w:val="none" w:sz="0" w:space="0" w:color="auto"/>
            <w:bottom w:val="none" w:sz="0" w:space="0" w:color="auto"/>
            <w:right w:val="none" w:sz="0" w:space="0" w:color="auto"/>
          </w:divBdr>
        </w:div>
        <w:div w:id="1781296773">
          <w:marLeft w:val="0"/>
          <w:marRight w:val="0"/>
          <w:marTop w:val="0"/>
          <w:marBottom w:val="0"/>
          <w:divBdr>
            <w:top w:val="none" w:sz="0" w:space="0" w:color="auto"/>
            <w:left w:val="none" w:sz="0" w:space="0" w:color="auto"/>
            <w:bottom w:val="none" w:sz="0" w:space="0" w:color="auto"/>
            <w:right w:val="none" w:sz="0" w:space="0" w:color="auto"/>
          </w:divBdr>
        </w:div>
        <w:div w:id="1833528189">
          <w:marLeft w:val="0"/>
          <w:marRight w:val="0"/>
          <w:marTop w:val="0"/>
          <w:marBottom w:val="0"/>
          <w:divBdr>
            <w:top w:val="none" w:sz="0" w:space="0" w:color="auto"/>
            <w:left w:val="none" w:sz="0" w:space="0" w:color="auto"/>
            <w:bottom w:val="none" w:sz="0" w:space="0" w:color="auto"/>
            <w:right w:val="none" w:sz="0" w:space="0" w:color="auto"/>
          </w:divBdr>
        </w:div>
        <w:div w:id="2039037396">
          <w:marLeft w:val="0"/>
          <w:marRight w:val="0"/>
          <w:marTop w:val="0"/>
          <w:marBottom w:val="0"/>
          <w:divBdr>
            <w:top w:val="none" w:sz="0" w:space="0" w:color="auto"/>
            <w:left w:val="none" w:sz="0" w:space="0" w:color="auto"/>
            <w:bottom w:val="none" w:sz="0" w:space="0" w:color="auto"/>
            <w:right w:val="none" w:sz="0" w:space="0" w:color="auto"/>
          </w:divBdr>
        </w:div>
        <w:div w:id="2042631299">
          <w:marLeft w:val="0"/>
          <w:marRight w:val="0"/>
          <w:marTop w:val="0"/>
          <w:marBottom w:val="0"/>
          <w:divBdr>
            <w:top w:val="none" w:sz="0" w:space="0" w:color="auto"/>
            <w:left w:val="none" w:sz="0" w:space="0" w:color="auto"/>
            <w:bottom w:val="none" w:sz="0" w:space="0" w:color="auto"/>
            <w:right w:val="none" w:sz="0" w:space="0" w:color="auto"/>
          </w:divBdr>
        </w:div>
        <w:div w:id="2069647343">
          <w:marLeft w:val="0"/>
          <w:marRight w:val="0"/>
          <w:marTop w:val="0"/>
          <w:marBottom w:val="0"/>
          <w:divBdr>
            <w:top w:val="none" w:sz="0" w:space="0" w:color="auto"/>
            <w:left w:val="none" w:sz="0" w:space="0" w:color="auto"/>
            <w:bottom w:val="none" w:sz="0" w:space="0" w:color="auto"/>
            <w:right w:val="none" w:sz="0" w:space="0" w:color="auto"/>
          </w:divBdr>
        </w:div>
        <w:div w:id="2070490968">
          <w:marLeft w:val="0"/>
          <w:marRight w:val="0"/>
          <w:marTop w:val="0"/>
          <w:marBottom w:val="0"/>
          <w:divBdr>
            <w:top w:val="none" w:sz="0" w:space="0" w:color="auto"/>
            <w:left w:val="none" w:sz="0" w:space="0" w:color="auto"/>
            <w:bottom w:val="none" w:sz="0" w:space="0" w:color="auto"/>
            <w:right w:val="none" w:sz="0" w:space="0" w:color="auto"/>
          </w:divBdr>
        </w:div>
        <w:div w:id="2103989244">
          <w:marLeft w:val="0"/>
          <w:marRight w:val="0"/>
          <w:marTop w:val="0"/>
          <w:marBottom w:val="0"/>
          <w:divBdr>
            <w:top w:val="none" w:sz="0" w:space="0" w:color="auto"/>
            <w:left w:val="none" w:sz="0" w:space="0" w:color="auto"/>
            <w:bottom w:val="none" w:sz="0" w:space="0" w:color="auto"/>
            <w:right w:val="none" w:sz="0" w:space="0" w:color="auto"/>
          </w:divBdr>
        </w:div>
        <w:div w:id="2144731930">
          <w:marLeft w:val="0"/>
          <w:marRight w:val="0"/>
          <w:marTop w:val="0"/>
          <w:marBottom w:val="0"/>
          <w:divBdr>
            <w:top w:val="none" w:sz="0" w:space="0" w:color="auto"/>
            <w:left w:val="none" w:sz="0" w:space="0" w:color="auto"/>
            <w:bottom w:val="none" w:sz="0" w:space="0" w:color="auto"/>
            <w:right w:val="none" w:sz="0" w:space="0" w:color="auto"/>
          </w:divBdr>
        </w:div>
        <w:div w:id="21447615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onnectedhealthandfitness.com/events/connected-health-fitness-summit-2025"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interactivestrength.com/germany-spotlight/" TargetMode="External"/><Relationship Id="rId12" Type="http://schemas.openxmlformats.org/officeDocument/2006/relationships/hyperlink" Target="mailto:forme@jacktaylor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teractivestrength.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interactivestrength.com/germany-spotlight/" TargetMode="External"/><Relationship Id="rId4" Type="http://schemas.openxmlformats.org/officeDocument/2006/relationships/webSettings" Target="webSettings.xml"/><Relationship Id="rId9" Type="http://schemas.openxmlformats.org/officeDocument/2006/relationships/hyperlink" Target="https://interactivestrength.com/interactive-strength-inc-nasdaqtrnr-signs-exclusive-letter-of-intent-to-acquire-scaled-and-profitable-connected-fitness-equipment-busines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1480</Words>
  <Characters>8439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 Ward</dc:creator>
  <cp:keywords/>
  <dc:description/>
  <cp:lastModifiedBy>John McNamara</cp:lastModifiedBy>
  <cp:revision>2</cp:revision>
  <cp:lastPrinted>2024-02-26T02:05:00Z</cp:lastPrinted>
  <dcterms:created xsi:type="dcterms:W3CDTF">2025-02-11T04:06:00Z</dcterms:created>
  <dcterms:modified xsi:type="dcterms:W3CDTF">2025-02-11T04:06:00Z</dcterms:modified>
</cp:coreProperties>
</file>