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2C7892" w14:textId="4B9E0CF9" w:rsidR="00A14352" w:rsidRPr="00A14352" w:rsidRDefault="00A14352" w:rsidP="00A14352">
      <w:pPr>
        <w:jc w:val="center"/>
        <w:rPr>
          <w:b/>
          <w:bCs/>
          <w:kern w:val="2"/>
          <w14:ligatures w14:val="standardContextual"/>
        </w:rPr>
      </w:pPr>
      <w:r w:rsidRPr="00A14352">
        <w:rPr>
          <w:b/>
          <w:bCs/>
          <w:kern w:val="2"/>
          <w14:ligatures w14:val="standardContextual"/>
        </w:rPr>
        <w:t>Infrax Systems, Inc (OTC: IFXY) Provides Shareholder Update</w:t>
      </w:r>
    </w:p>
    <w:p w14:paraId="331A580D" w14:textId="5ED1619C" w:rsidR="00A14352" w:rsidRPr="00A14352" w:rsidRDefault="001B71AD" w:rsidP="00A14352">
      <w:pPr>
        <w:jc w:val="center"/>
        <w:rPr>
          <w:kern w:val="2"/>
          <w14:ligatures w14:val="standardContextual"/>
        </w:rPr>
      </w:pPr>
      <w:r>
        <w:rPr>
          <w:kern w:val="2"/>
          <w14:ligatures w14:val="standardContextual"/>
        </w:rPr>
        <w:t xml:space="preserve">Acquisition of </w:t>
      </w:r>
      <w:r w:rsidR="00924CDC">
        <w:rPr>
          <w:kern w:val="2"/>
          <w14:ligatures w14:val="standardContextual"/>
        </w:rPr>
        <w:t>Cornerstone Rock</w:t>
      </w:r>
      <w:r>
        <w:rPr>
          <w:kern w:val="2"/>
          <w14:ligatures w14:val="standardContextual"/>
        </w:rPr>
        <w:t>, Audit Status</w:t>
      </w:r>
      <w:r w:rsidR="008F07C2">
        <w:rPr>
          <w:kern w:val="2"/>
          <w14:ligatures w14:val="standardContextual"/>
        </w:rPr>
        <w:t>, Operations</w:t>
      </w:r>
    </w:p>
    <w:p w14:paraId="14B0AA7D" w14:textId="77777777" w:rsidR="00A14352" w:rsidRPr="00A14352" w:rsidRDefault="00A14352" w:rsidP="00A14352">
      <w:pPr>
        <w:rPr>
          <w:rFonts w:ascii="Calibri" w:hAnsi="Calibri" w:cs="Calibri"/>
          <w:b/>
          <w:bCs/>
          <w:color w:val="000000"/>
          <w:kern w:val="2"/>
          <w14:ligatures w14:val="standardContextual"/>
        </w:rPr>
      </w:pPr>
    </w:p>
    <w:p w14:paraId="70487722" w14:textId="1ED88EF6" w:rsidR="004334FA" w:rsidRDefault="001B71AD" w:rsidP="0005255A">
      <w:pPr>
        <w:rPr>
          <w:kern w:val="2"/>
          <w14:ligatures w14:val="standardContextual"/>
        </w:rPr>
      </w:pPr>
      <w:r>
        <w:rPr>
          <w:rFonts w:ascii="Calibri" w:hAnsi="Calibri" w:cs="Calibri"/>
          <w:b/>
          <w:bCs/>
          <w:color w:val="000000"/>
          <w:kern w:val="2"/>
          <w14:ligatures w14:val="standardContextual"/>
        </w:rPr>
        <w:t>HOUSTON</w:t>
      </w:r>
      <w:r w:rsidR="00A14352" w:rsidRPr="00A14352">
        <w:rPr>
          <w:rFonts w:ascii="Calibri" w:hAnsi="Calibri" w:cs="Calibri"/>
          <w:b/>
          <w:bCs/>
          <w:color w:val="000000"/>
          <w:kern w:val="2"/>
          <w14:ligatures w14:val="standardContextual"/>
        </w:rPr>
        <w:t xml:space="preserve">, TX / ACCESSWIRE / </w:t>
      </w:r>
      <w:r w:rsidR="007B15B0">
        <w:rPr>
          <w:rFonts w:ascii="Calibri" w:hAnsi="Calibri" w:cs="Calibri"/>
          <w:b/>
          <w:bCs/>
          <w:color w:val="000000"/>
          <w:kern w:val="2"/>
          <w14:ligatures w14:val="standardContextual"/>
        </w:rPr>
        <w:t>November 15</w:t>
      </w:r>
      <w:r w:rsidR="00A14352" w:rsidRPr="00A14352">
        <w:rPr>
          <w:rFonts w:ascii="Calibri" w:hAnsi="Calibri" w:cs="Calibri"/>
          <w:b/>
          <w:bCs/>
          <w:color w:val="000000"/>
          <w:kern w:val="2"/>
          <w14:ligatures w14:val="standardContextual"/>
        </w:rPr>
        <w:t>, 202</w:t>
      </w:r>
      <w:r w:rsidR="00C769C0">
        <w:rPr>
          <w:rFonts w:ascii="Calibri" w:hAnsi="Calibri" w:cs="Calibri"/>
          <w:b/>
          <w:bCs/>
          <w:color w:val="000000"/>
          <w:kern w:val="2"/>
          <w14:ligatures w14:val="standardContextual"/>
        </w:rPr>
        <w:t>4</w:t>
      </w:r>
      <w:r w:rsidR="00A14352" w:rsidRPr="00A14352">
        <w:rPr>
          <w:rFonts w:ascii="Calibri" w:hAnsi="Calibri" w:cs="Calibri"/>
          <w:b/>
          <w:bCs/>
          <w:color w:val="000000"/>
          <w:kern w:val="2"/>
          <w14:ligatures w14:val="standardContextual"/>
        </w:rPr>
        <w:t xml:space="preserve"> /</w:t>
      </w:r>
      <w:r w:rsidR="00A14352" w:rsidRPr="00A14352">
        <w:rPr>
          <w:rFonts w:ascii="Calibri" w:hAnsi="Calibri" w:cs="Calibri"/>
          <w:color w:val="000000"/>
          <w:kern w:val="2"/>
          <w14:ligatures w14:val="standardContextual"/>
        </w:rPr>
        <w:t> </w:t>
      </w:r>
      <w:r w:rsidR="00A14352" w:rsidRPr="00A14352">
        <w:rPr>
          <w:kern w:val="2"/>
          <w14:ligatures w14:val="standardContextual"/>
        </w:rPr>
        <w:t xml:space="preserve"> Infrax Systems, Inc. (OTC PINK: IFXY) (the “Company”) </w:t>
      </w:r>
      <w:r w:rsidR="0005255A" w:rsidRPr="0005255A">
        <w:rPr>
          <w:kern w:val="2"/>
          <w14:ligatures w14:val="standardContextual"/>
        </w:rPr>
        <w:t xml:space="preserve">is pleased to provide shareholders with an update of recent activities and </w:t>
      </w:r>
      <w:r w:rsidR="008F07C2">
        <w:rPr>
          <w:kern w:val="2"/>
          <w14:ligatures w14:val="standardContextual"/>
        </w:rPr>
        <w:t>its progress on previously announced plans:</w:t>
      </w:r>
      <w:r w:rsidR="001F2C8C" w:rsidRPr="001F2C8C">
        <w:rPr>
          <w:kern w:val="2"/>
          <w14:ligatures w14:val="standardContextual"/>
        </w:rPr>
        <w:t xml:space="preserve"> </w:t>
      </w:r>
    </w:p>
    <w:p w14:paraId="4828D7A3" w14:textId="77777777" w:rsidR="008F07C2" w:rsidRDefault="008F07C2" w:rsidP="008F07C2">
      <w:pPr>
        <w:rPr>
          <w:kern w:val="2"/>
          <w14:ligatures w14:val="standardContextual"/>
        </w:rPr>
      </w:pPr>
      <w:r>
        <w:rPr>
          <w:kern w:val="2"/>
          <w14:ligatures w14:val="standardContextual"/>
        </w:rPr>
        <w:t xml:space="preserve">The Company is moving forward with its previously announced acquisition of Cornerstone Rock Development LLC, a Houston-based </w:t>
      </w:r>
      <w:r w:rsidRPr="00AA1B10">
        <w:rPr>
          <w:kern w:val="2"/>
          <w14:ligatures w14:val="standardContextual"/>
        </w:rPr>
        <w:t>residential construction company specializing in home remodeling renovations and new construction projects</w:t>
      </w:r>
      <w:r>
        <w:rPr>
          <w:kern w:val="2"/>
          <w14:ligatures w14:val="standardContextual"/>
        </w:rPr>
        <w:t>. The Company expects to close the transaction by the end of November 2024.</w:t>
      </w:r>
    </w:p>
    <w:p w14:paraId="61E55B02" w14:textId="77777777" w:rsidR="008F07C2" w:rsidRDefault="008F07C2" w:rsidP="008F07C2">
      <w:pPr>
        <w:rPr>
          <w:kern w:val="2"/>
          <w14:ligatures w14:val="standardContextual"/>
        </w:rPr>
      </w:pPr>
      <w:r>
        <w:rPr>
          <w:kern w:val="2"/>
          <w14:ligatures w14:val="standardContextual"/>
        </w:rPr>
        <w:t>The Company has completed the audits for 2022 and 2023 and is currently working on its audit for its 2024 fiscal year that ended on June 30, 2024. The Company is concurrently working with its attorneys to prepare the text of its S-1 registration statement and plans to file it with the SEC once the 2024 audit is complete. The Company plans to file the S-1 sometime in the next few months.</w:t>
      </w:r>
    </w:p>
    <w:p w14:paraId="72F83F76" w14:textId="6BD5CA46" w:rsidR="00B4030A" w:rsidRDefault="00B4030A" w:rsidP="00B4030A">
      <w:pPr>
        <w:rPr>
          <w:kern w:val="2"/>
          <w14:ligatures w14:val="standardContextual"/>
        </w:rPr>
      </w:pPr>
      <w:r>
        <w:rPr>
          <w:kern w:val="2"/>
          <w14:ligatures w14:val="standardContextual"/>
        </w:rPr>
        <w:t xml:space="preserve">The Company recently filed its quarterly disclosure statement </w:t>
      </w:r>
      <w:r w:rsidR="008F07C2">
        <w:rPr>
          <w:kern w:val="2"/>
          <w14:ligatures w14:val="standardContextual"/>
        </w:rPr>
        <w:t xml:space="preserve">with OTC Markets </w:t>
      </w:r>
      <w:r>
        <w:rPr>
          <w:kern w:val="2"/>
          <w14:ligatures w14:val="standardContextual"/>
        </w:rPr>
        <w:t>for the first quarter of its 2025 fiscal year ending September 30, 2024, which includes the results for JP Developers of Texas. However, the income statement only includes a few days of JP Developers of Texas’s operations as the company was acquired in late September, just days before the end of the reporting period.</w:t>
      </w:r>
    </w:p>
    <w:p w14:paraId="4836A672" w14:textId="77777777" w:rsidR="008F07C2" w:rsidRDefault="00EA4E1B" w:rsidP="00B4030A">
      <w:pPr>
        <w:rPr>
          <w:kern w:val="2"/>
          <w14:ligatures w14:val="standardContextual"/>
        </w:rPr>
      </w:pPr>
      <w:r>
        <w:rPr>
          <w:kern w:val="2"/>
          <w14:ligatures w14:val="standardContextual"/>
        </w:rPr>
        <w:t xml:space="preserve">The Company has acquired several new properties </w:t>
      </w:r>
      <w:r w:rsidR="008F07C2">
        <w:rPr>
          <w:kern w:val="2"/>
          <w14:ligatures w14:val="standardContextual"/>
        </w:rPr>
        <w:t>during the current quarter that are not included in the</w:t>
      </w:r>
      <w:r>
        <w:rPr>
          <w:kern w:val="2"/>
          <w14:ligatures w14:val="standardContextual"/>
        </w:rPr>
        <w:t xml:space="preserve"> first quarter report</w:t>
      </w:r>
      <w:r w:rsidR="008F07C2">
        <w:rPr>
          <w:kern w:val="2"/>
          <w14:ligatures w14:val="standardContextual"/>
        </w:rPr>
        <w:t>.</w:t>
      </w:r>
      <w:r>
        <w:rPr>
          <w:kern w:val="2"/>
          <w14:ligatures w14:val="standardContextual"/>
        </w:rPr>
        <w:t xml:space="preserve"> The Company currently has four completed homes on the market, thirteen homes being renovated, and plans to acquire four more homes, </w:t>
      </w:r>
      <w:r w:rsidR="008F07C2">
        <w:rPr>
          <w:kern w:val="2"/>
          <w14:ligatures w14:val="standardContextual"/>
        </w:rPr>
        <w:t xml:space="preserve">bringing the total to </w:t>
      </w:r>
      <w:r w:rsidR="008F07C2">
        <w:rPr>
          <w:kern w:val="2"/>
          <w14:ligatures w14:val="standardContextual"/>
        </w:rPr>
        <w:t>twenty-one (21) current and planned projects</w:t>
      </w:r>
      <w:r w:rsidR="008F07C2">
        <w:rPr>
          <w:kern w:val="2"/>
          <w14:ligatures w14:val="standardContextual"/>
        </w:rPr>
        <w:t xml:space="preserve"> through the end of the calendar year</w:t>
      </w:r>
      <w:r w:rsidR="008F07C2">
        <w:rPr>
          <w:kern w:val="2"/>
          <w14:ligatures w14:val="standardContextual"/>
        </w:rPr>
        <w:t>.</w:t>
      </w:r>
      <w:r>
        <w:rPr>
          <w:kern w:val="2"/>
          <w14:ligatures w14:val="standardContextual"/>
        </w:rPr>
        <w:t xml:space="preserve"> </w:t>
      </w:r>
    </w:p>
    <w:p w14:paraId="3C5ED45B" w14:textId="564E67C7" w:rsidR="00506056" w:rsidRPr="00924BF0" w:rsidRDefault="00506056" w:rsidP="00506056">
      <w:r w:rsidRPr="00924BF0">
        <w:rPr>
          <w:b/>
          <w:bCs/>
        </w:rPr>
        <w:t xml:space="preserve">About </w:t>
      </w:r>
      <w:r>
        <w:rPr>
          <w:b/>
          <w:bCs/>
        </w:rPr>
        <w:t>Infrax Systems, Inc.</w:t>
      </w:r>
    </w:p>
    <w:p w14:paraId="495EC2D2" w14:textId="1ED36F39" w:rsidR="001B26A1" w:rsidRDefault="00A14352" w:rsidP="00D247FB">
      <w:pPr>
        <w:spacing w:after="200" w:line="240" w:lineRule="auto"/>
        <w:rPr>
          <w:rFonts w:ascii="Calibri" w:eastAsia="Times New Roman" w:hAnsi="Calibri" w:cs="Calibri"/>
          <w:b/>
          <w:bCs/>
          <w:color w:val="000000"/>
        </w:rPr>
      </w:pPr>
      <w:r>
        <w:t>Infrax</w:t>
      </w:r>
      <w:r w:rsidRPr="00A14352">
        <w:t xml:space="preserve"> Systems, Inc. is</w:t>
      </w:r>
      <w:r w:rsidR="001F2C8C">
        <w:t xml:space="preserve"> focused on acquiring assets and companies in the real estate sector, including housing development, construction, remodeling, and financing. The Company also provides</w:t>
      </w:r>
      <w:r>
        <w:t xml:space="preserve"> products and services that</w:t>
      </w:r>
      <w:r w:rsidRPr="00A14352">
        <w:t xml:space="preserve"> address the various challenges faced by Latin American immigrants.</w:t>
      </w:r>
    </w:p>
    <w:p w14:paraId="02010168" w14:textId="6B1026B7" w:rsidR="00D247FB" w:rsidRDefault="00D247FB" w:rsidP="00D247FB">
      <w:pPr>
        <w:spacing w:after="200" w:line="240" w:lineRule="auto"/>
        <w:rPr>
          <w:rFonts w:ascii="Calibri" w:eastAsia="Times New Roman" w:hAnsi="Calibri" w:cs="Calibri"/>
          <w:b/>
          <w:bCs/>
          <w:color w:val="000000"/>
        </w:rPr>
      </w:pPr>
      <w:r w:rsidRPr="00D247FB">
        <w:rPr>
          <w:rFonts w:ascii="Calibri" w:eastAsia="Times New Roman" w:hAnsi="Calibri" w:cs="Calibri"/>
          <w:b/>
          <w:bCs/>
          <w:color w:val="000000"/>
        </w:rPr>
        <w:t>Contact Information:</w:t>
      </w:r>
    </w:p>
    <w:p w14:paraId="3CC12547" w14:textId="53E521FE" w:rsidR="00D247FB" w:rsidRDefault="00B67AA5" w:rsidP="00D247FB">
      <w:pPr>
        <w:spacing w:after="200" w:line="240" w:lineRule="auto"/>
        <w:rPr>
          <w:rFonts w:ascii="Times New Roman" w:eastAsia="Times New Roman" w:hAnsi="Times New Roman" w:cs="Times New Roman"/>
          <w:sz w:val="24"/>
          <w:szCs w:val="24"/>
        </w:rPr>
      </w:pPr>
      <w:hyperlink r:id="rId5" w:history="1">
        <w:r w:rsidRPr="005B045A">
          <w:rPr>
            <w:rStyle w:val="Hyperlink"/>
            <w:rFonts w:ascii="Times New Roman" w:eastAsia="Times New Roman" w:hAnsi="Times New Roman" w:cs="Times New Roman"/>
            <w:sz w:val="24"/>
            <w:szCs w:val="24"/>
          </w:rPr>
          <w:t>https://twitter.com/InfraxInc</w:t>
        </w:r>
      </w:hyperlink>
    </w:p>
    <w:p w14:paraId="375DED30" w14:textId="142A8B87" w:rsidR="00833023" w:rsidRDefault="00D247FB" w:rsidP="00D247FB">
      <w:pPr>
        <w:spacing w:after="200" w:line="240" w:lineRule="auto"/>
        <w:rPr>
          <w:rStyle w:val="Hyperlink"/>
          <w:rFonts w:ascii="Times New Roman" w:eastAsia="Times New Roman" w:hAnsi="Times New Roman" w:cs="Times New Roman"/>
          <w:sz w:val="24"/>
          <w:szCs w:val="24"/>
        </w:rPr>
      </w:pPr>
      <w:hyperlink r:id="rId6" w:history="1">
        <w:r w:rsidRPr="00882DFA">
          <w:rPr>
            <w:rStyle w:val="Hyperlink"/>
            <w:rFonts w:ascii="Times New Roman" w:eastAsia="Times New Roman" w:hAnsi="Times New Roman" w:cs="Times New Roman"/>
            <w:sz w:val="24"/>
            <w:szCs w:val="24"/>
          </w:rPr>
          <w:t>https://twitter.com/jpineda100</w:t>
        </w:r>
      </w:hyperlink>
    </w:p>
    <w:p w14:paraId="4EA53B82" w14:textId="4B43AD88" w:rsidR="000324D9" w:rsidRDefault="000324D9" w:rsidP="00D247FB">
      <w:pPr>
        <w:spacing w:after="200" w:line="240" w:lineRule="auto"/>
        <w:rPr>
          <w:rStyle w:val="Hyperlink"/>
          <w:rFonts w:ascii="Times New Roman" w:eastAsia="Times New Roman" w:hAnsi="Times New Roman" w:cs="Times New Roman"/>
          <w:sz w:val="24"/>
          <w:szCs w:val="24"/>
        </w:rPr>
      </w:pPr>
      <w:hyperlink r:id="rId7" w:history="1">
        <w:r w:rsidRPr="00661FA7">
          <w:rPr>
            <w:rStyle w:val="Hyperlink"/>
            <w:rFonts w:ascii="Times New Roman" w:eastAsia="Times New Roman" w:hAnsi="Times New Roman" w:cs="Times New Roman"/>
            <w:sz w:val="24"/>
            <w:szCs w:val="24"/>
          </w:rPr>
          <w:t>https://www.usstandardcapital.com/</w:t>
        </w:r>
      </w:hyperlink>
    </w:p>
    <w:p w14:paraId="2C28703C" w14:textId="06B22C35" w:rsidR="000324D9" w:rsidRDefault="000324D9" w:rsidP="00D247FB">
      <w:pPr>
        <w:spacing w:after="200" w:line="240" w:lineRule="auto"/>
        <w:rPr>
          <w:rStyle w:val="Hyperlink"/>
          <w:rFonts w:ascii="Times New Roman" w:eastAsia="Times New Roman" w:hAnsi="Times New Roman" w:cs="Times New Roman"/>
          <w:sz w:val="24"/>
          <w:szCs w:val="24"/>
        </w:rPr>
      </w:pPr>
      <w:hyperlink r:id="rId8" w:history="1">
        <w:r w:rsidRPr="00661FA7">
          <w:rPr>
            <w:rStyle w:val="Hyperlink"/>
            <w:rFonts w:ascii="Times New Roman" w:eastAsia="Times New Roman" w:hAnsi="Times New Roman" w:cs="Times New Roman"/>
            <w:sz w:val="24"/>
            <w:szCs w:val="24"/>
          </w:rPr>
          <w:t>https://www.jpdevelopersoftexas.com/</w:t>
        </w:r>
      </w:hyperlink>
    </w:p>
    <w:p w14:paraId="67148731" w14:textId="77777777" w:rsidR="000324D9" w:rsidRDefault="000324D9" w:rsidP="00D247FB">
      <w:pPr>
        <w:spacing w:after="200" w:line="240" w:lineRule="auto"/>
        <w:rPr>
          <w:rStyle w:val="Hyperlink"/>
          <w:rFonts w:ascii="Times New Roman" w:eastAsia="Times New Roman" w:hAnsi="Times New Roman" w:cs="Times New Roman"/>
          <w:sz w:val="24"/>
          <w:szCs w:val="24"/>
        </w:rPr>
      </w:pPr>
    </w:p>
    <w:p w14:paraId="7B9FAD39" w14:textId="77777777" w:rsidR="00D247FB" w:rsidRPr="00D247FB" w:rsidRDefault="00D247FB" w:rsidP="00D247FB">
      <w:pPr>
        <w:spacing w:after="200" w:line="240" w:lineRule="auto"/>
        <w:rPr>
          <w:rFonts w:ascii="Times New Roman" w:eastAsia="Times New Roman" w:hAnsi="Times New Roman" w:cs="Times New Roman"/>
          <w:sz w:val="24"/>
          <w:szCs w:val="24"/>
        </w:rPr>
      </w:pPr>
      <w:r w:rsidRPr="00D247FB">
        <w:rPr>
          <w:rFonts w:ascii="Calibri" w:eastAsia="Times New Roman" w:hAnsi="Calibri" w:cs="Calibri"/>
          <w:color w:val="000000"/>
        </w:rPr>
        <w:t>Shareholder/Investor inquiries for Infrax Systems, Inc.:</w:t>
      </w:r>
    </w:p>
    <w:p w14:paraId="37C56E9F" w14:textId="77777777" w:rsidR="00D247FB" w:rsidRPr="00D247FB" w:rsidRDefault="00D247FB" w:rsidP="00D247FB">
      <w:pPr>
        <w:spacing w:after="200" w:line="240" w:lineRule="auto"/>
        <w:rPr>
          <w:rFonts w:ascii="Times New Roman" w:eastAsia="Times New Roman" w:hAnsi="Times New Roman" w:cs="Times New Roman"/>
          <w:sz w:val="24"/>
          <w:szCs w:val="24"/>
        </w:rPr>
      </w:pPr>
      <w:r w:rsidRPr="00D247FB">
        <w:rPr>
          <w:rFonts w:ascii="Calibri" w:eastAsia="Times New Roman" w:hAnsi="Calibri" w:cs="Calibri"/>
          <w:color w:val="000000"/>
        </w:rPr>
        <w:lastRenderedPageBreak/>
        <w:t>Infrax Systems, Inc.</w:t>
      </w:r>
      <w:r w:rsidRPr="00D247FB">
        <w:rPr>
          <w:rFonts w:ascii="Calibri" w:eastAsia="Times New Roman" w:hAnsi="Calibri" w:cs="Calibri"/>
          <w:color w:val="000000"/>
        </w:rPr>
        <w:br/>
        <w:t>1-888-204-4134</w:t>
      </w:r>
      <w:r w:rsidRPr="00D247FB">
        <w:rPr>
          <w:rFonts w:ascii="Calibri" w:eastAsia="Times New Roman" w:hAnsi="Calibri" w:cs="Calibri"/>
          <w:color w:val="000000"/>
        </w:rPr>
        <w:br/>
      </w:r>
      <w:hyperlink r:id="rId9" w:history="1">
        <w:r w:rsidRPr="00D247FB">
          <w:rPr>
            <w:rFonts w:ascii="Calibri" w:eastAsia="Times New Roman" w:hAnsi="Calibri" w:cs="Calibri"/>
            <w:color w:val="0000FF"/>
            <w:u w:val="single"/>
          </w:rPr>
          <w:t>ir@infraxinc.com</w:t>
        </w:r>
      </w:hyperlink>
    </w:p>
    <w:p w14:paraId="540DCBC6" w14:textId="5445E637" w:rsidR="00D247FB" w:rsidRDefault="00D247FB" w:rsidP="00D247FB">
      <w:pPr>
        <w:rPr>
          <w:rFonts w:ascii="Calibri" w:eastAsia="Times New Roman" w:hAnsi="Calibri" w:cs="Calibri"/>
          <w:color w:val="000000"/>
        </w:rPr>
      </w:pPr>
      <w:r w:rsidRPr="00D247FB">
        <w:rPr>
          <w:rFonts w:ascii="Times New Roman" w:eastAsia="Times New Roman" w:hAnsi="Times New Roman" w:cs="Times New Roman"/>
          <w:sz w:val="24"/>
          <w:szCs w:val="24"/>
        </w:rPr>
        <w:br/>
      </w:r>
      <w:r w:rsidRPr="00D247FB">
        <w:rPr>
          <w:rFonts w:ascii="Calibri" w:eastAsia="Times New Roman" w:hAnsi="Calibri" w:cs="Calibri"/>
          <w:b/>
          <w:bCs/>
          <w:color w:val="000000"/>
        </w:rPr>
        <w:t>Safe Harbor Statement: </w:t>
      </w:r>
      <w:r w:rsidRPr="00D247FB">
        <w:rPr>
          <w:rFonts w:ascii="Calibri" w:eastAsia="Times New Roman" w:hAnsi="Calibri" w:cs="Calibri"/>
          <w:color w:val="000000"/>
        </w:rPr>
        <w:t>In addition to historical information, this press release may contain statements that constitute forward-looking statements within the meaning of the Securities Act of 1933 and the Securities Exchange Act of 1934, as amended by the Private Securities Litigation Reform Act of 1995. Forward-looking statements contained in this press release include the intent, belief, or expectations of the Company and members of its management team with respect to the Company's future business operations and the assumptions upon which such statements are based. Prospective investors are cautioned that any such forward-looking statements are not guarantees of future performance, and involve risks and uncertainties, and that actual results may differ materially from those contemplated by such forward-looking statements. Factors that could cause these differences include, but are not limited to, failure to complete anticipated sales under negotiations, lack of revenue growth, client discontinuances, failure to realize improvements in performance, efficiency and profitability, and adverse developments with respect to litigation or increased litigation costs, the operation or performance of the Company's business units or the market price of its common stock. Additional factors that would cause actual results to differ materially from those contemplated within this press release can also be found on the Company's website. The Company disclaims any responsibility to update any forward-looking</w:t>
      </w:r>
      <w:r w:rsidR="00833023">
        <w:rPr>
          <w:rFonts w:ascii="Calibri" w:eastAsia="Times New Roman" w:hAnsi="Calibri" w:cs="Calibri"/>
          <w:color w:val="000000"/>
        </w:rPr>
        <w:t xml:space="preserve"> statements.</w:t>
      </w:r>
    </w:p>
    <w:p w14:paraId="189DA48C" w14:textId="34F67D61" w:rsidR="00B8544E" w:rsidRDefault="00B8544E" w:rsidP="00D247FB">
      <w:pPr>
        <w:rPr>
          <w:rFonts w:ascii="Calibri" w:eastAsia="Times New Roman" w:hAnsi="Calibri" w:cs="Calibri"/>
          <w:color w:val="000000"/>
        </w:rPr>
      </w:pPr>
      <w:r>
        <w:rPr>
          <w:rFonts w:ascii="Calibri" w:eastAsia="Times New Roman" w:hAnsi="Calibri" w:cs="Calibri"/>
          <w:color w:val="000000"/>
        </w:rPr>
        <w:t>Source: Infrax Systems, Inc.</w:t>
      </w:r>
    </w:p>
    <w:p w14:paraId="6F34B3CC" w14:textId="77777777" w:rsidR="00B8544E" w:rsidRPr="00305B93" w:rsidRDefault="00B8544E" w:rsidP="00D247FB">
      <w:pPr>
        <w:rPr>
          <w:rFonts w:ascii="Calibri" w:hAnsi="Calibri" w:cs="Calibri"/>
          <w:color w:val="000000"/>
        </w:rPr>
      </w:pPr>
    </w:p>
    <w:sectPr w:rsidR="00B8544E" w:rsidRPr="00305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B93"/>
    <w:rsid w:val="00024D1C"/>
    <w:rsid w:val="000324D9"/>
    <w:rsid w:val="0005255A"/>
    <w:rsid w:val="0005459B"/>
    <w:rsid w:val="00057AF4"/>
    <w:rsid w:val="000677C1"/>
    <w:rsid w:val="0008657B"/>
    <w:rsid w:val="000A276A"/>
    <w:rsid w:val="000A4397"/>
    <w:rsid w:val="000B4D16"/>
    <w:rsid w:val="00185A27"/>
    <w:rsid w:val="001B26A1"/>
    <w:rsid w:val="001B71AD"/>
    <w:rsid w:val="001C122B"/>
    <w:rsid w:val="001D6ECD"/>
    <w:rsid w:val="001E7942"/>
    <w:rsid w:val="001F06D8"/>
    <w:rsid w:val="001F2C8C"/>
    <w:rsid w:val="00215B98"/>
    <w:rsid w:val="002454CE"/>
    <w:rsid w:val="00285D52"/>
    <w:rsid w:val="00297260"/>
    <w:rsid w:val="0029772B"/>
    <w:rsid w:val="002D0E97"/>
    <w:rsid w:val="002D4950"/>
    <w:rsid w:val="002D6324"/>
    <w:rsid w:val="002F03A4"/>
    <w:rsid w:val="003032E3"/>
    <w:rsid w:val="00305B93"/>
    <w:rsid w:val="00352D94"/>
    <w:rsid w:val="00377428"/>
    <w:rsid w:val="00393084"/>
    <w:rsid w:val="003C7538"/>
    <w:rsid w:val="0042136D"/>
    <w:rsid w:val="0043106D"/>
    <w:rsid w:val="004334FA"/>
    <w:rsid w:val="00445F75"/>
    <w:rsid w:val="00482AF2"/>
    <w:rsid w:val="00494E55"/>
    <w:rsid w:val="004D1156"/>
    <w:rsid w:val="004D596A"/>
    <w:rsid w:val="004D659B"/>
    <w:rsid w:val="004F0128"/>
    <w:rsid w:val="004F32B4"/>
    <w:rsid w:val="00501921"/>
    <w:rsid w:val="00504781"/>
    <w:rsid w:val="00506056"/>
    <w:rsid w:val="00516806"/>
    <w:rsid w:val="0052432F"/>
    <w:rsid w:val="00562633"/>
    <w:rsid w:val="0057338F"/>
    <w:rsid w:val="005A3611"/>
    <w:rsid w:val="005C795C"/>
    <w:rsid w:val="005D4820"/>
    <w:rsid w:val="006058D9"/>
    <w:rsid w:val="0069025D"/>
    <w:rsid w:val="006905F7"/>
    <w:rsid w:val="006A21DB"/>
    <w:rsid w:val="006B6585"/>
    <w:rsid w:val="006C485C"/>
    <w:rsid w:val="006F5F0B"/>
    <w:rsid w:val="006F7F2B"/>
    <w:rsid w:val="007041C3"/>
    <w:rsid w:val="00722277"/>
    <w:rsid w:val="0073165F"/>
    <w:rsid w:val="00732878"/>
    <w:rsid w:val="007821C3"/>
    <w:rsid w:val="007A1A4A"/>
    <w:rsid w:val="007B15B0"/>
    <w:rsid w:val="007B7E3C"/>
    <w:rsid w:val="007E6EA5"/>
    <w:rsid w:val="00800FAF"/>
    <w:rsid w:val="00833023"/>
    <w:rsid w:val="008334C4"/>
    <w:rsid w:val="00854F53"/>
    <w:rsid w:val="008566C0"/>
    <w:rsid w:val="0088222F"/>
    <w:rsid w:val="00882E1E"/>
    <w:rsid w:val="0089126C"/>
    <w:rsid w:val="008C1801"/>
    <w:rsid w:val="008F07C2"/>
    <w:rsid w:val="008F08AC"/>
    <w:rsid w:val="00905B8F"/>
    <w:rsid w:val="00924CDC"/>
    <w:rsid w:val="00980038"/>
    <w:rsid w:val="0099054E"/>
    <w:rsid w:val="009B0CD6"/>
    <w:rsid w:val="009D018A"/>
    <w:rsid w:val="00A03578"/>
    <w:rsid w:val="00A1175F"/>
    <w:rsid w:val="00A14352"/>
    <w:rsid w:val="00A32AFD"/>
    <w:rsid w:val="00A41711"/>
    <w:rsid w:val="00A72002"/>
    <w:rsid w:val="00AB6501"/>
    <w:rsid w:val="00AD412B"/>
    <w:rsid w:val="00AF740C"/>
    <w:rsid w:val="00B1711B"/>
    <w:rsid w:val="00B360EB"/>
    <w:rsid w:val="00B4030A"/>
    <w:rsid w:val="00B46ACD"/>
    <w:rsid w:val="00B62058"/>
    <w:rsid w:val="00B67AA5"/>
    <w:rsid w:val="00B84FFD"/>
    <w:rsid w:val="00B8544E"/>
    <w:rsid w:val="00B927C3"/>
    <w:rsid w:val="00B94E47"/>
    <w:rsid w:val="00B96344"/>
    <w:rsid w:val="00BB7BC1"/>
    <w:rsid w:val="00BC3FC3"/>
    <w:rsid w:val="00BC658F"/>
    <w:rsid w:val="00C248DC"/>
    <w:rsid w:val="00C60611"/>
    <w:rsid w:val="00C626C4"/>
    <w:rsid w:val="00C74FD4"/>
    <w:rsid w:val="00C769C0"/>
    <w:rsid w:val="00C877EE"/>
    <w:rsid w:val="00C95774"/>
    <w:rsid w:val="00C96B58"/>
    <w:rsid w:val="00CA6274"/>
    <w:rsid w:val="00CB3122"/>
    <w:rsid w:val="00CC0274"/>
    <w:rsid w:val="00CD7081"/>
    <w:rsid w:val="00D13161"/>
    <w:rsid w:val="00D247FB"/>
    <w:rsid w:val="00D36B70"/>
    <w:rsid w:val="00D55370"/>
    <w:rsid w:val="00DC3839"/>
    <w:rsid w:val="00DC3CBE"/>
    <w:rsid w:val="00DE4B2B"/>
    <w:rsid w:val="00DF70C3"/>
    <w:rsid w:val="00E41925"/>
    <w:rsid w:val="00E51EC9"/>
    <w:rsid w:val="00E64B2F"/>
    <w:rsid w:val="00E720A2"/>
    <w:rsid w:val="00EA4E1B"/>
    <w:rsid w:val="00EB0704"/>
    <w:rsid w:val="00EC6D7C"/>
    <w:rsid w:val="00EF5947"/>
    <w:rsid w:val="00F03686"/>
    <w:rsid w:val="00F1389C"/>
    <w:rsid w:val="00F51CA7"/>
    <w:rsid w:val="00FA4923"/>
    <w:rsid w:val="00FE067E"/>
    <w:rsid w:val="00FF1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08EBE"/>
  <w15:chartTrackingRefBased/>
  <w15:docId w15:val="{B2BA2952-53C0-45F3-B320-1F917E788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47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247FB"/>
    <w:rPr>
      <w:color w:val="0000FF"/>
      <w:u w:val="single"/>
    </w:rPr>
  </w:style>
  <w:style w:type="character" w:styleId="UnresolvedMention">
    <w:name w:val="Unresolved Mention"/>
    <w:basedOn w:val="DefaultParagraphFont"/>
    <w:uiPriority w:val="99"/>
    <w:semiHidden/>
    <w:unhideWhenUsed/>
    <w:rsid w:val="00D247FB"/>
    <w:rPr>
      <w:color w:val="605E5C"/>
      <w:shd w:val="clear" w:color="auto" w:fill="E1DFDD"/>
    </w:rPr>
  </w:style>
  <w:style w:type="character" w:styleId="FollowedHyperlink">
    <w:name w:val="FollowedHyperlink"/>
    <w:basedOn w:val="DefaultParagraphFont"/>
    <w:uiPriority w:val="99"/>
    <w:semiHidden/>
    <w:unhideWhenUsed/>
    <w:rsid w:val="00D247FB"/>
    <w:rPr>
      <w:color w:val="954F72" w:themeColor="followedHyperlink"/>
      <w:u w:val="single"/>
    </w:rPr>
  </w:style>
  <w:style w:type="paragraph" w:styleId="Revision">
    <w:name w:val="Revision"/>
    <w:hidden/>
    <w:uiPriority w:val="99"/>
    <w:semiHidden/>
    <w:rsid w:val="002454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8091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pdevelopersoftexas.com/" TargetMode="External"/><Relationship Id="rId3" Type="http://schemas.openxmlformats.org/officeDocument/2006/relationships/settings" Target="settings.xml"/><Relationship Id="rId7" Type="http://schemas.openxmlformats.org/officeDocument/2006/relationships/hyperlink" Target="https://www.usstandardcapita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twitter.com/jpineda100" TargetMode="External"/><Relationship Id="rId11" Type="http://schemas.openxmlformats.org/officeDocument/2006/relationships/theme" Target="theme/theme1.xml"/><Relationship Id="rId5" Type="http://schemas.openxmlformats.org/officeDocument/2006/relationships/hyperlink" Target="https://twitter.com/InfraxInc"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r@infraxin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83AA7-0869-4C88-82B7-49A23F830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622</Words>
  <Characters>3547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Wilkinson</dc:creator>
  <cp:keywords/>
  <dc:description/>
  <cp:lastModifiedBy>Carey Cooley</cp:lastModifiedBy>
  <cp:revision>3</cp:revision>
  <dcterms:created xsi:type="dcterms:W3CDTF">2024-11-15T12:46:00Z</dcterms:created>
  <dcterms:modified xsi:type="dcterms:W3CDTF">2024-11-15T12:49:00Z</dcterms:modified>
</cp:coreProperties>
</file>