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145B90" w14:textId="77777777" w:rsidR="00DC0A26" w:rsidRDefault="00DC0A26" w:rsidP="00DC0A26">
      <w:pPr>
        <w:jc w:val="both"/>
        <w:rPr>
          <w:rFonts w:ascii="Times New Roman" w:hAnsi="Times New Roman" w:cs="Times New Roman"/>
          <w:sz w:val="24"/>
          <w:szCs w:val="24"/>
        </w:rPr>
      </w:pPr>
    </w:p>
    <w:p w14:paraId="330953CB" w14:textId="77777777" w:rsidR="00DC0A26" w:rsidRPr="00021A66" w:rsidRDefault="00DC0A26" w:rsidP="00DC0A26">
      <w:pPr>
        <w:jc w:val="both"/>
        <w:rPr>
          <w:rFonts w:ascii="Times New Roman" w:hAnsi="Times New Roman" w:cs="Times New Roman"/>
          <w:b/>
          <w:bCs/>
          <w:sz w:val="24"/>
          <w:szCs w:val="24"/>
        </w:rPr>
      </w:pPr>
      <w:r w:rsidRPr="00021A66">
        <w:rPr>
          <w:rFonts w:ascii="Times New Roman" w:hAnsi="Times New Roman" w:cs="Times New Roman"/>
          <w:b/>
          <w:bCs/>
          <w:sz w:val="24"/>
          <w:szCs w:val="24"/>
        </w:rPr>
        <w:t>About Iota Communications, Inc.</w:t>
      </w:r>
    </w:p>
    <w:p w14:paraId="07E0713A" w14:textId="61AAC7A8" w:rsidR="00DC0A26" w:rsidRPr="004056FB" w:rsidRDefault="00DC0A26" w:rsidP="00DC0A26">
      <w:pPr>
        <w:spacing w:after="200" w:line="276" w:lineRule="auto"/>
        <w:rPr>
          <w:rFonts w:ascii="Times New Roman" w:eastAsiaTheme="minorEastAsia" w:hAnsi="Times New Roman" w:cs="Times New Roman"/>
          <w:sz w:val="24"/>
          <w:szCs w:val="24"/>
        </w:rPr>
      </w:pPr>
      <w:r w:rsidRPr="004056FB">
        <w:rPr>
          <w:rFonts w:ascii="Times New Roman" w:eastAsiaTheme="minorEastAsia" w:hAnsi="Times New Roman" w:cs="Times New Roman"/>
          <w:sz w:val="24"/>
          <w:szCs w:val="24"/>
        </w:rPr>
        <w:t xml:space="preserve">Iota Communications, Inc. or </w:t>
      </w:r>
      <w:r w:rsidR="00DF1796" w:rsidRPr="00DF1796">
        <w:rPr>
          <w:rFonts w:ascii="Times New Roman" w:eastAsiaTheme="minorEastAsia" w:hAnsi="Times New Roman" w:cs="Times New Roman"/>
          <w:sz w:val="24"/>
          <w:szCs w:val="24"/>
        </w:rPr>
        <w:t>IotaComm™ is building the next generation of wireless connectivity for the Internet of Things, leveraging a nationwide portfolio of FCC-licensed 800 MHz radio spectrum communicating on LoRaWAN®, the leading open global standard for secure, carrier-grade LPWAN connectivity. The company’s solutions enable real-time data aggregation to advance health, safety, and sustainability for commercial and industrial customers.</w:t>
      </w:r>
      <w:r w:rsidR="00DF1796">
        <w:rPr>
          <w:rFonts w:ascii="Times New Roman" w:eastAsiaTheme="minorEastAsia" w:hAnsi="Times New Roman" w:cs="Times New Roman"/>
          <w:sz w:val="24"/>
          <w:szCs w:val="24"/>
        </w:rPr>
        <w:t xml:space="preserve"> </w:t>
      </w:r>
      <w:r w:rsidRPr="004056FB">
        <w:rPr>
          <w:rFonts w:ascii="Times New Roman" w:eastAsiaTheme="minorEastAsia" w:hAnsi="Times New Roman" w:cs="Times New Roman"/>
          <w:sz w:val="24"/>
          <w:szCs w:val="24"/>
        </w:rPr>
        <w:t>IotaComm provides gateways and sensors to gather data related to indoor air quality, resource consumption, water quality, asset monitoring, and other critical data across multiple verticals, including commercial real estate, municipal, education, health care, and manufacturing. The data analytics services are used to provide insights that enable a safe and healthy environment, higher productivity and efficiency, and cost-savings. IotaComm also offers related services which facilitate the adoption of its subscription-based services, such as customization and advanced data analytics.</w:t>
      </w:r>
    </w:p>
    <w:p w14:paraId="4864642C" w14:textId="77777777" w:rsidR="00DC0A26" w:rsidRPr="004056FB" w:rsidRDefault="00DC0A26" w:rsidP="00DC0A26">
      <w:pPr>
        <w:spacing w:after="200" w:line="276" w:lineRule="auto"/>
        <w:rPr>
          <w:rFonts w:ascii="Times New Roman" w:eastAsiaTheme="minorEastAsia" w:hAnsi="Times New Roman" w:cs="Times New Roman"/>
          <w:sz w:val="24"/>
          <w:szCs w:val="24"/>
        </w:rPr>
      </w:pPr>
      <w:r w:rsidRPr="004056FB">
        <w:rPr>
          <w:rFonts w:ascii="Times New Roman" w:eastAsiaTheme="minorEastAsia" w:hAnsi="Times New Roman" w:cs="Times New Roman"/>
          <w:sz w:val="24"/>
          <w:szCs w:val="24"/>
        </w:rPr>
        <w:t xml:space="preserve">For more information about Iota Communications, Inc., please visit: </w:t>
      </w:r>
      <w:hyperlink r:id="rId4" w:history="1">
        <w:r w:rsidRPr="004056FB">
          <w:rPr>
            <w:rFonts w:ascii="Times New Roman" w:eastAsiaTheme="minorEastAsia" w:hAnsi="Times New Roman" w:cs="Times New Roman"/>
            <w:color w:val="0563C1" w:themeColor="hyperlink"/>
            <w:sz w:val="24"/>
            <w:szCs w:val="24"/>
            <w:u w:val="single"/>
          </w:rPr>
          <w:t>https://www.iotacommunications.com</w:t>
        </w:r>
      </w:hyperlink>
    </w:p>
    <w:p w14:paraId="4E63C09E" w14:textId="77777777" w:rsidR="00DC0A26" w:rsidRPr="00021A66" w:rsidRDefault="00DC0A26" w:rsidP="00DC0A26">
      <w:pPr>
        <w:jc w:val="both"/>
        <w:rPr>
          <w:rFonts w:ascii="Times New Roman" w:hAnsi="Times New Roman" w:cs="Times New Roman"/>
          <w:b/>
          <w:bCs/>
          <w:sz w:val="24"/>
          <w:szCs w:val="24"/>
        </w:rPr>
      </w:pPr>
    </w:p>
    <w:p w14:paraId="63E13A46" w14:textId="77777777" w:rsidR="00DC0A26" w:rsidRPr="00021A66" w:rsidRDefault="00DC0A26" w:rsidP="00DC0A26">
      <w:pPr>
        <w:jc w:val="both"/>
        <w:rPr>
          <w:rFonts w:ascii="Times New Roman" w:hAnsi="Times New Roman" w:cs="Times New Roman"/>
          <w:b/>
          <w:bCs/>
          <w:sz w:val="24"/>
          <w:szCs w:val="24"/>
        </w:rPr>
      </w:pPr>
      <w:r w:rsidRPr="00021A66">
        <w:rPr>
          <w:rFonts w:ascii="Times New Roman" w:hAnsi="Times New Roman" w:cs="Times New Roman"/>
          <w:b/>
          <w:bCs/>
          <w:sz w:val="24"/>
          <w:szCs w:val="24"/>
        </w:rPr>
        <w:t>Forward-Looking Statements</w:t>
      </w:r>
    </w:p>
    <w:p w14:paraId="52857734" w14:textId="77777777" w:rsidR="00DC0A26" w:rsidRDefault="00DC0A26" w:rsidP="00DC0A26">
      <w:pPr>
        <w:jc w:val="both"/>
        <w:rPr>
          <w:rFonts w:ascii="Times New Roman" w:hAnsi="Times New Roman" w:cs="Times New Roman"/>
          <w:sz w:val="24"/>
          <w:szCs w:val="24"/>
        </w:rPr>
      </w:pPr>
      <w:r w:rsidRPr="00840F0F">
        <w:rPr>
          <w:rFonts w:ascii="Times New Roman" w:hAnsi="Times New Roman" w:cs="Times New Roman"/>
          <w:sz w:val="24"/>
          <w:szCs w:val="24"/>
        </w:rPr>
        <w:t>This press release may contain "forward-looking statement</w:t>
      </w:r>
      <w:r>
        <w:rPr>
          <w:rFonts w:ascii="Times New Roman" w:hAnsi="Times New Roman" w:cs="Times New Roman"/>
          <w:sz w:val="24"/>
          <w:szCs w:val="24"/>
        </w:rPr>
        <w:t>s</w:t>
      </w:r>
      <w:r w:rsidRPr="00840F0F">
        <w:rPr>
          <w:rFonts w:ascii="Times New Roman" w:hAnsi="Times New Roman" w:cs="Times New Roman"/>
          <w:sz w:val="24"/>
          <w:szCs w:val="24"/>
        </w:rPr>
        <w:t xml:space="preserve">" within the meaning of Section 27A of the Securities Act of 1933 and Section 21E of the Securities Exchange Act of 1934. Such statements include, but are not limited to, any statements relating to our beliefs regarding the role that IoT will play in the future, our ability to implement our strategic goals, our ability to raise capital and reduce costs, and any other statements that are not historical facts. Forward-looking statements are based on management's current expectations and are subject to risks and uncertainties that could negatively affect our business, operating results, </w:t>
      </w:r>
      <w:r>
        <w:rPr>
          <w:rFonts w:ascii="Times New Roman" w:hAnsi="Times New Roman" w:cs="Times New Roman"/>
          <w:sz w:val="24"/>
          <w:szCs w:val="24"/>
        </w:rPr>
        <w:t xml:space="preserve">and </w:t>
      </w:r>
      <w:r w:rsidRPr="00840F0F">
        <w:rPr>
          <w:rFonts w:ascii="Times New Roman" w:hAnsi="Times New Roman" w:cs="Times New Roman"/>
          <w:sz w:val="24"/>
          <w:szCs w:val="24"/>
        </w:rPr>
        <w:t>financial condition</w:t>
      </w:r>
      <w:r>
        <w:rPr>
          <w:rFonts w:ascii="Times New Roman" w:hAnsi="Times New Roman" w:cs="Times New Roman"/>
          <w:sz w:val="24"/>
          <w:szCs w:val="24"/>
        </w:rPr>
        <w:t>.</w:t>
      </w:r>
      <w:r w:rsidRPr="00840F0F">
        <w:rPr>
          <w:rFonts w:ascii="Times New Roman" w:hAnsi="Times New Roman" w:cs="Times New Roman"/>
          <w:sz w:val="24"/>
          <w:szCs w:val="24"/>
        </w:rPr>
        <w:t xml:space="preserve"> Factors that could cause actual results to differ materially from those currently anticipated include, but are not limited to: risks related to our growth strategy; risks relating to the results of research and development activities; our ability to obtain, perform under and maintain financing and strategic agreements and relationships; our dependence on third-party suppliers; our ability to attract, integrate, and retain key personnel; the early stage of products under development; our need for substantial additional funds; government regulation; patent and intellectual property matters; competition; as well as other risks</w:t>
      </w:r>
      <w:r>
        <w:rPr>
          <w:rFonts w:ascii="Times New Roman" w:hAnsi="Times New Roman" w:cs="Times New Roman"/>
          <w:sz w:val="24"/>
          <w:szCs w:val="24"/>
        </w:rPr>
        <w:t>.</w:t>
      </w:r>
      <w:r w:rsidRPr="00840F0F">
        <w:rPr>
          <w:rFonts w:ascii="Times New Roman" w:hAnsi="Times New Roman" w:cs="Times New Roman"/>
          <w:sz w:val="24"/>
          <w:szCs w:val="24"/>
        </w:rPr>
        <w:t xml:space="preserve"> We expressly disclaim any obligation or undertaking to release publicly any updates or revisions to any forward-looking statements contained herein to reflect any change in our expectations or any changes in events, conditions or circumstances on which any such statement is based, except as required by law.</w:t>
      </w:r>
    </w:p>
    <w:p w14:paraId="653AF5AF" w14:textId="77777777" w:rsidR="00DC0A26" w:rsidRPr="00840F0F" w:rsidRDefault="00DC0A26" w:rsidP="00DC0A26">
      <w:pPr>
        <w:jc w:val="both"/>
        <w:rPr>
          <w:rFonts w:ascii="Times New Roman" w:hAnsi="Times New Roman" w:cs="Times New Roman"/>
          <w:sz w:val="24"/>
          <w:szCs w:val="24"/>
        </w:rPr>
      </w:pPr>
    </w:p>
    <w:p w14:paraId="504BEA40" w14:textId="77777777" w:rsidR="00A43AA4" w:rsidRPr="00DC0A26" w:rsidRDefault="00A43AA4" w:rsidP="00DC0A26"/>
    <w:sectPr w:rsidR="00A43AA4" w:rsidRPr="00DC0A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1014"/>
    <w:rsid w:val="00006DD6"/>
    <w:rsid w:val="004E1014"/>
    <w:rsid w:val="00A43AA4"/>
    <w:rsid w:val="00DC0A26"/>
    <w:rsid w:val="00DF17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FBA36"/>
  <w15:chartTrackingRefBased/>
  <w15:docId w15:val="{EFCC7D92-8BE2-4D2A-93A3-420D27656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1014"/>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iotacommunicati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428</Words>
  <Characters>2441</Characters>
  <Application>Microsoft Office Word</Application>
  <DocSecurity>0</DocSecurity>
  <Lines>20</Lines>
  <Paragraphs>5</Paragraphs>
  <ScaleCrop>false</ScaleCrop>
  <Company/>
  <LinksUpToDate>false</LinksUpToDate>
  <CharactersWithSpaces>2864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Velez</dc:creator>
  <cp:keywords/>
  <dc:description/>
  <cp:lastModifiedBy>Kim Velez</cp:lastModifiedBy>
  <cp:revision>3</cp:revision>
  <dcterms:created xsi:type="dcterms:W3CDTF">2023-05-16T15:46:00Z</dcterms:created>
  <dcterms:modified xsi:type="dcterms:W3CDTF">2023-05-16T16:21:00Z</dcterms:modified>
</cp:coreProperties>
</file>