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F9005F" w14:textId="029739BB" w:rsidR="00A455A0" w:rsidRDefault="00385348">
      <w:pPr>
        <w:pStyle w:val="Heading1"/>
        <w:jc w:val="both"/>
        <w:rPr>
          <w:b w:val="0"/>
        </w:rPr>
      </w:pPr>
      <w:bookmarkStart w:id="0" w:name="_q9ypi3tf212" w:colFirst="0" w:colLast="0"/>
      <w:bookmarkEnd w:id="0"/>
      <w:r>
        <w:rPr>
          <w:b w:val="0"/>
        </w:rPr>
        <w:t xml:space="preserve">New Hope </w:t>
      </w:r>
      <w:r w:rsidR="00AC255F">
        <w:rPr>
          <w:b w:val="0"/>
        </w:rPr>
        <w:t xml:space="preserve">for </w:t>
      </w:r>
      <w:r>
        <w:rPr>
          <w:b w:val="0"/>
        </w:rPr>
        <w:t xml:space="preserve">Mpox? How TNX-801 Could Meet </w:t>
      </w:r>
      <w:r w:rsidR="000724B7">
        <w:rPr>
          <w:b w:val="0"/>
        </w:rPr>
        <w:t xml:space="preserve">the </w:t>
      </w:r>
      <w:r>
        <w:rPr>
          <w:b w:val="0"/>
        </w:rPr>
        <w:t xml:space="preserve">WHO's Vaccine </w:t>
      </w:r>
      <w:r w:rsidR="000724B7">
        <w:rPr>
          <w:b w:val="0"/>
        </w:rPr>
        <w:t xml:space="preserve">Targets </w:t>
      </w:r>
      <w:r w:rsidR="0005339A">
        <w:rPr>
          <w:b w:val="0"/>
        </w:rPr>
        <w:t xml:space="preserve">for </w:t>
      </w:r>
      <w:r w:rsidR="000724B7">
        <w:rPr>
          <w:b w:val="0"/>
        </w:rPr>
        <w:t xml:space="preserve">a </w:t>
      </w:r>
      <w:r>
        <w:rPr>
          <w:b w:val="0"/>
        </w:rPr>
        <w:t xml:space="preserve">Safer, </w:t>
      </w:r>
      <w:r w:rsidR="0005339A">
        <w:rPr>
          <w:b w:val="0"/>
        </w:rPr>
        <w:t>Single-</w:t>
      </w:r>
      <w:r w:rsidR="005500C3">
        <w:rPr>
          <w:b w:val="0"/>
        </w:rPr>
        <w:t>Dose</w:t>
      </w:r>
      <w:r>
        <w:rPr>
          <w:b w:val="0"/>
        </w:rPr>
        <w:t xml:space="preserve"> Solution</w:t>
      </w:r>
    </w:p>
    <w:p w14:paraId="3C8FE4F9" w14:textId="77777777" w:rsidR="00A455A0" w:rsidRDefault="00385348">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14:anchorId="078BFC1C" wp14:editId="2053686F">
            <wp:extent cx="5731510" cy="4337685"/>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5731510" cy="4337685"/>
                    </a:xfrm>
                    <a:prstGeom prst="rect">
                      <a:avLst/>
                    </a:prstGeom>
                    <a:ln/>
                  </pic:spPr>
                </pic:pic>
              </a:graphicData>
            </a:graphic>
          </wp:inline>
        </w:drawing>
      </w:r>
    </w:p>
    <w:p w14:paraId="0C235FEA" w14:textId="77777777" w:rsidR="006B32CF" w:rsidRDefault="006B32CF">
      <w:pPr>
        <w:jc w:val="both"/>
        <w:rPr>
          <w:rFonts w:ascii="Arial" w:eastAsia="Arial" w:hAnsi="Arial" w:cs="Arial"/>
          <w:sz w:val="24"/>
          <w:szCs w:val="24"/>
        </w:rPr>
      </w:pPr>
    </w:p>
    <w:p w14:paraId="302F15DA" w14:textId="77777777" w:rsidR="00665555" w:rsidRDefault="00665555" w:rsidP="00665555">
      <w:r w:rsidRPr="003170AB">
        <w:rPr>
          <w:i/>
          <w:iCs/>
        </w:rPr>
        <w:t>This post was written and published as a collaboration between the in-house editorial team at Benzinga and Tonix Pharmaceuticals Holding Corp. with financial support from Tonix. The two organizations work to ensure that any and all information contained within is true and accurate as of the date hereof to the best of their knowledge and research. This content is for informational purposes only and not intended to be investing advice.</w:t>
      </w:r>
    </w:p>
    <w:p w14:paraId="77500197" w14:textId="687527F8" w:rsidR="00A455A0" w:rsidRDefault="00665555">
      <w:pPr>
        <w:jc w:val="both"/>
        <w:rPr>
          <w:rFonts w:ascii="Arial" w:eastAsia="Arial" w:hAnsi="Arial" w:cs="Arial"/>
          <w:sz w:val="24"/>
          <w:szCs w:val="24"/>
        </w:rPr>
      </w:pPr>
      <w:r w:rsidRPr="002F6798">
        <w:rPr>
          <w:b/>
          <w:bCs/>
        </w:rPr>
        <w:t>CHATHAM, NJ</w:t>
      </w:r>
      <w:r>
        <w:rPr>
          <w:b/>
          <w:bCs/>
        </w:rPr>
        <w:t xml:space="preserve"> / ACCESSWIRE /</w:t>
      </w:r>
      <w:r w:rsidRPr="002F6798">
        <w:rPr>
          <w:b/>
          <w:bCs/>
        </w:rPr>
        <w:t xml:space="preserve"> </w:t>
      </w:r>
      <w:r>
        <w:rPr>
          <w:b/>
          <w:bCs/>
        </w:rPr>
        <w:t>Sept</w:t>
      </w:r>
      <w:r w:rsidRPr="002F6798">
        <w:rPr>
          <w:b/>
          <w:bCs/>
        </w:rPr>
        <w:t xml:space="preserve">. </w:t>
      </w:r>
      <w:r>
        <w:rPr>
          <w:b/>
          <w:bCs/>
        </w:rPr>
        <w:t>18</w:t>
      </w:r>
      <w:r w:rsidRPr="002F6798">
        <w:rPr>
          <w:b/>
          <w:bCs/>
        </w:rPr>
        <w:t>, 2024</w:t>
      </w:r>
      <w:r>
        <w:rPr>
          <w:b/>
          <w:bCs/>
        </w:rPr>
        <w:t xml:space="preserve"> / </w:t>
      </w:r>
      <w:r w:rsidR="00385348">
        <w:rPr>
          <w:rFonts w:ascii="Arial" w:eastAsia="Arial" w:hAnsi="Arial" w:cs="Arial"/>
          <w:sz w:val="24"/>
          <w:szCs w:val="24"/>
        </w:rPr>
        <w:t xml:space="preserve">The mpox virus, formerly known as monkeypox, has increasingly become </w:t>
      </w:r>
      <w:hyperlink r:id="rId8">
        <w:r w:rsidR="00385348">
          <w:rPr>
            <w:rFonts w:ascii="Arial" w:eastAsia="Arial" w:hAnsi="Arial" w:cs="Arial"/>
            <w:color w:val="1155CC"/>
            <w:sz w:val="24"/>
            <w:szCs w:val="24"/>
            <w:u w:val="single"/>
          </w:rPr>
          <w:t>a global health concern</w:t>
        </w:r>
      </w:hyperlink>
      <w:r w:rsidR="00385348">
        <w:rPr>
          <w:rFonts w:ascii="Arial" w:eastAsia="Arial" w:hAnsi="Arial" w:cs="Arial"/>
          <w:sz w:val="24"/>
          <w:szCs w:val="24"/>
        </w:rPr>
        <w:t xml:space="preserve">, especially with rising cases </w:t>
      </w:r>
      <w:r w:rsidR="00BA2DA0">
        <w:rPr>
          <w:rFonts w:ascii="Arial" w:eastAsia="Arial" w:hAnsi="Arial" w:cs="Arial"/>
          <w:sz w:val="24"/>
          <w:szCs w:val="24"/>
        </w:rPr>
        <w:t xml:space="preserve">of a new lethal strain </w:t>
      </w:r>
      <w:r w:rsidR="00385348">
        <w:rPr>
          <w:rFonts w:ascii="Arial" w:eastAsia="Arial" w:hAnsi="Arial" w:cs="Arial"/>
          <w:sz w:val="24"/>
          <w:szCs w:val="24"/>
        </w:rPr>
        <w:t xml:space="preserve">across Africa and parts of Europe and Asia. In response to the spread of this dangerous disease, the World Health Organization (WHO) declared a Public Health Emergency of International Concern (PHEIC) and </w:t>
      </w:r>
      <w:hyperlink r:id="rId9">
        <w:r w:rsidR="00385348">
          <w:rPr>
            <w:rFonts w:ascii="Arial" w:eastAsia="Arial" w:hAnsi="Arial" w:cs="Arial"/>
            <w:color w:val="0563C1"/>
            <w:sz w:val="24"/>
            <w:szCs w:val="24"/>
            <w:u w:val="single"/>
          </w:rPr>
          <w:t>highlighted</w:t>
        </w:r>
      </w:hyperlink>
      <w:r w:rsidR="00385348">
        <w:rPr>
          <w:rFonts w:ascii="Arial" w:eastAsia="Arial" w:hAnsi="Arial" w:cs="Arial"/>
          <w:sz w:val="24"/>
          <w:szCs w:val="24"/>
        </w:rPr>
        <w:t xml:space="preserve"> an urgent need for a single-dose mpox vaccine. While two vaccines – </w:t>
      </w:r>
      <w:proofErr w:type="spellStart"/>
      <w:r w:rsidR="00385348">
        <w:rPr>
          <w:rFonts w:ascii="Arial" w:eastAsia="Arial" w:hAnsi="Arial" w:cs="Arial"/>
          <w:sz w:val="24"/>
          <w:szCs w:val="24"/>
        </w:rPr>
        <w:t>Jynneos</w:t>
      </w:r>
      <w:proofErr w:type="spellEnd"/>
      <w:r w:rsidR="00385348">
        <w:rPr>
          <w:rFonts w:ascii="Arial" w:eastAsia="Arial" w:hAnsi="Arial" w:cs="Arial"/>
          <w:sz w:val="24"/>
          <w:szCs w:val="24"/>
        </w:rPr>
        <w:t>® and ACAM2000® – are currently approved</w:t>
      </w:r>
      <w:r w:rsidR="003C6A5D">
        <w:rPr>
          <w:rFonts w:ascii="Arial" w:eastAsia="Arial" w:hAnsi="Arial" w:cs="Arial"/>
          <w:sz w:val="24"/>
          <w:szCs w:val="24"/>
        </w:rPr>
        <w:t xml:space="preserve"> by the U.S. FDA</w:t>
      </w:r>
      <w:r w:rsidR="00385348">
        <w:rPr>
          <w:rFonts w:ascii="Arial" w:eastAsia="Arial" w:hAnsi="Arial" w:cs="Arial"/>
          <w:sz w:val="24"/>
          <w:szCs w:val="24"/>
        </w:rPr>
        <w:t xml:space="preserve">, they come with </w:t>
      </w:r>
      <w:r w:rsidR="003C26B0">
        <w:rPr>
          <w:rFonts w:ascii="Arial" w:eastAsia="Arial" w:hAnsi="Arial" w:cs="Arial"/>
          <w:sz w:val="24"/>
          <w:szCs w:val="24"/>
        </w:rPr>
        <w:t xml:space="preserve">such </w:t>
      </w:r>
      <w:r w:rsidR="00385348">
        <w:rPr>
          <w:rFonts w:ascii="Arial" w:eastAsia="Arial" w:hAnsi="Arial" w:cs="Arial"/>
          <w:sz w:val="24"/>
          <w:szCs w:val="24"/>
        </w:rPr>
        <w:t>limitations</w:t>
      </w:r>
      <w:r w:rsidR="00147F36">
        <w:rPr>
          <w:rFonts w:ascii="Arial" w:eastAsia="Arial" w:hAnsi="Arial" w:cs="Arial"/>
          <w:sz w:val="24"/>
          <w:szCs w:val="24"/>
        </w:rPr>
        <w:t xml:space="preserve"> that </w:t>
      </w:r>
      <w:r w:rsidR="00E43C8C">
        <w:rPr>
          <w:rFonts w:ascii="Arial" w:eastAsia="Arial" w:hAnsi="Arial" w:cs="Arial"/>
          <w:sz w:val="24"/>
          <w:szCs w:val="24"/>
        </w:rPr>
        <w:t>there is</w:t>
      </w:r>
      <w:r w:rsidR="00147F36">
        <w:rPr>
          <w:rFonts w:ascii="Arial" w:eastAsia="Arial" w:hAnsi="Arial" w:cs="Arial"/>
          <w:sz w:val="24"/>
          <w:szCs w:val="24"/>
        </w:rPr>
        <w:t xml:space="preserve"> </w:t>
      </w:r>
      <w:r w:rsidR="00DD6048">
        <w:rPr>
          <w:rFonts w:ascii="Arial" w:eastAsia="Arial" w:hAnsi="Arial" w:cs="Arial"/>
          <w:sz w:val="24"/>
          <w:szCs w:val="24"/>
        </w:rPr>
        <w:t>an urgent need for</w:t>
      </w:r>
      <w:r w:rsidR="003C26B0">
        <w:rPr>
          <w:rFonts w:ascii="Arial" w:eastAsia="Arial" w:hAnsi="Arial" w:cs="Arial"/>
          <w:sz w:val="24"/>
          <w:szCs w:val="24"/>
        </w:rPr>
        <w:t xml:space="preserve"> </w:t>
      </w:r>
      <w:r w:rsidR="001A061D">
        <w:rPr>
          <w:rFonts w:ascii="Arial" w:eastAsia="Arial" w:hAnsi="Arial" w:cs="Arial"/>
          <w:sz w:val="24"/>
          <w:szCs w:val="24"/>
        </w:rPr>
        <w:t>new vaccines</w:t>
      </w:r>
      <w:r w:rsidR="00385348">
        <w:rPr>
          <w:rFonts w:ascii="Arial" w:eastAsia="Arial" w:hAnsi="Arial" w:cs="Arial"/>
          <w:sz w:val="24"/>
          <w:szCs w:val="24"/>
        </w:rPr>
        <w:t xml:space="preserve">. This has increased attention </w:t>
      </w:r>
      <w:r w:rsidR="00385348">
        <w:rPr>
          <w:rFonts w:ascii="Arial" w:eastAsia="Arial" w:hAnsi="Arial" w:cs="Arial"/>
          <w:sz w:val="24"/>
          <w:szCs w:val="24"/>
        </w:rPr>
        <w:lastRenderedPageBreak/>
        <w:t xml:space="preserve">toward new </w:t>
      </w:r>
      <w:r w:rsidR="00C017CE">
        <w:rPr>
          <w:rFonts w:ascii="Arial" w:eastAsia="Arial" w:hAnsi="Arial" w:cs="Arial"/>
          <w:sz w:val="24"/>
          <w:szCs w:val="24"/>
        </w:rPr>
        <w:t xml:space="preserve">vaccine </w:t>
      </w:r>
      <w:r w:rsidR="00385348">
        <w:rPr>
          <w:rFonts w:ascii="Arial" w:eastAsia="Arial" w:hAnsi="Arial" w:cs="Arial"/>
          <w:sz w:val="24"/>
          <w:szCs w:val="24"/>
        </w:rPr>
        <w:t xml:space="preserve">candidates like </w:t>
      </w:r>
      <w:r w:rsidR="00385348">
        <w:rPr>
          <w:rFonts w:ascii="Arial" w:eastAsia="Arial" w:hAnsi="Arial" w:cs="Arial"/>
          <w:b/>
          <w:sz w:val="24"/>
          <w:szCs w:val="24"/>
        </w:rPr>
        <w:t>Tonix Pharmaceuticals Holding Corp.</w:t>
      </w:r>
      <w:r w:rsidR="00385348">
        <w:rPr>
          <w:rFonts w:ascii="Arial" w:eastAsia="Arial" w:hAnsi="Arial" w:cs="Arial"/>
          <w:sz w:val="24"/>
          <w:szCs w:val="24"/>
        </w:rPr>
        <w:t xml:space="preserve">’s (NASDAQ: TNXP) TNX-801, a live-virus vaccine </w:t>
      </w:r>
      <w:r w:rsidR="007331D3">
        <w:rPr>
          <w:rFonts w:ascii="Arial" w:eastAsia="Arial" w:hAnsi="Arial" w:cs="Arial"/>
          <w:sz w:val="24"/>
          <w:szCs w:val="24"/>
        </w:rPr>
        <w:t xml:space="preserve">candidate </w:t>
      </w:r>
      <w:r w:rsidR="00385348">
        <w:rPr>
          <w:rFonts w:ascii="Arial" w:eastAsia="Arial" w:hAnsi="Arial" w:cs="Arial"/>
          <w:sz w:val="24"/>
          <w:szCs w:val="24"/>
        </w:rPr>
        <w:t>that could potentially offer a more viable solution to address the growing global mpox crisis.</w:t>
      </w:r>
    </w:p>
    <w:p w14:paraId="5359F597" w14:textId="451B4DB5" w:rsidR="00A455A0" w:rsidRDefault="00385348">
      <w:pPr>
        <w:jc w:val="both"/>
        <w:rPr>
          <w:rFonts w:ascii="Arial" w:eastAsia="Arial" w:hAnsi="Arial" w:cs="Arial"/>
          <w:sz w:val="24"/>
          <w:szCs w:val="24"/>
        </w:rPr>
      </w:pPr>
      <w:r>
        <w:rPr>
          <w:rFonts w:ascii="Arial" w:eastAsia="Arial" w:hAnsi="Arial" w:cs="Arial"/>
          <w:sz w:val="24"/>
          <w:szCs w:val="24"/>
        </w:rPr>
        <w:t xml:space="preserve">Tonix’s TNX-801 shows promise as it seems to align with the WHO’s recently issued preferred target product profile (TPP), which emphasizes a </w:t>
      </w:r>
      <w:r w:rsidR="00E26A4E">
        <w:rPr>
          <w:rFonts w:ascii="Arial" w:eastAsia="Arial" w:hAnsi="Arial" w:cs="Arial"/>
          <w:sz w:val="24"/>
          <w:szCs w:val="24"/>
        </w:rPr>
        <w:t>well</w:t>
      </w:r>
      <w:r w:rsidR="00C017CE">
        <w:rPr>
          <w:rFonts w:ascii="Arial" w:eastAsia="Arial" w:hAnsi="Arial" w:cs="Arial"/>
          <w:sz w:val="24"/>
          <w:szCs w:val="24"/>
        </w:rPr>
        <w:t>-</w:t>
      </w:r>
      <w:r w:rsidR="00E26A4E">
        <w:rPr>
          <w:rFonts w:ascii="Arial" w:eastAsia="Arial" w:hAnsi="Arial" w:cs="Arial"/>
          <w:sz w:val="24"/>
          <w:szCs w:val="24"/>
        </w:rPr>
        <w:t>tolerated</w:t>
      </w:r>
      <w:r>
        <w:rPr>
          <w:rFonts w:ascii="Arial" w:eastAsia="Arial" w:hAnsi="Arial" w:cs="Arial"/>
          <w:sz w:val="24"/>
          <w:szCs w:val="24"/>
        </w:rPr>
        <w:t xml:space="preserve">, single-dose vaccine </w:t>
      </w:r>
      <w:r w:rsidR="000E1598">
        <w:rPr>
          <w:rFonts w:ascii="Arial" w:eastAsia="Arial" w:hAnsi="Arial" w:cs="Arial"/>
          <w:sz w:val="24"/>
          <w:szCs w:val="24"/>
        </w:rPr>
        <w:t xml:space="preserve">that can be </w:t>
      </w:r>
      <w:r w:rsidR="00834964">
        <w:rPr>
          <w:rFonts w:ascii="Arial" w:eastAsia="Arial" w:hAnsi="Arial" w:cs="Arial"/>
          <w:sz w:val="24"/>
          <w:szCs w:val="24"/>
        </w:rPr>
        <w:t>administered</w:t>
      </w:r>
      <w:r w:rsidR="00354E1A">
        <w:rPr>
          <w:rFonts w:ascii="Arial" w:eastAsia="Arial" w:hAnsi="Arial" w:cs="Arial"/>
          <w:sz w:val="24"/>
          <w:szCs w:val="24"/>
        </w:rPr>
        <w:t>,</w:t>
      </w:r>
      <w:r w:rsidR="00834964">
        <w:rPr>
          <w:rFonts w:ascii="Arial" w:eastAsia="Arial" w:hAnsi="Arial" w:cs="Arial"/>
          <w:sz w:val="24"/>
          <w:szCs w:val="24"/>
        </w:rPr>
        <w:t xml:space="preserve"> </w:t>
      </w:r>
      <w:r w:rsidR="000E1598">
        <w:rPr>
          <w:rFonts w:ascii="Arial" w:eastAsia="Arial" w:hAnsi="Arial" w:cs="Arial"/>
          <w:sz w:val="24"/>
          <w:szCs w:val="24"/>
        </w:rPr>
        <w:t>shipped and stor</w:t>
      </w:r>
      <w:r w:rsidR="00834964">
        <w:rPr>
          <w:rFonts w:ascii="Arial" w:eastAsia="Arial" w:hAnsi="Arial" w:cs="Arial"/>
          <w:sz w:val="24"/>
          <w:szCs w:val="24"/>
        </w:rPr>
        <w:t>ed in Africa</w:t>
      </w:r>
      <w:r w:rsidR="007A493C">
        <w:rPr>
          <w:rFonts w:ascii="Arial" w:eastAsia="Arial" w:hAnsi="Arial" w:cs="Arial"/>
          <w:sz w:val="24"/>
          <w:szCs w:val="24"/>
        </w:rPr>
        <w:t xml:space="preserve"> and around the world</w:t>
      </w:r>
      <w:r w:rsidR="00834964">
        <w:rPr>
          <w:rFonts w:ascii="Arial" w:eastAsia="Arial" w:hAnsi="Arial" w:cs="Arial"/>
          <w:sz w:val="24"/>
          <w:szCs w:val="24"/>
        </w:rPr>
        <w:t>.</w:t>
      </w:r>
      <w:r>
        <w:rPr>
          <w:rFonts w:ascii="Arial" w:eastAsia="Arial" w:hAnsi="Arial" w:cs="Arial"/>
          <w:sz w:val="24"/>
          <w:szCs w:val="24"/>
        </w:rPr>
        <w:t xml:space="preserve"> </w:t>
      </w:r>
    </w:p>
    <w:p w14:paraId="3D2F85E3" w14:textId="52A1CF13" w:rsidR="00A455A0" w:rsidRDefault="00385348">
      <w:pPr>
        <w:pStyle w:val="Heading2"/>
        <w:jc w:val="both"/>
        <w:rPr>
          <w:b w:val="0"/>
        </w:rPr>
      </w:pPr>
      <w:bookmarkStart w:id="1" w:name="_kkn3ywchys4q" w:colFirst="0" w:colLast="0"/>
      <w:bookmarkEnd w:id="1"/>
      <w:r>
        <w:rPr>
          <w:b w:val="0"/>
        </w:rPr>
        <w:t xml:space="preserve">Limitations Of Current Vaccines: </w:t>
      </w:r>
      <w:proofErr w:type="spellStart"/>
      <w:r>
        <w:rPr>
          <w:b w:val="0"/>
        </w:rPr>
        <w:t>Jynneos</w:t>
      </w:r>
      <w:proofErr w:type="spellEnd"/>
      <w:r>
        <w:rPr>
          <w:b w:val="0"/>
        </w:rPr>
        <w:t xml:space="preserve">® </w:t>
      </w:r>
      <w:r w:rsidR="0005339A">
        <w:rPr>
          <w:b w:val="0"/>
        </w:rPr>
        <w:t xml:space="preserve">and </w:t>
      </w:r>
      <w:r>
        <w:rPr>
          <w:b w:val="0"/>
        </w:rPr>
        <w:t>ACAM2000®</w:t>
      </w:r>
    </w:p>
    <w:p w14:paraId="63301BBF" w14:textId="1B4121FA" w:rsidR="00A455A0" w:rsidRDefault="00385348">
      <w:pPr>
        <w:jc w:val="both"/>
        <w:rPr>
          <w:rFonts w:ascii="Arial" w:eastAsia="Arial" w:hAnsi="Arial" w:cs="Arial"/>
          <w:sz w:val="24"/>
          <w:szCs w:val="24"/>
        </w:rPr>
      </w:pPr>
      <w:r>
        <w:rPr>
          <w:rFonts w:ascii="Arial" w:eastAsia="Arial" w:hAnsi="Arial" w:cs="Arial"/>
          <w:sz w:val="24"/>
          <w:szCs w:val="24"/>
        </w:rPr>
        <w:t xml:space="preserve">The two </w:t>
      </w:r>
      <w:r w:rsidR="004C5BA8">
        <w:rPr>
          <w:rFonts w:ascii="Arial" w:eastAsia="Arial" w:hAnsi="Arial" w:cs="Arial"/>
          <w:sz w:val="24"/>
          <w:szCs w:val="24"/>
        </w:rPr>
        <w:t>FDA-</w:t>
      </w:r>
      <w:r>
        <w:rPr>
          <w:rFonts w:ascii="Arial" w:eastAsia="Arial" w:hAnsi="Arial" w:cs="Arial"/>
          <w:sz w:val="24"/>
          <w:szCs w:val="24"/>
        </w:rPr>
        <w:t xml:space="preserve">approved vaccines for mpox, </w:t>
      </w:r>
      <w:proofErr w:type="spellStart"/>
      <w:r>
        <w:rPr>
          <w:rFonts w:ascii="Arial" w:eastAsia="Arial" w:hAnsi="Arial" w:cs="Arial"/>
          <w:sz w:val="24"/>
          <w:szCs w:val="24"/>
        </w:rPr>
        <w:t>Jynneos</w:t>
      </w:r>
      <w:proofErr w:type="spellEnd"/>
      <w:r>
        <w:rPr>
          <w:rFonts w:ascii="Arial" w:eastAsia="Arial" w:hAnsi="Arial" w:cs="Arial"/>
          <w:sz w:val="24"/>
          <w:szCs w:val="24"/>
        </w:rPr>
        <w:t xml:space="preserve"> and ACAM2000, </w:t>
      </w:r>
      <w:r w:rsidR="004C5BA8">
        <w:rPr>
          <w:rFonts w:ascii="Arial" w:eastAsia="Arial" w:hAnsi="Arial" w:cs="Arial"/>
          <w:sz w:val="24"/>
          <w:szCs w:val="24"/>
        </w:rPr>
        <w:t xml:space="preserve">may be deployed </w:t>
      </w:r>
      <w:r w:rsidR="007B267D">
        <w:rPr>
          <w:rFonts w:ascii="Arial" w:eastAsia="Arial" w:hAnsi="Arial" w:cs="Arial"/>
          <w:sz w:val="24"/>
          <w:szCs w:val="24"/>
        </w:rPr>
        <w:t>in the immediate</w:t>
      </w:r>
      <w:r>
        <w:rPr>
          <w:rFonts w:ascii="Arial" w:eastAsia="Arial" w:hAnsi="Arial" w:cs="Arial"/>
          <w:sz w:val="24"/>
          <w:szCs w:val="24"/>
        </w:rPr>
        <w:t xml:space="preserve"> fight against the virus, but neither fully meets WHO’s updated </w:t>
      </w:r>
      <w:r w:rsidR="00D879AE">
        <w:rPr>
          <w:rFonts w:ascii="Arial" w:eastAsia="Arial" w:hAnsi="Arial" w:cs="Arial"/>
          <w:sz w:val="24"/>
          <w:szCs w:val="24"/>
        </w:rPr>
        <w:t xml:space="preserve">targets </w:t>
      </w:r>
      <w:r>
        <w:rPr>
          <w:rFonts w:ascii="Arial" w:eastAsia="Arial" w:hAnsi="Arial" w:cs="Arial"/>
          <w:sz w:val="24"/>
          <w:szCs w:val="24"/>
        </w:rPr>
        <w:t>for a single-dose vaccine</w:t>
      </w:r>
      <w:r w:rsidR="00DE4AC7">
        <w:rPr>
          <w:rFonts w:ascii="Arial" w:eastAsia="Arial" w:hAnsi="Arial" w:cs="Arial"/>
          <w:sz w:val="24"/>
          <w:szCs w:val="24"/>
        </w:rPr>
        <w:t xml:space="preserve"> that can </w:t>
      </w:r>
      <w:r w:rsidR="00EA766C">
        <w:rPr>
          <w:rFonts w:ascii="Arial" w:eastAsia="Arial" w:hAnsi="Arial" w:cs="Arial"/>
          <w:sz w:val="24"/>
          <w:szCs w:val="24"/>
        </w:rPr>
        <w:t>meet the world’s need</w:t>
      </w:r>
      <w:r w:rsidR="00C11CBF">
        <w:rPr>
          <w:rFonts w:ascii="Arial" w:eastAsia="Arial" w:hAnsi="Arial" w:cs="Arial"/>
          <w:sz w:val="24"/>
          <w:szCs w:val="24"/>
        </w:rPr>
        <w:t>s</w:t>
      </w:r>
      <w:r>
        <w:rPr>
          <w:rFonts w:ascii="Arial" w:eastAsia="Arial" w:hAnsi="Arial" w:cs="Arial"/>
          <w:sz w:val="24"/>
          <w:szCs w:val="24"/>
        </w:rPr>
        <w:t xml:space="preserve">. </w:t>
      </w:r>
      <w:proofErr w:type="spellStart"/>
      <w:r>
        <w:rPr>
          <w:rFonts w:ascii="Arial" w:eastAsia="Arial" w:hAnsi="Arial" w:cs="Arial"/>
          <w:sz w:val="24"/>
          <w:szCs w:val="24"/>
        </w:rPr>
        <w:t>Jynneos</w:t>
      </w:r>
      <w:proofErr w:type="spellEnd"/>
      <w:r>
        <w:rPr>
          <w:rFonts w:ascii="Arial" w:eastAsia="Arial" w:hAnsi="Arial" w:cs="Arial"/>
          <w:sz w:val="24"/>
          <w:szCs w:val="24"/>
        </w:rPr>
        <w:t xml:space="preserve">, produced by </w:t>
      </w:r>
      <w:r w:rsidRPr="00F166FB">
        <w:rPr>
          <w:rFonts w:ascii="Arial" w:eastAsia="Arial" w:hAnsi="Arial" w:cs="Arial"/>
          <w:bCs/>
          <w:sz w:val="24"/>
          <w:szCs w:val="24"/>
        </w:rPr>
        <w:t>Bavarian Nordic,</w:t>
      </w:r>
      <w:r>
        <w:rPr>
          <w:rFonts w:ascii="Arial" w:eastAsia="Arial" w:hAnsi="Arial" w:cs="Arial"/>
          <w:sz w:val="24"/>
          <w:szCs w:val="24"/>
        </w:rPr>
        <w:t xml:space="preserve"> is a non-replicating vaccinia vaccine administered through sterile injection in a two-dose regimen. While effective, this multi-dose approach poses logistical challenges, particularly in emergency scenarios where rapid, widespread vaccination is crucial. People often fail to complete the two-dose series, reducing the vaccine’s overall effectiveness. Moreover, </w:t>
      </w:r>
      <w:proofErr w:type="spellStart"/>
      <w:r>
        <w:rPr>
          <w:rFonts w:ascii="Arial" w:eastAsia="Arial" w:hAnsi="Arial" w:cs="Arial"/>
          <w:sz w:val="24"/>
          <w:szCs w:val="24"/>
        </w:rPr>
        <w:t>Jynneos</w:t>
      </w:r>
      <w:proofErr w:type="spellEnd"/>
      <w:r>
        <w:rPr>
          <w:rFonts w:ascii="Arial" w:eastAsia="Arial" w:hAnsi="Arial" w:cs="Arial"/>
          <w:sz w:val="24"/>
          <w:szCs w:val="24"/>
        </w:rPr>
        <w:t xml:space="preserve"> requires</w:t>
      </w:r>
      <w:r w:rsidR="005044F0">
        <w:rPr>
          <w:rFonts w:ascii="Arial" w:eastAsia="Arial" w:hAnsi="Arial" w:cs="Arial"/>
          <w:sz w:val="24"/>
          <w:szCs w:val="24"/>
        </w:rPr>
        <w:t xml:space="preserve"> sterile injection</w:t>
      </w:r>
      <w:r w:rsidR="008A382E">
        <w:rPr>
          <w:rFonts w:ascii="Arial" w:eastAsia="Arial" w:hAnsi="Arial" w:cs="Arial"/>
          <w:sz w:val="24"/>
          <w:szCs w:val="24"/>
        </w:rPr>
        <w:t xml:space="preserve"> and</w:t>
      </w:r>
      <w:r>
        <w:rPr>
          <w:rFonts w:ascii="Arial" w:eastAsia="Arial" w:hAnsi="Arial" w:cs="Arial"/>
          <w:sz w:val="24"/>
          <w:szCs w:val="24"/>
        </w:rPr>
        <w:t xml:space="preserve"> </w:t>
      </w:r>
      <w:r w:rsidR="00967C04">
        <w:rPr>
          <w:rFonts w:ascii="Arial" w:eastAsia="Arial" w:hAnsi="Arial" w:cs="Arial"/>
          <w:sz w:val="24"/>
          <w:szCs w:val="24"/>
        </w:rPr>
        <w:t>frozen-</w:t>
      </w:r>
      <w:r w:rsidR="00AB7A42">
        <w:rPr>
          <w:rFonts w:ascii="Arial" w:eastAsia="Arial" w:hAnsi="Arial" w:cs="Arial"/>
          <w:sz w:val="24"/>
          <w:szCs w:val="24"/>
        </w:rPr>
        <w:t>c</w:t>
      </w:r>
      <w:r w:rsidR="008A382E">
        <w:rPr>
          <w:rFonts w:ascii="Arial" w:eastAsia="Arial" w:hAnsi="Arial" w:cs="Arial"/>
          <w:sz w:val="24"/>
          <w:szCs w:val="24"/>
        </w:rPr>
        <w:t>old storage</w:t>
      </w:r>
      <w:r w:rsidR="009A44BA">
        <w:rPr>
          <w:rFonts w:ascii="Arial" w:eastAsia="Arial" w:hAnsi="Arial" w:cs="Arial"/>
          <w:sz w:val="24"/>
          <w:szCs w:val="24"/>
        </w:rPr>
        <w:t>, which</w:t>
      </w:r>
      <w:r>
        <w:rPr>
          <w:rFonts w:ascii="Arial" w:eastAsia="Arial" w:hAnsi="Arial" w:cs="Arial"/>
          <w:sz w:val="24"/>
          <w:szCs w:val="24"/>
        </w:rPr>
        <w:t xml:space="preserve"> limit its distribution in regions like Africa, where refrigeration infrastructure is lacking – further complicating efforts to curb the spread of mpox.</w:t>
      </w:r>
    </w:p>
    <w:p w14:paraId="47A556C3" w14:textId="431F0C99" w:rsidR="00A455A0" w:rsidRDefault="00385348">
      <w:pPr>
        <w:jc w:val="both"/>
        <w:rPr>
          <w:rFonts w:ascii="Arial" w:eastAsia="Arial" w:hAnsi="Arial" w:cs="Arial"/>
          <w:sz w:val="24"/>
          <w:szCs w:val="24"/>
        </w:rPr>
      </w:pPr>
      <w:r>
        <w:rPr>
          <w:rFonts w:ascii="Arial" w:eastAsia="Arial" w:hAnsi="Arial" w:cs="Arial"/>
          <w:sz w:val="24"/>
          <w:szCs w:val="24"/>
        </w:rPr>
        <w:t xml:space="preserve">On the other hand, ACAM2000, developed by </w:t>
      </w:r>
      <w:r w:rsidRPr="00F166FB">
        <w:rPr>
          <w:rFonts w:ascii="Arial" w:eastAsia="Arial" w:hAnsi="Arial" w:cs="Arial"/>
          <w:bCs/>
          <w:sz w:val="24"/>
          <w:szCs w:val="24"/>
        </w:rPr>
        <w:t>Emergent BioSolutions,</w:t>
      </w:r>
      <w:r>
        <w:rPr>
          <w:rFonts w:ascii="Arial" w:eastAsia="Arial" w:hAnsi="Arial" w:cs="Arial"/>
          <w:sz w:val="24"/>
          <w:szCs w:val="24"/>
        </w:rPr>
        <w:t xml:space="preserve"> offers a single-dose </w:t>
      </w:r>
      <w:r w:rsidR="00EF0656">
        <w:rPr>
          <w:rFonts w:ascii="Arial" w:eastAsia="Arial" w:hAnsi="Arial" w:cs="Arial"/>
          <w:sz w:val="24"/>
          <w:szCs w:val="24"/>
        </w:rPr>
        <w:t xml:space="preserve">live-virus </w:t>
      </w:r>
      <w:r>
        <w:rPr>
          <w:rFonts w:ascii="Arial" w:eastAsia="Arial" w:hAnsi="Arial" w:cs="Arial"/>
          <w:sz w:val="24"/>
          <w:szCs w:val="24"/>
        </w:rPr>
        <w:t xml:space="preserve">option but comes with safety concerns. ACAM2000 carries a Black Box warning due to its </w:t>
      </w:r>
      <w:r w:rsidR="00EF0656">
        <w:rPr>
          <w:rFonts w:ascii="Arial" w:eastAsia="Arial" w:hAnsi="Arial" w:cs="Arial"/>
          <w:sz w:val="24"/>
          <w:szCs w:val="24"/>
        </w:rPr>
        <w:t xml:space="preserve">potentially </w:t>
      </w:r>
      <w:r>
        <w:rPr>
          <w:rFonts w:ascii="Arial" w:eastAsia="Arial" w:hAnsi="Arial" w:cs="Arial"/>
          <w:sz w:val="24"/>
          <w:szCs w:val="24"/>
        </w:rPr>
        <w:t xml:space="preserve">severe side effects, including myocarditis, encephalitis and other life-threatening conditions. The toxicity risks associated with ACAM2000 potentially make it unsuitable for widespread use, especially among individuals with compromised immune systems, where the need for safer alternatives becomes </w:t>
      </w:r>
      <w:r w:rsidR="00231256">
        <w:rPr>
          <w:rFonts w:ascii="Arial" w:eastAsia="Arial" w:hAnsi="Arial" w:cs="Arial"/>
          <w:sz w:val="24"/>
          <w:szCs w:val="24"/>
        </w:rPr>
        <w:t xml:space="preserve">even more </w:t>
      </w:r>
      <w:r>
        <w:rPr>
          <w:rFonts w:ascii="Arial" w:eastAsia="Arial" w:hAnsi="Arial" w:cs="Arial"/>
          <w:sz w:val="24"/>
          <w:szCs w:val="24"/>
        </w:rPr>
        <w:t>critical.</w:t>
      </w:r>
    </w:p>
    <w:p w14:paraId="2CFE51A8" w14:textId="53D996F5" w:rsidR="00A455A0" w:rsidRDefault="00385348">
      <w:pPr>
        <w:pStyle w:val="Heading2"/>
        <w:jc w:val="both"/>
        <w:rPr>
          <w:b w:val="0"/>
        </w:rPr>
      </w:pPr>
      <w:bookmarkStart w:id="2" w:name="_r7bgqekmqblz" w:colFirst="0" w:colLast="0"/>
      <w:bookmarkEnd w:id="2"/>
      <w:r>
        <w:rPr>
          <w:b w:val="0"/>
        </w:rPr>
        <w:t xml:space="preserve">The Promise </w:t>
      </w:r>
      <w:r w:rsidR="000A0F8B">
        <w:rPr>
          <w:b w:val="0"/>
        </w:rPr>
        <w:t xml:space="preserve">in </w:t>
      </w:r>
      <w:r>
        <w:rPr>
          <w:b w:val="0"/>
        </w:rPr>
        <w:t>TNX-801</w:t>
      </w:r>
    </w:p>
    <w:p w14:paraId="338F5334" w14:textId="2A78CAAE" w:rsidR="00A455A0" w:rsidRDefault="00385348">
      <w:pPr>
        <w:jc w:val="both"/>
        <w:rPr>
          <w:rFonts w:ascii="Arial" w:eastAsia="Arial" w:hAnsi="Arial" w:cs="Arial"/>
          <w:sz w:val="24"/>
          <w:szCs w:val="24"/>
        </w:rPr>
      </w:pPr>
      <w:r>
        <w:rPr>
          <w:rFonts w:ascii="Arial" w:eastAsia="Arial" w:hAnsi="Arial" w:cs="Arial"/>
          <w:sz w:val="24"/>
          <w:szCs w:val="24"/>
        </w:rPr>
        <w:t>Tonix Pharmaceuticals' TNX-801</w:t>
      </w:r>
      <w:r w:rsidR="001B373F">
        <w:rPr>
          <w:rFonts w:ascii="Arial" w:eastAsia="Arial" w:hAnsi="Arial" w:cs="Arial"/>
          <w:sz w:val="24"/>
          <w:szCs w:val="24"/>
        </w:rPr>
        <w:t>*</w:t>
      </w:r>
      <w:r>
        <w:rPr>
          <w:rFonts w:ascii="Arial" w:eastAsia="Arial" w:hAnsi="Arial" w:cs="Arial"/>
          <w:sz w:val="24"/>
          <w:szCs w:val="24"/>
        </w:rPr>
        <w:t xml:space="preserve"> potentially offers a much-needed alternative. Built on a synthetic horsepox platform, TNX-801 is structurally closer to the original 19th-century vaccine developed by Dr. Edward Jenner, which successfully eradicated smallpox. TNX-801 </w:t>
      </w:r>
      <w:r w:rsidR="00953517">
        <w:rPr>
          <w:rFonts w:ascii="Arial" w:eastAsia="Arial" w:hAnsi="Arial" w:cs="Arial"/>
          <w:sz w:val="24"/>
          <w:szCs w:val="24"/>
        </w:rPr>
        <w:t>appears</w:t>
      </w:r>
      <w:r>
        <w:rPr>
          <w:rFonts w:ascii="Arial" w:eastAsia="Arial" w:hAnsi="Arial" w:cs="Arial"/>
          <w:sz w:val="24"/>
          <w:szCs w:val="24"/>
        </w:rPr>
        <w:t xml:space="preserve"> to deliver immune protection with </w:t>
      </w:r>
      <w:hyperlink r:id="rId10">
        <w:r>
          <w:rPr>
            <w:rFonts w:ascii="Arial" w:eastAsia="Arial" w:hAnsi="Arial" w:cs="Arial"/>
            <w:color w:val="0563C1"/>
            <w:sz w:val="24"/>
            <w:szCs w:val="24"/>
            <w:u w:val="single"/>
          </w:rPr>
          <w:t>better tolerability</w:t>
        </w:r>
      </w:hyperlink>
      <w:r w:rsidR="00575F41">
        <w:rPr>
          <w:rFonts w:ascii="Arial" w:eastAsia="Arial" w:hAnsi="Arial" w:cs="Arial"/>
          <w:color w:val="0563C1"/>
          <w:sz w:val="24"/>
          <w:szCs w:val="24"/>
          <w:u w:val="single"/>
        </w:rPr>
        <w:t xml:space="preserve"> than </w:t>
      </w:r>
      <w:r w:rsidR="00575F41">
        <w:rPr>
          <w:rFonts w:ascii="Arial" w:eastAsia="Arial" w:hAnsi="Arial" w:cs="Arial"/>
          <w:sz w:val="24"/>
          <w:szCs w:val="24"/>
        </w:rPr>
        <w:t>more virulent 20th-century vaccines from which ACAM2000 was derived.</w:t>
      </w:r>
      <w:r>
        <w:rPr>
          <w:rFonts w:ascii="Arial" w:eastAsia="Arial" w:hAnsi="Arial" w:cs="Arial"/>
          <w:sz w:val="24"/>
          <w:szCs w:val="24"/>
        </w:rPr>
        <w:t xml:space="preserve"> </w:t>
      </w:r>
      <w:r w:rsidR="00575F41">
        <w:rPr>
          <w:rFonts w:ascii="Arial" w:eastAsia="Arial" w:hAnsi="Arial" w:cs="Arial"/>
          <w:sz w:val="24"/>
          <w:szCs w:val="24"/>
        </w:rPr>
        <w:t xml:space="preserve">Animal studies </w:t>
      </w:r>
      <w:r w:rsidR="00167082">
        <w:rPr>
          <w:rFonts w:ascii="Arial" w:eastAsia="Arial" w:hAnsi="Arial" w:cs="Arial"/>
          <w:sz w:val="24"/>
          <w:szCs w:val="24"/>
        </w:rPr>
        <w:t xml:space="preserve">suggest it may be suitable for use </w:t>
      </w:r>
      <w:r>
        <w:rPr>
          <w:rFonts w:ascii="Arial" w:eastAsia="Arial" w:hAnsi="Arial" w:cs="Arial"/>
          <w:sz w:val="24"/>
          <w:szCs w:val="24"/>
        </w:rPr>
        <w:t xml:space="preserve">in immunocompromised individuals, a population particularly vulnerable to </w:t>
      </w:r>
      <w:r w:rsidR="00167082">
        <w:rPr>
          <w:rFonts w:ascii="Arial" w:eastAsia="Arial" w:hAnsi="Arial" w:cs="Arial"/>
          <w:sz w:val="24"/>
          <w:szCs w:val="24"/>
        </w:rPr>
        <w:t xml:space="preserve">certain of the </w:t>
      </w:r>
      <w:r>
        <w:rPr>
          <w:rFonts w:ascii="Arial" w:eastAsia="Arial" w:hAnsi="Arial" w:cs="Arial"/>
          <w:sz w:val="24"/>
          <w:szCs w:val="24"/>
        </w:rPr>
        <w:t xml:space="preserve">adverse effects </w:t>
      </w:r>
      <w:r w:rsidR="00167082">
        <w:rPr>
          <w:rFonts w:ascii="Arial" w:eastAsia="Arial" w:hAnsi="Arial" w:cs="Arial"/>
          <w:sz w:val="24"/>
          <w:szCs w:val="24"/>
        </w:rPr>
        <w:t>associated with the more virulent 20</w:t>
      </w:r>
      <w:r w:rsidR="00167082" w:rsidRPr="005F3AF5">
        <w:rPr>
          <w:rFonts w:ascii="Arial" w:eastAsia="Arial" w:hAnsi="Arial" w:cs="Arial"/>
          <w:sz w:val="24"/>
          <w:szCs w:val="24"/>
          <w:vertAlign w:val="superscript"/>
        </w:rPr>
        <w:t>th</w:t>
      </w:r>
      <w:r w:rsidR="00167082">
        <w:rPr>
          <w:rFonts w:ascii="Arial" w:eastAsia="Arial" w:hAnsi="Arial" w:cs="Arial"/>
          <w:sz w:val="24"/>
          <w:szCs w:val="24"/>
        </w:rPr>
        <w:t>-</w:t>
      </w:r>
      <w:r w:rsidR="00D604BB">
        <w:rPr>
          <w:rFonts w:ascii="Arial" w:eastAsia="Arial" w:hAnsi="Arial" w:cs="Arial"/>
          <w:sz w:val="24"/>
          <w:szCs w:val="24"/>
        </w:rPr>
        <w:t>century vaccines</w:t>
      </w:r>
      <w:r>
        <w:rPr>
          <w:rFonts w:ascii="Arial" w:eastAsia="Arial" w:hAnsi="Arial" w:cs="Arial"/>
          <w:sz w:val="24"/>
          <w:szCs w:val="24"/>
        </w:rPr>
        <w:t>.</w:t>
      </w:r>
    </w:p>
    <w:p w14:paraId="1C77BC12" w14:textId="4FDE77C2" w:rsidR="00A455A0" w:rsidRDefault="00385348">
      <w:pPr>
        <w:jc w:val="both"/>
        <w:rPr>
          <w:rFonts w:ascii="Arial" w:eastAsia="Arial" w:hAnsi="Arial" w:cs="Arial"/>
          <w:sz w:val="24"/>
          <w:szCs w:val="24"/>
        </w:rPr>
      </w:pPr>
      <w:r>
        <w:rPr>
          <w:rFonts w:ascii="Arial" w:eastAsia="Arial" w:hAnsi="Arial" w:cs="Arial"/>
          <w:sz w:val="24"/>
          <w:szCs w:val="24"/>
        </w:rPr>
        <w:t xml:space="preserve">Preclinical trials have demonstrated that TNX-801 provides single-dose protection against the </w:t>
      </w:r>
      <w:r w:rsidR="001507CB">
        <w:rPr>
          <w:rFonts w:ascii="Arial" w:eastAsia="Arial" w:hAnsi="Arial" w:cs="Arial"/>
          <w:sz w:val="24"/>
          <w:szCs w:val="24"/>
        </w:rPr>
        <w:t>new</w:t>
      </w:r>
      <w:r w:rsidR="007809E2">
        <w:rPr>
          <w:rFonts w:ascii="Arial" w:eastAsia="Arial" w:hAnsi="Arial" w:cs="Arial"/>
          <w:sz w:val="24"/>
          <w:szCs w:val="24"/>
        </w:rPr>
        <w:t xml:space="preserve">ly spreading strain called </w:t>
      </w:r>
      <w:r>
        <w:rPr>
          <w:rFonts w:ascii="Arial" w:eastAsia="Arial" w:hAnsi="Arial" w:cs="Arial"/>
          <w:sz w:val="24"/>
          <w:szCs w:val="24"/>
        </w:rPr>
        <w:t>Clade I monkeypox virus</w:t>
      </w:r>
      <w:r w:rsidR="007809E2">
        <w:rPr>
          <w:rFonts w:ascii="Arial" w:eastAsia="Arial" w:hAnsi="Arial" w:cs="Arial"/>
          <w:sz w:val="24"/>
          <w:szCs w:val="24"/>
        </w:rPr>
        <w:t xml:space="preserve">.  </w:t>
      </w:r>
      <w:r w:rsidR="009D4801">
        <w:rPr>
          <w:rFonts w:ascii="Arial" w:eastAsia="Arial" w:hAnsi="Arial" w:cs="Arial"/>
          <w:sz w:val="24"/>
          <w:szCs w:val="24"/>
        </w:rPr>
        <w:t xml:space="preserve">The new </w:t>
      </w:r>
      <w:r w:rsidR="007809E2">
        <w:rPr>
          <w:rFonts w:ascii="Arial" w:eastAsia="Arial" w:hAnsi="Arial" w:cs="Arial"/>
          <w:sz w:val="24"/>
          <w:szCs w:val="24"/>
        </w:rPr>
        <w:t>Clade I</w:t>
      </w:r>
      <w:r w:rsidR="009D4801">
        <w:rPr>
          <w:rFonts w:ascii="Arial" w:eastAsia="Arial" w:hAnsi="Arial" w:cs="Arial"/>
          <w:sz w:val="24"/>
          <w:szCs w:val="24"/>
        </w:rPr>
        <w:t xml:space="preserve"> strain</w:t>
      </w:r>
      <w:r>
        <w:rPr>
          <w:rFonts w:ascii="Arial" w:eastAsia="Arial" w:hAnsi="Arial" w:cs="Arial"/>
          <w:sz w:val="24"/>
          <w:szCs w:val="24"/>
        </w:rPr>
        <w:t xml:space="preserve"> has a higher fatality rate than the Clade IIb strain involved in the 2022 global mpox outbreak. In studies on immunocompromised animals, TNX-801 not only prevented clinical disease but also reduced viral shedding in the mouth and lungs, indicating its potential to block forward transmission of the virus, a key factor in limiting the spread of contagious diseases.</w:t>
      </w:r>
    </w:p>
    <w:p w14:paraId="3876D1A3" w14:textId="12DF0D5B" w:rsidR="00A455A0" w:rsidRDefault="00385348">
      <w:pPr>
        <w:jc w:val="both"/>
        <w:rPr>
          <w:rFonts w:ascii="Arial" w:eastAsia="Arial" w:hAnsi="Arial" w:cs="Arial"/>
          <w:sz w:val="24"/>
          <w:szCs w:val="24"/>
        </w:rPr>
      </w:pPr>
      <w:r>
        <w:rPr>
          <w:rFonts w:ascii="Arial" w:eastAsia="Arial" w:hAnsi="Arial" w:cs="Arial"/>
          <w:sz w:val="24"/>
          <w:szCs w:val="24"/>
        </w:rPr>
        <w:t>Furthermore, TNX-801 is</w:t>
      </w:r>
      <w:r w:rsidR="008F78FD">
        <w:rPr>
          <w:rFonts w:ascii="Arial" w:eastAsia="Arial" w:hAnsi="Arial" w:cs="Arial"/>
          <w:sz w:val="24"/>
          <w:szCs w:val="24"/>
        </w:rPr>
        <w:t xml:space="preserve"> suitable for </w:t>
      </w:r>
      <w:r w:rsidR="00E827D7">
        <w:rPr>
          <w:rFonts w:ascii="Arial" w:eastAsia="Arial" w:hAnsi="Arial" w:cs="Arial"/>
          <w:sz w:val="24"/>
          <w:szCs w:val="24"/>
        </w:rPr>
        <w:t>making lyophilized versions which</w:t>
      </w:r>
      <w:r w:rsidR="005F305C">
        <w:rPr>
          <w:rFonts w:ascii="Arial" w:eastAsia="Arial" w:hAnsi="Arial" w:cs="Arial"/>
          <w:sz w:val="24"/>
          <w:szCs w:val="24"/>
        </w:rPr>
        <w:t>, even when reconstituted</w:t>
      </w:r>
      <w:r w:rsidR="00E827D7">
        <w:rPr>
          <w:rFonts w:ascii="Arial" w:eastAsia="Arial" w:hAnsi="Arial" w:cs="Arial"/>
          <w:sz w:val="24"/>
          <w:szCs w:val="24"/>
        </w:rPr>
        <w:t xml:space="preserve"> are</w:t>
      </w:r>
      <w:r>
        <w:rPr>
          <w:rFonts w:ascii="Arial" w:eastAsia="Arial" w:hAnsi="Arial" w:cs="Arial"/>
          <w:sz w:val="24"/>
          <w:szCs w:val="24"/>
        </w:rPr>
        <w:t xml:space="preserve"> </w:t>
      </w:r>
      <w:r w:rsidR="00E827D7">
        <w:rPr>
          <w:rFonts w:ascii="Arial" w:eastAsia="Arial" w:hAnsi="Arial" w:cs="Arial"/>
          <w:sz w:val="24"/>
          <w:szCs w:val="24"/>
        </w:rPr>
        <w:t xml:space="preserve">expected to be </w:t>
      </w:r>
      <w:r>
        <w:rPr>
          <w:rFonts w:ascii="Arial" w:eastAsia="Arial" w:hAnsi="Arial" w:cs="Arial"/>
          <w:sz w:val="24"/>
          <w:szCs w:val="24"/>
        </w:rPr>
        <w:t>stable at</w:t>
      </w:r>
      <w:r w:rsidR="005F305C">
        <w:rPr>
          <w:rFonts w:ascii="Arial" w:eastAsia="Arial" w:hAnsi="Arial" w:cs="Arial"/>
          <w:sz w:val="24"/>
          <w:szCs w:val="24"/>
        </w:rPr>
        <w:t xml:space="preserve"> ambient temperatures for app</w:t>
      </w:r>
      <w:r w:rsidR="009E1013">
        <w:rPr>
          <w:rFonts w:ascii="Arial" w:eastAsia="Arial" w:hAnsi="Arial" w:cs="Arial"/>
          <w:sz w:val="24"/>
          <w:szCs w:val="24"/>
        </w:rPr>
        <w:t>roximately 8 hours</w:t>
      </w:r>
      <w:r>
        <w:rPr>
          <w:rFonts w:ascii="Arial" w:eastAsia="Arial" w:hAnsi="Arial" w:cs="Arial"/>
          <w:sz w:val="24"/>
          <w:szCs w:val="24"/>
        </w:rPr>
        <w:t>, making it a more accessible option for distribution in regions where cold-chain infrastructure is limited. This could significantly enhance the vaccine's reach in Africa and other parts of the world where mpox is currently most prevalent and where distribution challenges are particularly acute.</w:t>
      </w:r>
    </w:p>
    <w:p w14:paraId="41551E8D" w14:textId="5F239555" w:rsidR="00A455A0" w:rsidRDefault="00385348">
      <w:pPr>
        <w:pStyle w:val="Heading2"/>
        <w:jc w:val="both"/>
        <w:rPr>
          <w:b w:val="0"/>
        </w:rPr>
      </w:pPr>
      <w:bookmarkStart w:id="3" w:name="_3z4ussc8is6t" w:colFirst="0" w:colLast="0"/>
      <w:bookmarkEnd w:id="3"/>
      <w:r>
        <w:rPr>
          <w:b w:val="0"/>
        </w:rPr>
        <w:t xml:space="preserve">Why Single-Dose Vaccines </w:t>
      </w:r>
      <w:r w:rsidR="000E2CED">
        <w:rPr>
          <w:b w:val="0"/>
        </w:rPr>
        <w:t xml:space="preserve">are </w:t>
      </w:r>
      <w:r>
        <w:rPr>
          <w:b w:val="0"/>
        </w:rPr>
        <w:t>Crucial</w:t>
      </w:r>
    </w:p>
    <w:p w14:paraId="7981D3DF" w14:textId="77777777" w:rsidR="00A455A0" w:rsidRDefault="00385348">
      <w:pPr>
        <w:jc w:val="both"/>
        <w:rPr>
          <w:rFonts w:ascii="Arial" w:eastAsia="Arial" w:hAnsi="Arial" w:cs="Arial"/>
          <w:sz w:val="24"/>
          <w:szCs w:val="24"/>
        </w:rPr>
      </w:pPr>
      <w:r>
        <w:rPr>
          <w:rFonts w:ascii="Arial" w:eastAsia="Arial" w:hAnsi="Arial" w:cs="Arial"/>
          <w:sz w:val="24"/>
          <w:szCs w:val="24"/>
        </w:rPr>
        <w:t xml:space="preserve">The WHO has explicitly outlined the need for a </w:t>
      </w:r>
      <w:proofErr w:type="gramStart"/>
      <w:r>
        <w:rPr>
          <w:rFonts w:ascii="Arial" w:eastAsia="Arial" w:hAnsi="Arial" w:cs="Arial"/>
          <w:sz w:val="24"/>
          <w:szCs w:val="24"/>
        </w:rPr>
        <w:t>single-dose</w:t>
      </w:r>
      <w:proofErr w:type="gramEnd"/>
      <w:r>
        <w:rPr>
          <w:rFonts w:ascii="Arial" w:eastAsia="Arial" w:hAnsi="Arial" w:cs="Arial"/>
          <w:sz w:val="24"/>
          <w:szCs w:val="24"/>
        </w:rPr>
        <w:t xml:space="preserve"> mpox vaccine in its preferred TPP. Single-dose vaccines streamline the logistics of vaccination campaigns, reduce the likelihood of dropouts between doses and allow for more efficient “ring vaccination” strategies. These are critical for controlling outbreaks and preventing the virus from spreading beyond the initial clusters of cases, which can quickly spiral into larger outbreaks if not contained early.</w:t>
      </w:r>
    </w:p>
    <w:p w14:paraId="04AA0B40" w14:textId="71548E2F" w:rsidR="00A455A0" w:rsidRDefault="00385348">
      <w:pPr>
        <w:jc w:val="both"/>
        <w:rPr>
          <w:rFonts w:ascii="Arial" w:eastAsia="Arial" w:hAnsi="Arial" w:cs="Arial"/>
          <w:sz w:val="24"/>
          <w:szCs w:val="24"/>
        </w:rPr>
      </w:pPr>
      <w:r>
        <w:rPr>
          <w:rFonts w:ascii="Arial" w:eastAsia="Arial" w:hAnsi="Arial" w:cs="Arial"/>
          <w:sz w:val="24"/>
          <w:szCs w:val="24"/>
        </w:rPr>
        <w:t xml:space="preserve">Tonix reports that TNX-801 has demonstrated </w:t>
      </w:r>
      <w:r w:rsidR="0020466A">
        <w:rPr>
          <w:rFonts w:ascii="Arial" w:eastAsia="Arial" w:hAnsi="Arial" w:cs="Arial"/>
          <w:sz w:val="24"/>
          <w:szCs w:val="24"/>
        </w:rPr>
        <w:t>single-dose activity</w:t>
      </w:r>
      <w:r w:rsidR="00D820F9">
        <w:rPr>
          <w:rFonts w:ascii="Arial" w:eastAsia="Arial" w:hAnsi="Arial" w:cs="Arial"/>
          <w:sz w:val="24"/>
          <w:szCs w:val="24"/>
        </w:rPr>
        <w:t xml:space="preserve"> in animals.  Its</w:t>
      </w:r>
      <w:r>
        <w:rPr>
          <w:rFonts w:ascii="Arial" w:eastAsia="Arial" w:hAnsi="Arial" w:cs="Arial"/>
          <w:sz w:val="24"/>
          <w:szCs w:val="24"/>
        </w:rPr>
        <w:t xml:space="preserve"> ability to eliminate the need for multiple doses </w:t>
      </w:r>
      <w:r w:rsidR="00D820F9">
        <w:rPr>
          <w:rFonts w:ascii="Arial" w:eastAsia="Arial" w:hAnsi="Arial" w:cs="Arial"/>
          <w:sz w:val="24"/>
          <w:szCs w:val="24"/>
        </w:rPr>
        <w:t xml:space="preserve">makes </w:t>
      </w:r>
      <w:r>
        <w:rPr>
          <w:rFonts w:ascii="Arial" w:eastAsia="Arial" w:hAnsi="Arial" w:cs="Arial"/>
          <w:sz w:val="24"/>
          <w:szCs w:val="24"/>
        </w:rPr>
        <w:t xml:space="preserve">it well-suited to meet </w:t>
      </w:r>
      <w:r w:rsidR="004B3972">
        <w:rPr>
          <w:rFonts w:ascii="Arial" w:eastAsia="Arial" w:hAnsi="Arial" w:cs="Arial"/>
          <w:sz w:val="24"/>
          <w:szCs w:val="24"/>
        </w:rPr>
        <w:t>this WHO target</w:t>
      </w:r>
      <w:r>
        <w:rPr>
          <w:rFonts w:ascii="Arial" w:eastAsia="Arial" w:hAnsi="Arial" w:cs="Arial"/>
          <w:sz w:val="24"/>
          <w:szCs w:val="24"/>
        </w:rPr>
        <w:t>. Importantly, TNX-801’s ability to induce long-lasting immunity, similar to Jenner’s smallpox vaccine, suggests that it will not require frequent boosters like mRNA vaccines, which have to be administered every six months. This durability of protection is particularly important for global immunization strategies where long-term immunity can help prevent recurring outbreaks.</w:t>
      </w:r>
    </w:p>
    <w:p w14:paraId="0A7E45D5" w14:textId="0FE29AC6" w:rsidR="00A455A0" w:rsidRDefault="00385348">
      <w:pPr>
        <w:pStyle w:val="Heading2"/>
        <w:jc w:val="both"/>
        <w:rPr>
          <w:b w:val="0"/>
        </w:rPr>
      </w:pPr>
      <w:bookmarkStart w:id="4" w:name="_i4xch3wpeqm1" w:colFirst="0" w:colLast="0"/>
      <w:bookmarkEnd w:id="4"/>
      <w:r>
        <w:rPr>
          <w:b w:val="0"/>
        </w:rPr>
        <w:t xml:space="preserve">Competitive Features: </w:t>
      </w:r>
      <w:r w:rsidR="00A3601C">
        <w:rPr>
          <w:b w:val="0"/>
        </w:rPr>
        <w:t xml:space="preserve">Durable Protection, </w:t>
      </w:r>
      <w:r w:rsidR="004B41D3">
        <w:rPr>
          <w:b w:val="0"/>
        </w:rPr>
        <w:t>Tolerability</w:t>
      </w:r>
      <w:r w:rsidR="0059338B">
        <w:rPr>
          <w:b w:val="0"/>
        </w:rPr>
        <w:t xml:space="preserve"> </w:t>
      </w:r>
      <w:r w:rsidR="00B70DA5">
        <w:rPr>
          <w:b w:val="0"/>
        </w:rPr>
        <w:t>a</w:t>
      </w:r>
      <w:r w:rsidR="006D256B">
        <w:rPr>
          <w:b w:val="0"/>
        </w:rPr>
        <w:t xml:space="preserve">nd </w:t>
      </w:r>
      <w:r>
        <w:rPr>
          <w:b w:val="0"/>
        </w:rPr>
        <w:t>Scalability</w:t>
      </w:r>
    </w:p>
    <w:p w14:paraId="2949BCF8" w14:textId="12102352" w:rsidR="00A455A0" w:rsidRDefault="00385348">
      <w:pPr>
        <w:jc w:val="both"/>
        <w:rPr>
          <w:rFonts w:ascii="Arial" w:eastAsia="Arial" w:hAnsi="Arial" w:cs="Arial"/>
          <w:sz w:val="24"/>
          <w:szCs w:val="24"/>
        </w:rPr>
      </w:pPr>
      <w:r>
        <w:rPr>
          <w:rFonts w:ascii="Arial" w:eastAsia="Arial" w:hAnsi="Arial" w:cs="Arial"/>
          <w:sz w:val="24"/>
          <w:szCs w:val="24"/>
        </w:rPr>
        <w:t xml:space="preserve">Beyond its alignment with WHO’s single-dose requirement, TNX-801 seems to offer multiple competitive features that could position it as a viable contender in the global fight against mpox. First and foremost, the vaccine has shown better tolerability than </w:t>
      </w:r>
      <w:r w:rsidR="008F10CF">
        <w:rPr>
          <w:rFonts w:ascii="Arial" w:eastAsia="Arial" w:hAnsi="Arial" w:cs="Arial"/>
          <w:sz w:val="24"/>
          <w:szCs w:val="24"/>
        </w:rPr>
        <w:t>other 20</w:t>
      </w:r>
      <w:r w:rsidR="008F10CF" w:rsidRPr="005F3AF5">
        <w:rPr>
          <w:rFonts w:ascii="Arial" w:eastAsia="Arial" w:hAnsi="Arial" w:cs="Arial"/>
          <w:sz w:val="24"/>
          <w:szCs w:val="24"/>
          <w:vertAlign w:val="superscript"/>
        </w:rPr>
        <w:t>th</w:t>
      </w:r>
      <w:r w:rsidR="008F10CF">
        <w:rPr>
          <w:rFonts w:ascii="Arial" w:eastAsia="Arial" w:hAnsi="Arial" w:cs="Arial"/>
          <w:sz w:val="24"/>
          <w:szCs w:val="24"/>
        </w:rPr>
        <w:t>-century live</w:t>
      </w:r>
      <w:r w:rsidR="00AA536C">
        <w:rPr>
          <w:rFonts w:ascii="Arial" w:eastAsia="Arial" w:hAnsi="Arial" w:cs="Arial"/>
          <w:sz w:val="24"/>
          <w:szCs w:val="24"/>
        </w:rPr>
        <w:t>-virus vaccinia vaccines from which ACAM2000 was derived</w:t>
      </w:r>
      <w:r>
        <w:rPr>
          <w:rFonts w:ascii="Arial" w:eastAsia="Arial" w:hAnsi="Arial" w:cs="Arial"/>
          <w:sz w:val="24"/>
          <w:szCs w:val="24"/>
        </w:rPr>
        <w:t>. In</w:t>
      </w:r>
      <w:r w:rsidR="00ED5E0C">
        <w:rPr>
          <w:rFonts w:ascii="Arial" w:eastAsia="Arial" w:hAnsi="Arial" w:cs="Arial"/>
          <w:sz w:val="24"/>
          <w:szCs w:val="24"/>
        </w:rPr>
        <w:t xml:space="preserve"> animal</w:t>
      </w:r>
      <w:r>
        <w:rPr>
          <w:rFonts w:ascii="Arial" w:eastAsia="Arial" w:hAnsi="Arial" w:cs="Arial"/>
          <w:sz w:val="24"/>
          <w:szCs w:val="24"/>
        </w:rPr>
        <w:t xml:space="preserve"> trials, TNX-801 demonstrated low reactogenicity</w:t>
      </w:r>
      <w:r w:rsidR="00C0093E">
        <w:rPr>
          <w:rFonts w:ascii="Arial" w:eastAsia="Arial" w:hAnsi="Arial" w:cs="Arial"/>
          <w:sz w:val="24"/>
          <w:szCs w:val="24"/>
        </w:rPr>
        <w:t xml:space="preserve"> in animals</w:t>
      </w:r>
      <w:r>
        <w:rPr>
          <w:rFonts w:ascii="Arial" w:eastAsia="Arial" w:hAnsi="Arial" w:cs="Arial"/>
          <w:sz w:val="24"/>
          <w:szCs w:val="24"/>
        </w:rPr>
        <w:t xml:space="preserve">, meaning it is less likely to cause severe adverse reactions than ACAM2000. </w:t>
      </w:r>
      <w:r w:rsidR="00886B3A">
        <w:rPr>
          <w:rFonts w:ascii="Arial" w:eastAsia="Arial" w:hAnsi="Arial" w:cs="Arial"/>
          <w:sz w:val="24"/>
          <w:szCs w:val="24"/>
        </w:rPr>
        <w:t xml:space="preserve">In addition, </w:t>
      </w:r>
      <w:r>
        <w:rPr>
          <w:rFonts w:ascii="Arial" w:eastAsia="Arial" w:hAnsi="Arial" w:cs="Arial"/>
          <w:sz w:val="24"/>
          <w:szCs w:val="24"/>
        </w:rPr>
        <w:t>TNX-801</w:t>
      </w:r>
      <w:r w:rsidR="00886B3A">
        <w:rPr>
          <w:rFonts w:ascii="Arial" w:eastAsia="Arial" w:hAnsi="Arial" w:cs="Arial"/>
          <w:sz w:val="24"/>
          <w:szCs w:val="24"/>
        </w:rPr>
        <w:t xml:space="preserve"> was well tolerated in immunodeficient mice</w:t>
      </w:r>
      <w:r w:rsidR="00847353">
        <w:rPr>
          <w:rFonts w:ascii="Arial" w:eastAsia="Arial" w:hAnsi="Arial" w:cs="Arial"/>
          <w:sz w:val="24"/>
          <w:szCs w:val="24"/>
        </w:rPr>
        <w:t xml:space="preserve">, which suggests </w:t>
      </w:r>
      <w:r w:rsidR="003A0A16">
        <w:rPr>
          <w:rFonts w:ascii="Arial" w:eastAsia="Arial" w:hAnsi="Arial" w:cs="Arial"/>
          <w:sz w:val="24"/>
          <w:szCs w:val="24"/>
        </w:rPr>
        <w:t xml:space="preserve">it </w:t>
      </w:r>
      <w:r w:rsidR="00847353">
        <w:rPr>
          <w:rFonts w:ascii="Arial" w:eastAsia="Arial" w:hAnsi="Arial" w:cs="Arial"/>
          <w:sz w:val="24"/>
          <w:szCs w:val="24"/>
        </w:rPr>
        <w:t xml:space="preserve">will be </w:t>
      </w:r>
      <w:r>
        <w:rPr>
          <w:rFonts w:ascii="Arial" w:eastAsia="Arial" w:hAnsi="Arial" w:cs="Arial"/>
          <w:sz w:val="24"/>
          <w:szCs w:val="24"/>
        </w:rPr>
        <w:t>suitable for immunocompromised individuals, a key population at risk during mpox outbreaks.</w:t>
      </w:r>
    </w:p>
    <w:p w14:paraId="0CE33F9A" w14:textId="1027AA4D" w:rsidR="00A455A0" w:rsidRDefault="00385348">
      <w:pPr>
        <w:jc w:val="both"/>
        <w:rPr>
          <w:rFonts w:ascii="Arial" w:eastAsia="Arial" w:hAnsi="Arial" w:cs="Arial"/>
          <w:sz w:val="24"/>
          <w:szCs w:val="24"/>
        </w:rPr>
      </w:pPr>
      <w:r>
        <w:rPr>
          <w:rFonts w:ascii="Arial" w:eastAsia="Arial" w:hAnsi="Arial" w:cs="Arial"/>
          <w:sz w:val="24"/>
          <w:szCs w:val="24"/>
        </w:rPr>
        <w:t xml:space="preserve">Additionally, TNX-801 is believed to stimulate long-lived T-cell immunity, which may provide durable protection against future outbreaks. This long-term protection </w:t>
      </w:r>
      <w:r w:rsidR="00886966">
        <w:rPr>
          <w:rFonts w:ascii="Arial" w:eastAsia="Arial" w:hAnsi="Arial" w:cs="Arial"/>
          <w:sz w:val="24"/>
          <w:szCs w:val="24"/>
        </w:rPr>
        <w:t xml:space="preserve">has the potential to </w:t>
      </w:r>
      <w:r>
        <w:rPr>
          <w:rFonts w:ascii="Arial" w:eastAsia="Arial" w:hAnsi="Arial" w:cs="Arial"/>
          <w:sz w:val="24"/>
          <w:szCs w:val="24"/>
        </w:rPr>
        <w:t xml:space="preserve">prove crucial as the world faces a rising threat of </w:t>
      </w:r>
      <w:proofErr w:type="spellStart"/>
      <w:r>
        <w:rPr>
          <w:rFonts w:ascii="Arial" w:eastAsia="Arial" w:hAnsi="Arial" w:cs="Arial"/>
          <w:sz w:val="24"/>
          <w:szCs w:val="24"/>
        </w:rPr>
        <w:t>orthopoxviruses</w:t>
      </w:r>
      <w:proofErr w:type="spellEnd"/>
      <w:r>
        <w:rPr>
          <w:rFonts w:ascii="Arial" w:eastAsia="Arial" w:hAnsi="Arial" w:cs="Arial"/>
          <w:sz w:val="24"/>
          <w:szCs w:val="24"/>
        </w:rPr>
        <w:t xml:space="preserve"> </w:t>
      </w:r>
      <w:r w:rsidR="001F79CF">
        <w:rPr>
          <w:rFonts w:ascii="Arial" w:eastAsia="Arial" w:hAnsi="Arial" w:cs="Arial"/>
          <w:sz w:val="24"/>
          <w:szCs w:val="24"/>
        </w:rPr>
        <w:t xml:space="preserve">since this is the second </w:t>
      </w:r>
      <w:r>
        <w:rPr>
          <w:rFonts w:ascii="Arial" w:eastAsia="Arial" w:hAnsi="Arial" w:cs="Arial"/>
          <w:sz w:val="24"/>
          <w:szCs w:val="24"/>
        </w:rPr>
        <w:t>mpox</w:t>
      </w:r>
      <w:r w:rsidR="002B5599">
        <w:rPr>
          <w:rFonts w:ascii="Arial" w:eastAsia="Arial" w:hAnsi="Arial" w:cs="Arial"/>
          <w:sz w:val="24"/>
          <w:szCs w:val="24"/>
        </w:rPr>
        <w:t xml:space="preserve"> global health emergency in only two years. </w:t>
      </w:r>
      <w:r w:rsidR="00B4267D">
        <w:rPr>
          <w:rFonts w:ascii="Arial" w:eastAsia="Arial" w:hAnsi="Arial" w:cs="Arial"/>
          <w:sz w:val="24"/>
          <w:szCs w:val="24"/>
        </w:rPr>
        <w:t>Two years ago</w:t>
      </w:r>
      <w:r w:rsidR="005F3AF5">
        <w:rPr>
          <w:rFonts w:ascii="Arial" w:eastAsia="Arial" w:hAnsi="Arial" w:cs="Arial"/>
          <w:sz w:val="24"/>
          <w:szCs w:val="24"/>
        </w:rPr>
        <w:t>,</w:t>
      </w:r>
      <w:r w:rsidR="00B4267D">
        <w:rPr>
          <w:rFonts w:ascii="Arial" w:eastAsia="Arial" w:hAnsi="Arial" w:cs="Arial"/>
          <w:sz w:val="24"/>
          <w:szCs w:val="24"/>
        </w:rPr>
        <w:t xml:space="preserve"> the less lethal Clade II strain of mpox </w:t>
      </w:r>
      <w:r w:rsidR="009D4801">
        <w:rPr>
          <w:rFonts w:ascii="Arial" w:eastAsia="Arial" w:hAnsi="Arial" w:cs="Arial"/>
          <w:sz w:val="24"/>
          <w:szCs w:val="24"/>
        </w:rPr>
        <w:t xml:space="preserve">infected </w:t>
      </w:r>
      <w:r w:rsidR="00B4267D">
        <w:rPr>
          <w:rFonts w:ascii="Arial" w:eastAsia="Arial" w:hAnsi="Arial" w:cs="Arial"/>
          <w:sz w:val="24"/>
          <w:szCs w:val="24"/>
        </w:rPr>
        <w:t>more than 30,000 Americans.</w:t>
      </w:r>
      <w:r w:rsidR="002B5599">
        <w:rPr>
          <w:rFonts w:ascii="Arial" w:eastAsia="Arial" w:hAnsi="Arial" w:cs="Arial"/>
          <w:sz w:val="24"/>
          <w:szCs w:val="24"/>
        </w:rPr>
        <w:t xml:space="preserve"> The durable immunity</w:t>
      </w:r>
      <w:r w:rsidR="00C50027">
        <w:rPr>
          <w:rFonts w:ascii="Arial" w:eastAsia="Arial" w:hAnsi="Arial" w:cs="Arial"/>
          <w:sz w:val="24"/>
          <w:szCs w:val="24"/>
        </w:rPr>
        <w:t xml:space="preserve"> underscores </w:t>
      </w:r>
      <w:r>
        <w:rPr>
          <w:rFonts w:ascii="Arial" w:eastAsia="Arial" w:hAnsi="Arial" w:cs="Arial"/>
          <w:sz w:val="24"/>
          <w:szCs w:val="24"/>
        </w:rPr>
        <w:t>the vaccine's utility beyond the immediate crisis.</w:t>
      </w:r>
    </w:p>
    <w:p w14:paraId="050BB1B1" w14:textId="4B356F11" w:rsidR="00A455A0" w:rsidRDefault="00385348">
      <w:pPr>
        <w:jc w:val="both"/>
        <w:rPr>
          <w:rFonts w:ascii="Arial" w:eastAsia="Arial" w:hAnsi="Arial" w:cs="Arial"/>
          <w:sz w:val="24"/>
          <w:szCs w:val="24"/>
        </w:rPr>
      </w:pPr>
      <w:r>
        <w:rPr>
          <w:rFonts w:ascii="Arial" w:eastAsia="Arial" w:hAnsi="Arial" w:cs="Arial"/>
          <w:sz w:val="24"/>
          <w:szCs w:val="24"/>
        </w:rPr>
        <w:t xml:space="preserve">Tonix has also announced a </w:t>
      </w:r>
      <w:hyperlink r:id="rId11">
        <w:r>
          <w:rPr>
            <w:rFonts w:ascii="Arial" w:eastAsia="Arial" w:hAnsi="Arial" w:cs="Arial"/>
            <w:color w:val="0563C1"/>
            <w:sz w:val="24"/>
            <w:szCs w:val="24"/>
            <w:u w:val="single"/>
          </w:rPr>
          <w:t>collaboration</w:t>
        </w:r>
      </w:hyperlink>
      <w:r>
        <w:rPr>
          <w:rFonts w:ascii="Arial" w:eastAsia="Arial" w:hAnsi="Arial" w:cs="Arial"/>
          <w:sz w:val="24"/>
          <w:szCs w:val="24"/>
        </w:rPr>
        <w:t xml:space="preserve"> with </w:t>
      </w:r>
      <w:proofErr w:type="spellStart"/>
      <w:r>
        <w:rPr>
          <w:rFonts w:ascii="Arial" w:eastAsia="Arial" w:hAnsi="Arial" w:cs="Arial"/>
          <w:sz w:val="24"/>
          <w:szCs w:val="24"/>
        </w:rPr>
        <w:t>Bilthoven</w:t>
      </w:r>
      <w:proofErr w:type="spellEnd"/>
      <w:r>
        <w:rPr>
          <w:rFonts w:ascii="Arial" w:eastAsia="Arial" w:hAnsi="Arial" w:cs="Arial"/>
          <w:sz w:val="24"/>
          <w:szCs w:val="24"/>
        </w:rPr>
        <w:t xml:space="preserve"> Biologics, part of the Cyrus Poonawalla Group, the world’s largest vaccine manufacturer. This partnership aims to scale up the production of TNX-801 using conventional cell culture systems, which should facilitate mass production and </w:t>
      </w:r>
      <w:r w:rsidR="006669CA">
        <w:rPr>
          <w:rFonts w:ascii="Arial" w:eastAsia="Arial" w:hAnsi="Arial" w:cs="Arial"/>
          <w:sz w:val="24"/>
          <w:szCs w:val="24"/>
        </w:rPr>
        <w:t xml:space="preserve">potentially </w:t>
      </w:r>
      <w:r>
        <w:rPr>
          <w:rFonts w:ascii="Arial" w:eastAsia="Arial" w:hAnsi="Arial" w:cs="Arial"/>
          <w:sz w:val="24"/>
          <w:szCs w:val="24"/>
        </w:rPr>
        <w:t xml:space="preserve">make the </w:t>
      </w:r>
      <w:r w:rsidR="006669CA">
        <w:rPr>
          <w:rFonts w:ascii="Arial" w:eastAsia="Arial" w:hAnsi="Arial" w:cs="Arial"/>
          <w:sz w:val="24"/>
          <w:szCs w:val="24"/>
        </w:rPr>
        <w:t xml:space="preserve">TNX-801 </w:t>
      </w:r>
      <w:r>
        <w:rPr>
          <w:rFonts w:ascii="Arial" w:eastAsia="Arial" w:hAnsi="Arial" w:cs="Arial"/>
          <w:sz w:val="24"/>
          <w:szCs w:val="24"/>
        </w:rPr>
        <w:t>vaccine available on a global scale, ensuring that regions most in need have access to this prevention tool.</w:t>
      </w:r>
    </w:p>
    <w:p w14:paraId="2CAC965D" w14:textId="682C4CB7" w:rsidR="00A455A0" w:rsidRDefault="00385348">
      <w:pPr>
        <w:pStyle w:val="Heading2"/>
        <w:jc w:val="both"/>
        <w:rPr>
          <w:b w:val="0"/>
        </w:rPr>
      </w:pPr>
      <w:bookmarkStart w:id="5" w:name="_vj27f6hnq05s" w:colFirst="0" w:colLast="0"/>
      <w:bookmarkEnd w:id="5"/>
      <w:r>
        <w:rPr>
          <w:b w:val="0"/>
        </w:rPr>
        <w:t xml:space="preserve">A Promising Solution </w:t>
      </w:r>
      <w:r w:rsidR="00B14F1F">
        <w:rPr>
          <w:b w:val="0"/>
        </w:rPr>
        <w:t xml:space="preserve">in </w:t>
      </w:r>
      <w:r>
        <w:rPr>
          <w:b w:val="0"/>
        </w:rPr>
        <w:t xml:space="preserve">The Face </w:t>
      </w:r>
      <w:r w:rsidR="00B14F1F">
        <w:rPr>
          <w:b w:val="0"/>
        </w:rPr>
        <w:t xml:space="preserve">of </w:t>
      </w:r>
      <w:r>
        <w:rPr>
          <w:b w:val="0"/>
        </w:rPr>
        <w:t>Growing Threats</w:t>
      </w:r>
    </w:p>
    <w:p w14:paraId="74113710" w14:textId="0DA08772" w:rsidR="00A455A0" w:rsidRDefault="00385348">
      <w:pPr>
        <w:jc w:val="both"/>
        <w:rPr>
          <w:rFonts w:ascii="Arial" w:eastAsia="Arial" w:hAnsi="Arial" w:cs="Arial"/>
          <w:sz w:val="24"/>
          <w:szCs w:val="24"/>
        </w:rPr>
      </w:pPr>
      <w:r>
        <w:rPr>
          <w:rFonts w:ascii="Arial" w:eastAsia="Arial" w:hAnsi="Arial" w:cs="Arial"/>
          <w:sz w:val="24"/>
          <w:szCs w:val="24"/>
        </w:rPr>
        <w:t>As the world grapples with the growing threat of mpox, particularly the more virulent</w:t>
      </w:r>
      <w:r w:rsidR="00761E16">
        <w:rPr>
          <w:rFonts w:ascii="Arial" w:eastAsia="Arial" w:hAnsi="Arial" w:cs="Arial"/>
          <w:sz w:val="24"/>
          <w:szCs w:val="24"/>
        </w:rPr>
        <w:t xml:space="preserve"> and lethal</w:t>
      </w:r>
      <w:r>
        <w:rPr>
          <w:rFonts w:ascii="Arial" w:eastAsia="Arial" w:hAnsi="Arial" w:cs="Arial"/>
          <w:sz w:val="24"/>
          <w:szCs w:val="24"/>
        </w:rPr>
        <w:t xml:space="preserve"> Clade I strain, the need for an effective, safe and scalable vaccine is more urgent than ever. TNX-801’s ability to deliver single-dose protection, coupled with its improved </w:t>
      </w:r>
      <w:r w:rsidR="00761E16">
        <w:rPr>
          <w:rFonts w:ascii="Arial" w:eastAsia="Arial" w:hAnsi="Arial" w:cs="Arial"/>
          <w:sz w:val="24"/>
          <w:szCs w:val="24"/>
        </w:rPr>
        <w:t>tolerability</w:t>
      </w:r>
      <w:r>
        <w:rPr>
          <w:rFonts w:ascii="Arial" w:eastAsia="Arial" w:hAnsi="Arial" w:cs="Arial"/>
          <w:sz w:val="24"/>
          <w:szCs w:val="24"/>
        </w:rPr>
        <w:t xml:space="preserve"> and scalability, makes it a potentially strong candidate to meet the WHO’s guidelines for controlling </w:t>
      </w:r>
      <w:r w:rsidR="00761E16">
        <w:rPr>
          <w:rFonts w:ascii="Arial" w:eastAsia="Arial" w:hAnsi="Arial" w:cs="Arial"/>
          <w:sz w:val="24"/>
          <w:szCs w:val="24"/>
        </w:rPr>
        <w:t xml:space="preserve">the new </w:t>
      </w:r>
      <w:r>
        <w:rPr>
          <w:rFonts w:ascii="Arial" w:eastAsia="Arial" w:hAnsi="Arial" w:cs="Arial"/>
          <w:sz w:val="24"/>
          <w:szCs w:val="24"/>
        </w:rPr>
        <w:t>mpox</w:t>
      </w:r>
      <w:r w:rsidR="00D85187">
        <w:rPr>
          <w:rFonts w:ascii="Arial" w:eastAsia="Arial" w:hAnsi="Arial" w:cs="Arial"/>
          <w:sz w:val="24"/>
          <w:szCs w:val="24"/>
        </w:rPr>
        <w:t xml:space="preserve"> emergency</w:t>
      </w:r>
      <w:r>
        <w:rPr>
          <w:rFonts w:ascii="Arial" w:eastAsia="Arial" w:hAnsi="Arial" w:cs="Arial"/>
          <w:sz w:val="24"/>
          <w:szCs w:val="24"/>
        </w:rPr>
        <w:t xml:space="preserve"> and preventing future outbreaks.</w:t>
      </w:r>
    </w:p>
    <w:p w14:paraId="537A5361" w14:textId="3A48AD22" w:rsidR="00A455A0" w:rsidRDefault="00385348">
      <w:pPr>
        <w:jc w:val="both"/>
        <w:rPr>
          <w:rFonts w:ascii="Arial" w:eastAsia="Arial" w:hAnsi="Arial" w:cs="Arial"/>
          <w:sz w:val="24"/>
          <w:szCs w:val="24"/>
        </w:rPr>
      </w:pPr>
      <w:r>
        <w:rPr>
          <w:rFonts w:ascii="Arial" w:eastAsia="Arial" w:hAnsi="Arial" w:cs="Arial"/>
          <w:sz w:val="24"/>
          <w:szCs w:val="24"/>
        </w:rPr>
        <w:t xml:space="preserve">Tonix Pharmaceuticals is not only addressing the current mpox crisis but also looking to position itself as a leader in developing vaccines for future pandemics. The company says that TNX-801’s versatile platform could be adapted to protect against a range of other infectious diseases, </w:t>
      </w:r>
      <w:r w:rsidR="00785EB3">
        <w:rPr>
          <w:rFonts w:ascii="Arial" w:eastAsia="Arial" w:hAnsi="Arial" w:cs="Arial"/>
          <w:sz w:val="24"/>
          <w:szCs w:val="24"/>
        </w:rPr>
        <w:t xml:space="preserve">potentially </w:t>
      </w:r>
      <w:r>
        <w:rPr>
          <w:rFonts w:ascii="Arial" w:eastAsia="Arial" w:hAnsi="Arial" w:cs="Arial"/>
          <w:sz w:val="24"/>
          <w:szCs w:val="24"/>
        </w:rPr>
        <w:t>making it a key player in global health preparedness, especially as the world continues to face evolving threats from viral outbreaks.</w:t>
      </w:r>
    </w:p>
    <w:p w14:paraId="16DD7FBD" w14:textId="5D3E46CE" w:rsidR="00A455A0" w:rsidRDefault="00385348">
      <w:pPr>
        <w:jc w:val="both"/>
        <w:rPr>
          <w:rFonts w:ascii="Arial" w:eastAsia="Arial" w:hAnsi="Arial" w:cs="Arial"/>
          <w:sz w:val="24"/>
          <w:szCs w:val="24"/>
        </w:rPr>
      </w:pPr>
      <w:r>
        <w:rPr>
          <w:rFonts w:ascii="Arial" w:eastAsia="Arial" w:hAnsi="Arial" w:cs="Arial"/>
          <w:sz w:val="24"/>
          <w:szCs w:val="24"/>
        </w:rPr>
        <w:t xml:space="preserve">In an environment where infectious diseases are rapidly evolving, vaccines like TNX-801 represent the future of outbreak prevention. With its alignment with the WHO’s stringent </w:t>
      </w:r>
      <w:r w:rsidR="00653107">
        <w:rPr>
          <w:rFonts w:ascii="Arial" w:eastAsia="Arial" w:hAnsi="Arial" w:cs="Arial"/>
          <w:sz w:val="24"/>
          <w:szCs w:val="24"/>
        </w:rPr>
        <w:t xml:space="preserve">target </w:t>
      </w:r>
      <w:r w:rsidR="003A0A16">
        <w:rPr>
          <w:rFonts w:ascii="Arial" w:eastAsia="Arial" w:hAnsi="Arial" w:cs="Arial"/>
          <w:sz w:val="24"/>
          <w:szCs w:val="24"/>
        </w:rPr>
        <w:t xml:space="preserve">product profile </w:t>
      </w:r>
      <w:r>
        <w:rPr>
          <w:rFonts w:ascii="Arial" w:eastAsia="Arial" w:hAnsi="Arial" w:cs="Arial"/>
          <w:sz w:val="24"/>
          <w:szCs w:val="24"/>
        </w:rPr>
        <w:t xml:space="preserve">and its potential for global distribution, TNX-801 </w:t>
      </w:r>
      <w:r w:rsidR="007D3713">
        <w:rPr>
          <w:rFonts w:ascii="Arial" w:eastAsia="Arial" w:hAnsi="Arial" w:cs="Arial"/>
          <w:sz w:val="24"/>
          <w:szCs w:val="24"/>
        </w:rPr>
        <w:t xml:space="preserve">has the potential to </w:t>
      </w:r>
      <w:r>
        <w:rPr>
          <w:rFonts w:ascii="Arial" w:eastAsia="Arial" w:hAnsi="Arial" w:cs="Arial"/>
          <w:sz w:val="24"/>
          <w:szCs w:val="24"/>
        </w:rPr>
        <w:t>become the cornerstone of mpox prevention efforts worldwide, ensuring that regions most affected by the virus have access to immunization options</w:t>
      </w:r>
      <w:r w:rsidR="000C3068">
        <w:rPr>
          <w:rFonts w:ascii="Arial" w:eastAsia="Arial" w:hAnsi="Arial" w:cs="Arial"/>
          <w:sz w:val="24"/>
          <w:szCs w:val="24"/>
        </w:rPr>
        <w:t xml:space="preserve"> that provide durable protection</w:t>
      </w:r>
      <w:r w:rsidR="00AC255F">
        <w:rPr>
          <w:rFonts w:ascii="Arial" w:eastAsia="Arial" w:hAnsi="Arial" w:cs="Arial"/>
          <w:sz w:val="24"/>
          <w:szCs w:val="24"/>
        </w:rPr>
        <w:t>, tolerability and scalable production</w:t>
      </w:r>
      <w:r>
        <w:rPr>
          <w:rFonts w:ascii="Arial" w:eastAsia="Arial" w:hAnsi="Arial" w:cs="Arial"/>
          <w:sz w:val="24"/>
          <w:szCs w:val="24"/>
        </w:rPr>
        <w:t>.</w:t>
      </w:r>
    </w:p>
    <w:p w14:paraId="4A7A44C9" w14:textId="37CDFAD3" w:rsidR="00A455A0" w:rsidRDefault="002D5399">
      <w:pPr>
        <w:jc w:val="both"/>
        <w:rPr>
          <w:rFonts w:ascii="Arial" w:eastAsia="Arial" w:hAnsi="Arial" w:cs="Arial"/>
          <w:color w:val="000000"/>
          <w:sz w:val="24"/>
          <w:szCs w:val="24"/>
        </w:rPr>
      </w:pPr>
      <w:r>
        <w:rPr>
          <w:rFonts w:ascii="Arial" w:eastAsia="Arial" w:hAnsi="Arial" w:cs="Arial"/>
          <w:color w:val="000000"/>
          <w:sz w:val="24"/>
          <w:szCs w:val="24"/>
        </w:rPr>
        <w:t>*</w:t>
      </w:r>
      <w:r>
        <w:rPr>
          <w:rFonts w:ascii="Arial" w:eastAsia="Arial" w:hAnsi="Arial" w:cs="Arial"/>
          <w:sz w:val="24"/>
          <w:szCs w:val="24"/>
        </w:rPr>
        <w:t xml:space="preserve">TNX-801 is an </w:t>
      </w:r>
      <w:r w:rsidR="00892348">
        <w:rPr>
          <w:rFonts w:ascii="Arial" w:eastAsia="Arial" w:hAnsi="Arial" w:cs="Arial"/>
          <w:sz w:val="24"/>
          <w:szCs w:val="24"/>
        </w:rPr>
        <w:t>investigational</w:t>
      </w:r>
      <w:r>
        <w:rPr>
          <w:rFonts w:ascii="Arial" w:eastAsia="Arial" w:hAnsi="Arial" w:cs="Arial"/>
          <w:sz w:val="24"/>
          <w:szCs w:val="24"/>
        </w:rPr>
        <w:t xml:space="preserve"> new biologic and has not been approved for any indication</w:t>
      </w:r>
    </w:p>
    <w:p w14:paraId="4FADA5AA" w14:textId="77777777" w:rsidR="00A455A0" w:rsidRDefault="00385348">
      <w:pPr>
        <w:jc w:val="both"/>
        <w:rPr>
          <w:rFonts w:ascii="Arial" w:eastAsia="Arial" w:hAnsi="Arial" w:cs="Arial"/>
          <w:sz w:val="24"/>
          <w:szCs w:val="24"/>
        </w:rPr>
      </w:pPr>
      <w:r>
        <w:rPr>
          <w:rFonts w:ascii="Arial" w:eastAsia="Arial" w:hAnsi="Arial" w:cs="Arial"/>
          <w:color w:val="000000"/>
          <w:sz w:val="24"/>
          <w:szCs w:val="24"/>
        </w:rPr>
        <w:t xml:space="preserve">Featured </w:t>
      </w:r>
      <w:r>
        <w:rPr>
          <w:rFonts w:ascii="Arial" w:eastAsia="Arial" w:hAnsi="Arial" w:cs="Arial"/>
          <w:sz w:val="24"/>
          <w:szCs w:val="24"/>
        </w:rPr>
        <w:t xml:space="preserve">photo by </w:t>
      </w:r>
      <w:hyperlink r:id="rId12">
        <w:r>
          <w:rPr>
            <w:rFonts w:ascii="Arial" w:eastAsia="Arial" w:hAnsi="Arial" w:cs="Arial"/>
            <w:color w:val="0563C1"/>
            <w:sz w:val="24"/>
            <w:szCs w:val="24"/>
            <w:u w:val="single"/>
          </w:rPr>
          <w:t>National Institute of Allergy and Infectious Diseases</w:t>
        </w:r>
      </w:hyperlink>
      <w:r>
        <w:rPr>
          <w:rFonts w:ascii="Arial" w:eastAsia="Arial" w:hAnsi="Arial" w:cs="Arial"/>
          <w:sz w:val="24"/>
          <w:szCs w:val="24"/>
        </w:rPr>
        <w:t xml:space="preserve"> on </w:t>
      </w:r>
      <w:hyperlink r:id="rId13">
        <w:proofErr w:type="spellStart"/>
        <w:r>
          <w:rPr>
            <w:rFonts w:ascii="Arial" w:eastAsia="Arial" w:hAnsi="Arial" w:cs="Arial"/>
            <w:color w:val="0563C1"/>
            <w:sz w:val="24"/>
            <w:szCs w:val="24"/>
            <w:u w:val="single"/>
          </w:rPr>
          <w:t>Unsplash</w:t>
        </w:r>
        <w:proofErr w:type="spellEnd"/>
      </w:hyperlink>
      <w:r>
        <w:rPr>
          <w:rFonts w:ascii="Arial" w:eastAsia="Arial" w:hAnsi="Arial" w:cs="Arial"/>
          <w:sz w:val="24"/>
          <w:szCs w:val="24"/>
        </w:rPr>
        <w:t>.</w:t>
      </w:r>
    </w:p>
    <w:p w14:paraId="53B95202" w14:textId="77777777" w:rsidR="00A455A0" w:rsidRDefault="00385348">
      <w:pPr>
        <w:jc w:val="both"/>
        <w:rPr>
          <w:rFonts w:ascii="Arial" w:eastAsia="Arial" w:hAnsi="Arial" w:cs="Arial"/>
          <w:i/>
          <w:color w:val="000000"/>
          <w:sz w:val="24"/>
          <w:szCs w:val="24"/>
        </w:rPr>
      </w:pPr>
      <w:r>
        <w:rPr>
          <w:rFonts w:ascii="Arial" w:eastAsia="Arial" w:hAnsi="Arial" w:cs="Arial"/>
          <w:i/>
          <w:color w:val="000000"/>
          <w:sz w:val="24"/>
          <w:szCs w:val="24"/>
        </w:rPr>
        <w:t>This post contains sponsored content. This content is for informational purposes only and is not intended to be investing advice.</w:t>
      </w:r>
    </w:p>
    <w:p w14:paraId="1535A25B" w14:textId="72243108" w:rsidR="00665555" w:rsidRPr="00196C43" w:rsidRDefault="00196C43" w:rsidP="00665555">
      <w:pPr>
        <w:rPr>
          <w:rFonts w:ascii="Arial" w:eastAsia="Arial" w:hAnsi="Arial" w:cs="Arial"/>
          <w:sz w:val="24"/>
          <w:szCs w:val="24"/>
        </w:rPr>
      </w:pPr>
      <w:r w:rsidRPr="00196C43">
        <w:rPr>
          <w:rFonts w:ascii="Arial" w:eastAsia="Arial" w:hAnsi="Arial" w:cs="Arial"/>
          <w:b/>
          <w:bCs/>
          <w:sz w:val="24"/>
          <w:szCs w:val="24"/>
        </w:rPr>
        <w:t>Click here</w:t>
      </w:r>
      <w:r w:rsidRPr="00196C43">
        <w:rPr>
          <w:rFonts w:ascii="Arial" w:eastAsia="Arial" w:hAnsi="Arial" w:cs="Arial"/>
          <w:sz w:val="24"/>
          <w:szCs w:val="24"/>
        </w:rPr>
        <w:t> for more information on Tonix Pharmaceuticals</w:t>
      </w:r>
      <w:r w:rsidR="00665555">
        <w:rPr>
          <w:rFonts w:ascii="Arial" w:eastAsia="Arial" w:hAnsi="Arial" w:cs="Arial"/>
          <w:sz w:val="24"/>
          <w:szCs w:val="24"/>
        </w:rPr>
        <w:t>:</w:t>
      </w:r>
      <w:r w:rsidR="00665555">
        <w:rPr>
          <w:rFonts w:ascii="Arial" w:eastAsia="Arial" w:hAnsi="Arial" w:cs="Arial"/>
          <w:sz w:val="24"/>
          <w:szCs w:val="24"/>
        </w:rPr>
        <w:br/>
      </w:r>
      <w:hyperlink r:id="rId14" w:history="1">
        <w:r w:rsidR="00665555" w:rsidRPr="009A0A2E">
          <w:rPr>
            <w:rStyle w:val="Hyperlink"/>
            <w:rFonts w:ascii="Arial" w:eastAsia="Arial" w:hAnsi="Arial" w:cs="Arial"/>
            <w:sz w:val="24"/>
            <w:szCs w:val="24"/>
          </w:rPr>
          <w:t>https://redingtonvirtual.com/tnxp-aw-24092/</w:t>
        </w:r>
      </w:hyperlink>
      <w:r w:rsidR="00665555">
        <w:rPr>
          <w:rFonts w:ascii="Arial" w:eastAsia="Arial" w:hAnsi="Arial" w:cs="Arial"/>
          <w:sz w:val="24"/>
          <w:szCs w:val="24"/>
        </w:rPr>
        <w:tab/>
      </w:r>
    </w:p>
    <w:p w14:paraId="4A26D677" w14:textId="77777777" w:rsidR="00196C43" w:rsidRPr="00196C43" w:rsidRDefault="00196C43" w:rsidP="00196C43">
      <w:pPr>
        <w:jc w:val="both"/>
        <w:rPr>
          <w:rFonts w:ascii="Arial" w:eastAsia="Arial" w:hAnsi="Arial" w:cs="Arial"/>
          <w:sz w:val="24"/>
          <w:szCs w:val="24"/>
        </w:rPr>
      </w:pPr>
      <w:r w:rsidRPr="00196C43">
        <w:rPr>
          <w:rFonts w:ascii="Arial" w:eastAsia="Arial" w:hAnsi="Arial" w:cs="Arial"/>
          <w:i/>
          <w:iCs/>
          <w:sz w:val="24"/>
          <w:szCs w:val="24"/>
        </w:rPr>
        <w:t>This post was written and published as a collaboration between the in-house editorial team at Benzinga and Tonix Pharmaceuticals Holding Corp. with financial support from Tonix. The two organizations work to ensure that any and all information contained within is true and accurate as of the date hereof to the best of their knowledge and research. This content is for informational purposes only and not intended to be investing advice.</w:t>
      </w:r>
    </w:p>
    <w:p w14:paraId="06AA08E4" w14:textId="77777777" w:rsidR="00665555" w:rsidRDefault="00665555" w:rsidP="00665555"/>
    <w:p w14:paraId="658413E0" w14:textId="42C36EF6" w:rsidR="00196C43" w:rsidRDefault="00665555" w:rsidP="00665555">
      <w:pPr>
        <w:rPr>
          <w:rFonts w:ascii="Arial" w:eastAsia="Arial" w:hAnsi="Arial" w:cs="Arial"/>
          <w:sz w:val="24"/>
          <w:szCs w:val="24"/>
        </w:rPr>
      </w:pPr>
      <w:r w:rsidRPr="003F3DA4">
        <w:rPr>
          <w:b/>
          <w:bCs/>
        </w:rPr>
        <w:t>Investor Contact</w:t>
      </w:r>
      <w:r w:rsidRPr="003F3DA4">
        <w:br/>
        <w:t>Jessica Morris</w:t>
      </w:r>
      <w:r w:rsidRPr="003F3DA4">
        <w:br/>
        <w:t>Tonix Pharmaceuticals</w:t>
      </w:r>
      <w:r w:rsidRPr="003F3DA4">
        <w:br/>
      </w:r>
      <w:hyperlink r:id="rId15" w:history="1">
        <w:r w:rsidRPr="003F3DA4">
          <w:rPr>
            <w:rStyle w:val="Hyperlink"/>
          </w:rPr>
          <w:t>investor.relations@tonixpharma.com</w:t>
        </w:r>
      </w:hyperlink>
      <w:r w:rsidRPr="003F3DA4">
        <w:br/>
        <w:t>(862) 904-8182</w:t>
      </w:r>
    </w:p>
    <w:sectPr w:rsidR="00196C4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72F3FA" w14:textId="77777777" w:rsidR="007F7AD0" w:rsidRDefault="007F7AD0" w:rsidP="00385348">
      <w:pPr>
        <w:spacing w:after="0" w:line="240" w:lineRule="auto"/>
      </w:pPr>
      <w:r>
        <w:separator/>
      </w:r>
    </w:p>
  </w:endnote>
  <w:endnote w:type="continuationSeparator" w:id="0">
    <w:p w14:paraId="0F7B9789" w14:textId="77777777" w:rsidR="007F7AD0" w:rsidRDefault="007F7AD0" w:rsidP="003853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7AD538" w14:textId="77777777" w:rsidR="007F7AD0" w:rsidRDefault="007F7AD0" w:rsidP="00385348">
      <w:pPr>
        <w:spacing w:after="0" w:line="240" w:lineRule="auto"/>
      </w:pPr>
      <w:r>
        <w:separator/>
      </w:r>
    </w:p>
  </w:footnote>
  <w:footnote w:type="continuationSeparator" w:id="0">
    <w:p w14:paraId="2BF0DCE7" w14:textId="77777777" w:rsidR="007F7AD0" w:rsidRDefault="007F7AD0" w:rsidP="0038534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5A0"/>
    <w:rsid w:val="0005339A"/>
    <w:rsid w:val="000724B7"/>
    <w:rsid w:val="00086463"/>
    <w:rsid w:val="000A0F8B"/>
    <w:rsid w:val="000C3068"/>
    <w:rsid w:val="000E1598"/>
    <w:rsid w:val="000E2CED"/>
    <w:rsid w:val="00104AB1"/>
    <w:rsid w:val="00147F36"/>
    <w:rsid w:val="001507CB"/>
    <w:rsid w:val="00167082"/>
    <w:rsid w:val="00196C43"/>
    <w:rsid w:val="001A061D"/>
    <w:rsid w:val="001A51AF"/>
    <w:rsid w:val="001B373F"/>
    <w:rsid w:val="001B4BAF"/>
    <w:rsid w:val="001F7413"/>
    <w:rsid w:val="001F79CF"/>
    <w:rsid w:val="0020466A"/>
    <w:rsid w:val="0021786E"/>
    <w:rsid w:val="00231256"/>
    <w:rsid w:val="0026193F"/>
    <w:rsid w:val="00286CA6"/>
    <w:rsid w:val="002A24AB"/>
    <w:rsid w:val="002B5599"/>
    <w:rsid w:val="002D20C3"/>
    <w:rsid w:val="002D5399"/>
    <w:rsid w:val="002E0A34"/>
    <w:rsid w:val="00325CD3"/>
    <w:rsid w:val="00354E1A"/>
    <w:rsid w:val="00385348"/>
    <w:rsid w:val="003A0A16"/>
    <w:rsid w:val="003C26B0"/>
    <w:rsid w:val="003C6A5D"/>
    <w:rsid w:val="003D1291"/>
    <w:rsid w:val="003D6A34"/>
    <w:rsid w:val="004B3972"/>
    <w:rsid w:val="004B41D3"/>
    <w:rsid w:val="004C5BA8"/>
    <w:rsid w:val="005044F0"/>
    <w:rsid w:val="005500C3"/>
    <w:rsid w:val="00575F41"/>
    <w:rsid w:val="00593254"/>
    <w:rsid w:val="0059338B"/>
    <w:rsid w:val="005A3038"/>
    <w:rsid w:val="005F305C"/>
    <w:rsid w:val="005F3AF5"/>
    <w:rsid w:val="00653107"/>
    <w:rsid w:val="00665555"/>
    <w:rsid w:val="006669CA"/>
    <w:rsid w:val="006B32CF"/>
    <w:rsid w:val="006D256B"/>
    <w:rsid w:val="006F6C62"/>
    <w:rsid w:val="007331D3"/>
    <w:rsid w:val="00761E16"/>
    <w:rsid w:val="007809E2"/>
    <w:rsid w:val="00785EB3"/>
    <w:rsid w:val="007A493C"/>
    <w:rsid w:val="007B267D"/>
    <w:rsid w:val="007C070C"/>
    <w:rsid w:val="007D3713"/>
    <w:rsid w:val="007F7AD0"/>
    <w:rsid w:val="00834964"/>
    <w:rsid w:val="0084127F"/>
    <w:rsid w:val="008423A2"/>
    <w:rsid w:val="00847353"/>
    <w:rsid w:val="00881C28"/>
    <w:rsid w:val="00886966"/>
    <w:rsid w:val="00886B3A"/>
    <w:rsid w:val="00892348"/>
    <w:rsid w:val="008A382E"/>
    <w:rsid w:val="008D38B5"/>
    <w:rsid w:val="008F10CF"/>
    <w:rsid w:val="008F78FD"/>
    <w:rsid w:val="00953517"/>
    <w:rsid w:val="00967C04"/>
    <w:rsid w:val="00986968"/>
    <w:rsid w:val="0099724E"/>
    <w:rsid w:val="009A44BA"/>
    <w:rsid w:val="009D4801"/>
    <w:rsid w:val="009E1013"/>
    <w:rsid w:val="00A129F2"/>
    <w:rsid w:val="00A3601C"/>
    <w:rsid w:val="00A438DA"/>
    <w:rsid w:val="00A455A0"/>
    <w:rsid w:val="00AA536C"/>
    <w:rsid w:val="00AB7A42"/>
    <w:rsid w:val="00AC255F"/>
    <w:rsid w:val="00AC6DB8"/>
    <w:rsid w:val="00AD567C"/>
    <w:rsid w:val="00B14F1F"/>
    <w:rsid w:val="00B4267D"/>
    <w:rsid w:val="00B70DA5"/>
    <w:rsid w:val="00BA2DA0"/>
    <w:rsid w:val="00BD41AF"/>
    <w:rsid w:val="00C0093E"/>
    <w:rsid w:val="00C017CE"/>
    <w:rsid w:val="00C11CBF"/>
    <w:rsid w:val="00C50027"/>
    <w:rsid w:val="00CA1EC9"/>
    <w:rsid w:val="00D604BB"/>
    <w:rsid w:val="00D820F9"/>
    <w:rsid w:val="00D85187"/>
    <w:rsid w:val="00D879AE"/>
    <w:rsid w:val="00D973A0"/>
    <w:rsid w:val="00DD6048"/>
    <w:rsid w:val="00DE4AC7"/>
    <w:rsid w:val="00E26A4E"/>
    <w:rsid w:val="00E43C8C"/>
    <w:rsid w:val="00E7188E"/>
    <w:rsid w:val="00E827D7"/>
    <w:rsid w:val="00EA766C"/>
    <w:rsid w:val="00ED5E0C"/>
    <w:rsid w:val="00EF0656"/>
    <w:rsid w:val="00F166FB"/>
    <w:rsid w:val="00FA5BE7"/>
    <w:rsid w:val="00FE533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BF9AE8"/>
  <w15:docId w15:val="{17732FE4-9CED-4870-91DE-5CC4458FB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973A0"/>
    <w:pPr>
      <w:spacing w:after="0" w:line="240" w:lineRule="auto"/>
    </w:pPr>
  </w:style>
  <w:style w:type="character" w:styleId="CommentReference">
    <w:name w:val="annotation reference"/>
    <w:basedOn w:val="DefaultParagraphFont"/>
    <w:uiPriority w:val="99"/>
    <w:semiHidden/>
    <w:unhideWhenUsed/>
    <w:rsid w:val="007331D3"/>
    <w:rPr>
      <w:sz w:val="16"/>
      <w:szCs w:val="16"/>
    </w:rPr>
  </w:style>
  <w:style w:type="paragraph" w:styleId="CommentText">
    <w:name w:val="annotation text"/>
    <w:basedOn w:val="Normal"/>
    <w:link w:val="CommentTextChar"/>
    <w:uiPriority w:val="99"/>
    <w:unhideWhenUsed/>
    <w:rsid w:val="007331D3"/>
    <w:pPr>
      <w:spacing w:line="240" w:lineRule="auto"/>
    </w:pPr>
    <w:rPr>
      <w:sz w:val="20"/>
      <w:szCs w:val="20"/>
    </w:rPr>
  </w:style>
  <w:style w:type="character" w:customStyle="1" w:styleId="CommentTextChar">
    <w:name w:val="Comment Text Char"/>
    <w:basedOn w:val="DefaultParagraphFont"/>
    <w:link w:val="CommentText"/>
    <w:uiPriority w:val="99"/>
    <w:rsid w:val="007331D3"/>
    <w:rPr>
      <w:sz w:val="20"/>
      <w:szCs w:val="20"/>
    </w:rPr>
  </w:style>
  <w:style w:type="paragraph" w:styleId="CommentSubject">
    <w:name w:val="annotation subject"/>
    <w:basedOn w:val="CommentText"/>
    <w:next w:val="CommentText"/>
    <w:link w:val="CommentSubjectChar"/>
    <w:uiPriority w:val="99"/>
    <w:semiHidden/>
    <w:unhideWhenUsed/>
    <w:rsid w:val="007331D3"/>
    <w:rPr>
      <w:b/>
      <w:bCs/>
    </w:rPr>
  </w:style>
  <w:style w:type="character" w:customStyle="1" w:styleId="CommentSubjectChar">
    <w:name w:val="Comment Subject Char"/>
    <w:basedOn w:val="CommentTextChar"/>
    <w:link w:val="CommentSubject"/>
    <w:uiPriority w:val="99"/>
    <w:semiHidden/>
    <w:rsid w:val="007331D3"/>
    <w:rPr>
      <w:b/>
      <w:bCs/>
      <w:sz w:val="20"/>
      <w:szCs w:val="20"/>
    </w:rPr>
  </w:style>
  <w:style w:type="character" w:styleId="Hyperlink">
    <w:name w:val="Hyperlink"/>
    <w:basedOn w:val="DefaultParagraphFont"/>
    <w:uiPriority w:val="99"/>
    <w:unhideWhenUsed/>
    <w:rsid w:val="007331D3"/>
    <w:rPr>
      <w:color w:val="0000FF" w:themeColor="hyperlink"/>
      <w:u w:val="single"/>
    </w:rPr>
  </w:style>
  <w:style w:type="character" w:styleId="UnresolvedMention">
    <w:name w:val="Unresolved Mention"/>
    <w:basedOn w:val="DefaultParagraphFont"/>
    <w:uiPriority w:val="99"/>
    <w:semiHidden/>
    <w:unhideWhenUsed/>
    <w:rsid w:val="007331D3"/>
    <w:rPr>
      <w:color w:val="605E5C"/>
      <w:shd w:val="clear" w:color="auto" w:fill="E1DFDD"/>
    </w:rPr>
  </w:style>
  <w:style w:type="paragraph" w:styleId="Header">
    <w:name w:val="header"/>
    <w:basedOn w:val="Normal"/>
    <w:link w:val="HeaderChar"/>
    <w:uiPriority w:val="99"/>
    <w:unhideWhenUsed/>
    <w:rsid w:val="003853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5348"/>
  </w:style>
  <w:style w:type="paragraph" w:styleId="Footer">
    <w:name w:val="footer"/>
    <w:basedOn w:val="Normal"/>
    <w:link w:val="FooterChar"/>
    <w:uiPriority w:val="99"/>
    <w:unhideWhenUsed/>
    <w:rsid w:val="003853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5348"/>
  </w:style>
  <w:style w:type="character" w:styleId="FollowedHyperlink">
    <w:name w:val="FollowedHyperlink"/>
    <w:basedOn w:val="DefaultParagraphFont"/>
    <w:uiPriority w:val="99"/>
    <w:semiHidden/>
    <w:unhideWhenUsed/>
    <w:rsid w:val="00196C4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0428710">
      <w:bodyDiv w:val="1"/>
      <w:marLeft w:val="0"/>
      <w:marRight w:val="0"/>
      <w:marTop w:val="0"/>
      <w:marBottom w:val="0"/>
      <w:divBdr>
        <w:top w:val="none" w:sz="0" w:space="0" w:color="auto"/>
        <w:left w:val="none" w:sz="0" w:space="0" w:color="auto"/>
        <w:bottom w:val="none" w:sz="0" w:space="0" w:color="auto"/>
        <w:right w:val="none" w:sz="0" w:space="0" w:color="auto"/>
      </w:divBdr>
    </w:div>
    <w:div w:id="13355720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benzinga.com/partner/biotech/24/08/40525679/modern-twist-to-centuries-old-smallpox-vaccine-could-be-poised-to-combat-deadly-mpox-strain-as-wh" TargetMode="External"/><Relationship Id="rId13" Type="http://schemas.openxmlformats.org/officeDocument/2006/relationships/hyperlink" Target="https://unsplash.com/photos/a-close-up-of-an-animal-cell-with-small-purple-cells-CgQZpleR610?utm_content=creditCopyText&amp;utm_medium=referral&amp;utm_source=unsplash"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unsplash.com/@niaid?utm_content=creditCopyText&amp;utm_medium=referral&amp;utm_source=unsplas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ir.tonixpharma.com/news-events/press-releases/detail/1510/tonix-pharmaceuticals-and-bilthoven-biologicals-to" TargetMode="External"/><Relationship Id="rId5" Type="http://schemas.openxmlformats.org/officeDocument/2006/relationships/footnotes" Target="footnotes.xml"/><Relationship Id="rId15" Type="http://schemas.openxmlformats.org/officeDocument/2006/relationships/hyperlink" Target="mailto:investor.relations@tonixpharma.com" TargetMode="External"/><Relationship Id="rId10" Type="http://schemas.openxmlformats.org/officeDocument/2006/relationships/hyperlink" Target="https://ir.tonixpharma.com/news-events/press-releases/detail/1515/tonix-pharmaceuticals-presented-data-on-the-potential-mpox" TargetMode="External"/><Relationship Id="rId4" Type="http://schemas.openxmlformats.org/officeDocument/2006/relationships/webSettings" Target="webSettings.xml"/><Relationship Id="rId9" Type="http://schemas.openxmlformats.org/officeDocument/2006/relationships/hyperlink" Target="https://www.who.int/news/item/14-08-2024-who-director-general-declares-mpox-outbreak-a-public-health-emergency-of-international-concern" TargetMode="External"/><Relationship Id="rId14" Type="http://schemas.openxmlformats.org/officeDocument/2006/relationships/hyperlink" Target="https://redingtonvirtual.com/tnxp-aw-2409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700D8D66-E7C5-4A53-9881-A78001AC4F73}">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1616</Words>
  <Characters>9214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Redington</dc:creator>
  <cp:lastModifiedBy>Deirdre Abbotts</cp:lastModifiedBy>
  <cp:revision>2</cp:revision>
  <dcterms:created xsi:type="dcterms:W3CDTF">2024-09-17T18:09:00Z</dcterms:created>
  <dcterms:modified xsi:type="dcterms:W3CDTF">2024-09-17T18:09:00Z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eab07fc72c41e4951d717d2ad7d8f53d32c52879a1eda19fe2f584d8a5bb47a1</vt:lpwstr>
  </property>
  <property fmtid="{D5CDD505-2E9C-101B-9397-08002B2CF9AE}" pid="3" name="DocNo">
    <vt:lpwstr>217236208</vt:lpwstr>
  </property>
  <property fmtid="{D5CDD505-2E9C-101B-9397-08002B2CF9AE}" pid="4" name="DocVer">
    <vt:lpwstr>1</vt:lpwstr>
  </property>
  <property fmtid="{D5CDD505-2E9C-101B-9397-08002B2CF9AE}" pid="5" name="LSCLIENT">
    <vt:lpwstr>32493</vt:lpwstr>
  </property>
  <property fmtid="{D5CDD505-2E9C-101B-9397-08002B2CF9AE}" pid="6" name="LSCLIENTNAME">
    <vt:lpwstr>Tonix Pharmaceuticals Holdings, Inc.</vt:lpwstr>
  </property>
  <property fmtid="{D5CDD505-2E9C-101B-9397-08002B2CF9AE}" pid="7" name="LSMATTER">
    <vt:lpwstr>1</vt:lpwstr>
  </property>
  <property fmtid="{D5CDD505-2E9C-101B-9397-08002B2CF9AE}" pid="8" name="LSMATTERNAME">
    <vt:lpwstr>General</vt:lpwstr>
  </property>
  <property fmtid="{D5CDD505-2E9C-101B-9397-08002B2CF9AE}" pid="9" name="LSTypist">
    <vt:lpwstr>Ishak, Irina</vt:lpwstr>
  </property>
</Properties>
</file>