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9B7E0" w14:textId="3B5914CD" w:rsidR="00F87CD8" w:rsidRPr="00F87CD8" w:rsidRDefault="00F87CD8" w:rsidP="00F87CD8">
      <w:pPr>
        <w:ind w:firstLine="0"/>
        <w:jc w:val="center"/>
        <w:rPr>
          <w:sz w:val="18"/>
          <w:szCs w:val="18"/>
        </w:rPr>
      </w:pPr>
      <w:r w:rsidRPr="00F87CD8">
        <w:rPr>
          <w:sz w:val="18"/>
          <w:szCs w:val="18"/>
        </w:rPr>
        <w:t>THIS NEWS RELEASE IS INTENDED FOR DISTRIBUTION IN CANADA ONLY AND IS NOT INTENDED FOR DISTRIBUTION TO UNITED STATES NEWSWIRE SERVICES OR DISSEMINATION IN THE UNITED STATES.</w:t>
      </w:r>
    </w:p>
    <w:p w14:paraId="41CF81B8" w14:textId="77777777" w:rsidR="00F87CD8" w:rsidRDefault="00F87CD8" w:rsidP="006817B7">
      <w:pPr>
        <w:ind w:firstLine="0"/>
        <w:jc w:val="center"/>
        <w:rPr>
          <w:b/>
          <w:bCs/>
        </w:rPr>
      </w:pPr>
    </w:p>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79625604" w14:textId="044A781E" w:rsidR="00996970" w:rsidRPr="00996970" w:rsidRDefault="00996970" w:rsidP="006817B7">
      <w:pPr>
        <w:ind w:firstLine="0"/>
        <w:jc w:val="center"/>
        <w:rPr>
          <w:b/>
          <w:bCs/>
          <w:sz w:val="28"/>
          <w:szCs w:val="28"/>
        </w:rPr>
      </w:pPr>
      <w:r>
        <w:rPr>
          <w:b/>
          <w:bCs/>
          <w:sz w:val="28"/>
          <w:szCs w:val="28"/>
        </w:rPr>
        <w:t xml:space="preserve">QUANTUM BIOPHARMA </w:t>
      </w:r>
      <w:r w:rsidR="006817B7" w:rsidRPr="006817B7">
        <w:rPr>
          <w:b/>
          <w:bCs/>
          <w:sz w:val="28"/>
          <w:szCs w:val="28"/>
        </w:rPr>
        <w:t xml:space="preserve">ANNOUNCES </w:t>
      </w:r>
      <w:r w:rsidR="00A05F2B">
        <w:rPr>
          <w:b/>
          <w:bCs/>
          <w:sz w:val="28"/>
          <w:szCs w:val="28"/>
        </w:rPr>
        <w:t xml:space="preserve">CLOSING OF FIRST TRANCHE </w:t>
      </w:r>
    </w:p>
    <w:p w14:paraId="5DC21F97" w14:textId="77777777" w:rsidR="00DD6624" w:rsidRPr="00CC5E6A" w:rsidRDefault="00DD6624" w:rsidP="00A54B7D">
      <w:pPr>
        <w:jc w:val="center"/>
        <w:rPr>
          <w:b/>
          <w:szCs w:val="22"/>
        </w:rPr>
      </w:pPr>
    </w:p>
    <w:p w14:paraId="0CCEB6CB" w14:textId="11E6E180" w:rsidR="00D43EE7" w:rsidRDefault="00A54B7D" w:rsidP="00D43EE7">
      <w:pPr>
        <w:ind w:firstLine="0"/>
      </w:pPr>
      <w:r w:rsidRPr="004D05D9">
        <w:rPr>
          <w:b/>
        </w:rPr>
        <w:t>Toronto, O</w:t>
      </w:r>
      <w:r w:rsidR="0060570E">
        <w:rPr>
          <w:b/>
        </w:rPr>
        <w:t>ntario</w:t>
      </w:r>
      <w:r w:rsidRPr="004D05D9">
        <w:rPr>
          <w:b/>
        </w:rPr>
        <w:t xml:space="preserve"> </w:t>
      </w:r>
      <w:r w:rsidRPr="007A7386">
        <w:rPr>
          <w:b/>
        </w:rPr>
        <w:t xml:space="preserve">– </w:t>
      </w:r>
      <w:r w:rsidR="006817B7">
        <w:rPr>
          <w:b/>
        </w:rPr>
        <w:t xml:space="preserve">December </w:t>
      </w:r>
      <w:r w:rsidR="00A05F2B">
        <w:rPr>
          <w:b/>
        </w:rPr>
        <w:t>13</w:t>
      </w:r>
      <w:r w:rsidR="006817B7">
        <w:rPr>
          <w:b/>
        </w:rPr>
        <w:t>, 2024</w:t>
      </w:r>
      <w:r w:rsidRPr="004D05D9">
        <w:t xml:space="preserve"> – </w:t>
      </w:r>
      <w:r w:rsidR="00DF62CC" w:rsidRPr="004D05D9">
        <w:t>Quantum</w:t>
      </w:r>
      <w:r w:rsidR="00DF62CC" w:rsidRPr="00DF62CC">
        <w:t xml:space="preserve"> BioPharma Ltd. (NASDAQ: QNTM) (CSE: QNTM) (FRA: 0K91)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6817B7" w:rsidRPr="006817B7">
        <w:t xml:space="preserve">is pleased to announce that it </w:t>
      </w:r>
      <w:r w:rsidR="00A05F2B">
        <w:t>has closed an initial tranche (“</w:t>
      </w:r>
      <w:r w:rsidR="00A05F2B" w:rsidRPr="00A05F2B">
        <w:rPr>
          <w:b/>
          <w:bCs/>
        </w:rPr>
        <w:t>First Tranche</w:t>
      </w:r>
      <w:r w:rsidR="00A05F2B">
        <w:t>”) of the offering announced on December 5, 2024 (the “</w:t>
      </w:r>
      <w:r w:rsidR="00A05F2B" w:rsidRPr="00A05F2B">
        <w:rPr>
          <w:b/>
          <w:bCs/>
        </w:rPr>
        <w:t>December 5 NR</w:t>
      </w:r>
      <w:r w:rsidR="00A05F2B">
        <w:t xml:space="preserve">”) and has issued </w:t>
      </w:r>
      <w:r w:rsidR="001D5114">
        <w:t>500</w:t>
      </w:r>
      <w:r w:rsidR="006817B7" w:rsidRPr="006817B7">
        <w:t xml:space="preserve"> </w:t>
      </w:r>
      <w:r w:rsidR="006817B7" w:rsidRPr="00A05F2B">
        <w:t>Debenture Units</w:t>
      </w:r>
      <w:r w:rsidR="00A05F2B" w:rsidRPr="00A05F2B">
        <w:t xml:space="preserve"> (as defined in the </w:t>
      </w:r>
      <w:r w:rsidR="00A05F2B">
        <w:t>December 5 NR</w:t>
      </w:r>
      <w:r w:rsidR="006817B7" w:rsidRPr="006817B7">
        <w:t>)</w:t>
      </w:r>
      <w:r w:rsidR="00A05F2B">
        <w:t xml:space="preserve"> for $500,000</w:t>
      </w:r>
      <w:r w:rsidR="006817B7" w:rsidRPr="006817B7">
        <w:t>.</w:t>
      </w:r>
      <w:r w:rsidR="00D43EE7" w:rsidRPr="00D43EE7">
        <w:t xml:space="preserve"> </w:t>
      </w:r>
    </w:p>
    <w:p w14:paraId="02006C45" w14:textId="77777777" w:rsidR="0078567F" w:rsidRDefault="0078567F" w:rsidP="00D43EE7">
      <w:pPr>
        <w:ind w:firstLine="0"/>
      </w:pPr>
    </w:p>
    <w:p w14:paraId="372B410B" w14:textId="76451C3B" w:rsidR="00F87CD8" w:rsidRDefault="00F87CD8" w:rsidP="006817B7">
      <w:pPr>
        <w:ind w:firstLine="0"/>
      </w:pPr>
      <w:r w:rsidRPr="00F87CD8">
        <w:t xml:space="preserve">The Company will use the proceeds from the </w:t>
      </w:r>
      <w:r w:rsidR="00A05F2B">
        <w:t>First Tranche</w:t>
      </w:r>
      <w:r w:rsidR="00A05F2B" w:rsidRPr="00F87CD8">
        <w:t xml:space="preserve"> </w:t>
      </w:r>
      <w:r w:rsidRPr="00F87CD8">
        <w:t>for the ongoing development of the Company's business model and for general working capital purposes.</w:t>
      </w:r>
    </w:p>
    <w:p w14:paraId="54F91284" w14:textId="77777777" w:rsidR="00F87CD8" w:rsidRDefault="00F87CD8" w:rsidP="006817B7">
      <w:pPr>
        <w:ind w:firstLine="0"/>
      </w:pPr>
    </w:p>
    <w:p w14:paraId="10E163A1" w14:textId="45389161" w:rsidR="006A64AB" w:rsidRDefault="006A64AB" w:rsidP="006817B7">
      <w:pPr>
        <w:ind w:firstLine="0"/>
      </w:pPr>
      <w:r w:rsidRPr="006A64AB">
        <w:t xml:space="preserve">All securities issued in </w:t>
      </w:r>
      <w:r w:rsidRPr="00F87CD8">
        <w:t xml:space="preserve">the </w:t>
      </w:r>
      <w:r>
        <w:t>First Tranche</w:t>
      </w:r>
      <w:r w:rsidRPr="00F87CD8">
        <w:t xml:space="preserve"> </w:t>
      </w:r>
      <w:r>
        <w:t xml:space="preserve">are </w:t>
      </w:r>
      <w:r w:rsidRPr="006A64AB">
        <w:t xml:space="preserve">subject to a statutory hold period of four months and one day from the date of issuance. </w:t>
      </w:r>
    </w:p>
    <w:p w14:paraId="735F727C" w14:textId="77777777" w:rsidR="006A64AB" w:rsidRDefault="006A64AB" w:rsidP="006817B7">
      <w:pPr>
        <w:ind w:firstLine="0"/>
      </w:pPr>
    </w:p>
    <w:p w14:paraId="70AE24AE" w14:textId="6666FF4B" w:rsidR="00055B26" w:rsidRDefault="00055B26" w:rsidP="006817B7">
      <w:pPr>
        <w:ind w:firstLine="0"/>
      </w:pPr>
      <w:r w:rsidRPr="00055B26">
        <w:t xml:space="preserve">The Company’s obligations under the Debentures </w:t>
      </w:r>
      <w:r w:rsidR="006A64AB" w:rsidRPr="00A05F2B">
        <w:t xml:space="preserve">(as defined in the </w:t>
      </w:r>
      <w:r w:rsidR="006A64AB">
        <w:t>December 5 NR</w:t>
      </w:r>
      <w:r w:rsidR="006A64AB" w:rsidRPr="006817B7">
        <w:t>)</w:t>
      </w:r>
      <w:r w:rsidR="006A64AB">
        <w:t xml:space="preserve"> </w:t>
      </w:r>
      <w:r w:rsidRPr="00055B26">
        <w:t xml:space="preserve">are </w:t>
      </w:r>
      <w:r w:rsidR="006A64AB">
        <w:t xml:space="preserve">no longer </w:t>
      </w:r>
      <w:r w:rsidRPr="00055B26">
        <w:t>collaterally secured by general security from the Company.</w:t>
      </w:r>
    </w:p>
    <w:p w14:paraId="2B325676" w14:textId="77777777" w:rsidR="00055B26" w:rsidRDefault="00055B26" w:rsidP="006817B7">
      <w:pPr>
        <w:ind w:firstLine="0"/>
      </w:pPr>
    </w:p>
    <w:p w14:paraId="27A123C3" w14:textId="77777777" w:rsidR="006817B7" w:rsidRDefault="006817B7" w:rsidP="006817B7">
      <w:pPr>
        <w:ind w:firstLine="0"/>
      </w:pPr>
      <w:r w:rsidRPr="006817B7">
        <w:t>All amounts in this press release are expressed in Canadian dollars.</w:t>
      </w:r>
    </w:p>
    <w:p w14:paraId="692E1DBC" w14:textId="77777777" w:rsidR="006817B7" w:rsidRPr="006817B7" w:rsidRDefault="006817B7" w:rsidP="006817B7">
      <w:pPr>
        <w:ind w:firstLine="0"/>
      </w:pPr>
    </w:p>
    <w:p w14:paraId="6BE5A616" w14:textId="77777777" w:rsidR="006817B7" w:rsidRDefault="006817B7" w:rsidP="006817B7">
      <w:pPr>
        <w:ind w:firstLine="0"/>
        <w:rPr>
          <w:i/>
          <w:iCs/>
        </w:rPr>
      </w:pPr>
      <w:r w:rsidRPr="006817B7">
        <w:rPr>
          <w:i/>
          <w:iCs/>
        </w:rPr>
        <w:t>The securities being offered have not been, nor will they be, registered under the United States Securities Act of 1933, as amended, and may not be offered or sold in the United States or to, or for the account or benefit of, U.S. persons absent registration or an applicable exemption from the registration requirements. This press release shall not constitute an offer to sell or the solicitation of an offer to buy nor shall there be any sale of the securities in any State in which such offer, solicitation or sale would be unlawful.</w:t>
      </w:r>
    </w:p>
    <w:p w14:paraId="09DB2E01" w14:textId="77777777" w:rsidR="00F87CD8" w:rsidRDefault="00F87CD8" w:rsidP="006817B7">
      <w:pPr>
        <w:ind w:firstLine="0"/>
        <w:rPr>
          <w:i/>
          <w:iCs/>
        </w:rPr>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3141082C"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2">
        <w:r w:rsidR="004C6285">
          <w:rPr>
            <w:rStyle w:val="Hyperlink"/>
            <w:bCs/>
          </w:rPr>
          <w:t>www.unbuzzd.com</w:t>
        </w:r>
      </w:hyperlink>
      <w:r w:rsidRPr="00F420DA">
        <w:rPr>
          <w:bCs/>
        </w:rPr>
        <w:t xml:space="preserve">. The agreement with Celly Nutrition also </w:t>
      </w:r>
      <w:r w:rsidRPr="00F420DA">
        <w:rPr>
          <w:bCs/>
        </w:rPr>
        <w:lastRenderedPageBreak/>
        <w:t>includes royalty payments of 7% of sales from unbuzzd ™ until payments to Quantum BioPharma total $250 million. Once $250 million is reached, the royalty drops to 3% in perpetuity. Additionally, Quantum BioPharma retains a large tax loss carry forward of approximately C$130 million and could be utilized in the future to offset tax payable obligations against future profits. Quantum BioPharma retains 100% of the rights to develop similar product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7D7D72EC"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2AED7186" w14:textId="433B31F2" w:rsidR="0043378E" w:rsidRDefault="0043378E" w:rsidP="0043378E">
      <w:pPr>
        <w:ind w:firstLine="0"/>
        <w:rPr>
          <w:i/>
          <w:iCs/>
          <w:lang w:val="en-CA"/>
        </w:rPr>
      </w:pPr>
      <w:r w:rsidRPr="0043378E">
        <w:rPr>
          <w:i/>
          <w:iCs/>
          <w:lang w:val="en-CA"/>
        </w:rPr>
        <w:t xml:space="preserve">Certain information in this news release constitutes forward-looking statements under applicable securities laws. Any statements that are contained in this news release that are not statements of historical fact may be deemed to be forward-looking statements. Forward-looking statements are often identified by terms such as "may", "should", "anticipate", "expect", "potential", "believe", "intend" or the negative of these terms and similar expressions. Forward-looking statements in this news release include statements relating to: the stated terms, use of proceeds, and timeline of the Offering; </w:t>
      </w:r>
      <w:r>
        <w:rPr>
          <w:i/>
          <w:iCs/>
          <w:lang w:val="en-CA"/>
        </w:rPr>
        <w:t xml:space="preserve">and </w:t>
      </w:r>
      <w:r w:rsidRPr="0043378E">
        <w:rPr>
          <w:i/>
          <w:iCs/>
          <w:lang w:val="en-CA"/>
        </w:rPr>
        <w:t>the Company's issuance of the Debentures, Warrants (and the underlying Warrant Shares if exercised), and potential issuance of Shares (if the Debentures are converted).</w:t>
      </w:r>
    </w:p>
    <w:p w14:paraId="317A6FCB" w14:textId="77777777" w:rsidR="0043378E" w:rsidRPr="0043378E" w:rsidRDefault="0043378E" w:rsidP="0043378E">
      <w:pPr>
        <w:ind w:firstLine="0"/>
        <w:rPr>
          <w:i/>
          <w:iCs/>
          <w:lang w:val="en-CA"/>
        </w:rPr>
      </w:pPr>
    </w:p>
    <w:p w14:paraId="7228F23A" w14:textId="78EFF3A8" w:rsidR="0043378E" w:rsidRPr="0043378E" w:rsidRDefault="0043378E" w:rsidP="0043378E">
      <w:pPr>
        <w:ind w:firstLine="0"/>
        <w:rPr>
          <w:i/>
          <w:iCs/>
          <w:lang w:val="en-CA"/>
        </w:rPr>
      </w:pPr>
      <w:r w:rsidRPr="0043378E">
        <w:rPr>
          <w:i/>
          <w:iCs/>
          <w:lang w:val="en-CA"/>
        </w:rPr>
        <w:t xml:space="preserve">Forward-looking information in this press release are based on certain assumptions and expected future events, including but not limited to: the Company has the ability to carry out the Offering as stated; </w:t>
      </w:r>
      <w:r>
        <w:rPr>
          <w:i/>
          <w:iCs/>
          <w:lang w:val="en-CA"/>
        </w:rPr>
        <w:t xml:space="preserve">and </w:t>
      </w:r>
      <w:r w:rsidRPr="0043378E">
        <w:rPr>
          <w:i/>
          <w:iCs/>
          <w:lang w:val="en-CA"/>
        </w:rPr>
        <w:t>the Company has the ability to issue the Debentures, Warrants (and the underlying Warrant Shares if exercised), and Shares (if the Debentures are converted).</w:t>
      </w:r>
    </w:p>
    <w:p w14:paraId="08528BDC" w14:textId="77777777" w:rsidR="0043378E" w:rsidRDefault="0043378E" w:rsidP="0043378E">
      <w:pPr>
        <w:ind w:firstLine="0"/>
        <w:rPr>
          <w:i/>
          <w:iCs/>
          <w:lang w:val="en-CA"/>
        </w:rPr>
      </w:pPr>
    </w:p>
    <w:p w14:paraId="7397988B" w14:textId="09B39445" w:rsidR="0043378E" w:rsidRDefault="0043378E" w:rsidP="0043378E">
      <w:pPr>
        <w:ind w:firstLine="0"/>
        <w:rPr>
          <w:i/>
          <w:iCs/>
          <w:lang w:val="en-CA"/>
        </w:rPr>
      </w:pPr>
      <w:r w:rsidRPr="0043378E">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the Company's inability to carry out the Offering as stated; </w:t>
      </w:r>
      <w:r>
        <w:rPr>
          <w:i/>
          <w:iCs/>
          <w:lang w:val="en-CA"/>
        </w:rPr>
        <w:t xml:space="preserve">and </w:t>
      </w:r>
      <w:r w:rsidRPr="0043378E">
        <w:rPr>
          <w:i/>
          <w:iCs/>
          <w:lang w:val="en-CA"/>
        </w:rPr>
        <w:t xml:space="preserve">the Company's inability to issue the Debentures, Warrants (and the underlying Warrant Shares if exercised), and Shares (if the Debentures are converted), as well </w:t>
      </w:r>
      <w:r w:rsidR="00055B26">
        <w:rPr>
          <w:i/>
          <w:iCs/>
          <w:lang w:val="en-CA"/>
        </w:rPr>
        <w:t>t</w:t>
      </w:r>
      <w:r w:rsidRPr="00E22F5C">
        <w:rPr>
          <w:i/>
          <w:iCs/>
          <w:lang w:val="en-CA"/>
        </w:rPr>
        <w:t xml:space="preserve">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3" w:history="1">
        <w:r w:rsidRPr="00E22F5C">
          <w:rPr>
            <w:rStyle w:val="Hyperlink"/>
            <w:i/>
            <w:iCs/>
            <w:lang w:val="en-CA"/>
          </w:rPr>
          <w:t>www.sec.gov</w:t>
        </w:r>
      </w:hyperlink>
      <w:r w:rsidRPr="00E22F5C">
        <w:rPr>
          <w:i/>
          <w:iCs/>
          <w:lang w:val="en-CA"/>
        </w:rPr>
        <w:t xml:space="preserve"> for a more complete discussion of such risk factors and their potential effects</w:t>
      </w:r>
      <w:r w:rsidR="00055B26">
        <w:rPr>
          <w:i/>
          <w:iCs/>
          <w:lang w:val="en-CA"/>
        </w:rPr>
        <w:t>.</w:t>
      </w:r>
    </w:p>
    <w:p w14:paraId="3F38F903" w14:textId="77777777" w:rsidR="0043378E" w:rsidRPr="0043378E" w:rsidRDefault="0043378E" w:rsidP="0043378E">
      <w:pPr>
        <w:ind w:firstLine="0"/>
        <w:rPr>
          <w:i/>
          <w:iCs/>
          <w:lang w:val="en-CA"/>
        </w:rPr>
      </w:pPr>
    </w:p>
    <w:p w14:paraId="10D2EF03" w14:textId="77777777" w:rsidR="0043378E" w:rsidRDefault="0043378E" w:rsidP="0043378E">
      <w:pPr>
        <w:ind w:firstLine="0"/>
        <w:rPr>
          <w:i/>
          <w:iCs/>
          <w:lang w:val="en-CA"/>
        </w:rPr>
      </w:pPr>
      <w:r w:rsidRPr="0043378E">
        <w:rPr>
          <w:i/>
          <w:iCs/>
          <w:lang w:val="en-CA"/>
        </w:rPr>
        <w:t>Readers are cautioned that the foregoing list is not exhaustive. Readers are further cautioned not to place undue reliance on forward-looking statements, as there can be no assurance that the plans, intentions or expectations upon which they are placed will occur. Such information, although considered reasonable by management at the time of preparation, may prove to be incorrect and actual results may differ materially from those anticipated.</w:t>
      </w:r>
    </w:p>
    <w:p w14:paraId="7A795099" w14:textId="77777777" w:rsidR="00055B26" w:rsidRPr="0043378E" w:rsidRDefault="00055B26" w:rsidP="0043378E">
      <w:pPr>
        <w:ind w:firstLine="0"/>
        <w:rPr>
          <w:i/>
          <w:iCs/>
          <w:lang w:val="en-CA"/>
        </w:rPr>
      </w:pPr>
    </w:p>
    <w:p w14:paraId="0727F3CD" w14:textId="77777777" w:rsidR="0043378E" w:rsidRPr="0043378E" w:rsidRDefault="0043378E" w:rsidP="0043378E">
      <w:pPr>
        <w:ind w:firstLine="0"/>
        <w:rPr>
          <w:i/>
          <w:iCs/>
          <w:lang w:val="en-CA"/>
        </w:rPr>
      </w:pPr>
      <w:r w:rsidRPr="0043378E">
        <w:rPr>
          <w:i/>
          <w:iCs/>
          <w:lang w:val="en-CA"/>
        </w:rPr>
        <w:t xml:space="preserve">Forward-looking statements contained in this press release are expressly qualified by this cautionary statement and reflect the Company's expectations as of the date hereof and are subject to change thereafter. The Company undertakes no obligation to update or revise any forward-looking statements, whether as a result of new information, estimates or opinions, future events or </w:t>
      </w:r>
      <w:r w:rsidRPr="0043378E">
        <w:rPr>
          <w:i/>
          <w:iCs/>
          <w:lang w:val="en-CA"/>
        </w:rPr>
        <w:lastRenderedPageBreak/>
        <w:t>results or otherwise or to explain any material difference between subsequent actual events and such forward- looking information, except as required by applicable law.</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4"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5" w:history="1">
        <w:r w:rsidR="00156EBD" w:rsidRPr="001A4655">
          <w:rPr>
            <w:rStyle w:val="Hyperlink"/>
          </w:rPr>
          <w:t>ir@quantumbiopharma.com</w:t>
        </w:r>
      </w:hyperlink>
      <w:r w:rsidRPr="00CC5E6A">
        <w:t xml:space="preserve">, </w:t>
      </w:r>
      <w:hyperlink r:id="rId16"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7" w:history="1">
        <w:r w:rsidR="003C2FA8" w:rsidRPr="001A4655">
          <w:rPr>
            <w:rStyle w:val="Hyperlink"/>
          </w:rPr>
          <w:t>www.quantumbiopharma.com</w:t>
        </w:r>
      </w:hyperlink>
      <w:r w:rsidR="002B032C">
        <w:t xml:space="preserve"> </w:t>
      </w:r>
    </w:p>
    <w:sectPr w:rsidR="00F21191">
      <w:footerReference w:type="even"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AF4A29" w14:textId="77777777" w:rsidR="004E1EAA" w:rsidRDefault="004E1EAA">
      <w:r>
        <w:separator/>
      </w:r>
    </w:p>
  </w:endnote>
  <w:endnote w:type="continuationSeparator" w:id="0">
    <w:p w14:paraId="72648BA8" w14:textId="77777777" w:rsidR="004E1EAA" w:rsidRDefault="004E1EAA">
      <w:r>
        <w:continuationSeparator/>
      </w:r>
    </w:p>
  </w:endnote>
  <w:endnote w:type="continuationNotice" w:id="1">
    <w:p w14:paraId="712CCD39" w14:textId="77777777" w:rsidR="006824CE" w:rsidRDefault="006824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2B4DBD" w14:textId="77777777" w:rsidR="004E1EAA" w:rsidRDefault="004E1EAA">
      <w:r>
        <w:separator/>
      </w:r>
    </w:p>
  </w:footnote>
  <w:footnote w:type="continuationSeparator" w:id="0">
    <w:p w14:paraId="15D95EC2" w14:textId="77777777" w:rsidR="004E1EAA" w:rsidRDefault="004E1EAA">
      <w:r>
        <w:continuationSeparator/>
      </w:r>
    </w:p>
  </w:footnote>
  <w:footnote w:type="continuationNotice" w:id="1">
    <w:p w14:paraId="2D1FCA16" w14:textId="77777777" w:rsidR="006824CE" w:rsidRDefault="006824C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4557"/>
    <w:rsid w:val="00016D9E"/>
    <w:rsid w:val="000178B2"/>
    <w:rsid w:val="0002180C"/>
    <w:rsid w:val="0002279A"/>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4CB"/>
    <w:rsid w:val="001268EB"/>
    <w:rsid w:val="00127F3F"/>
    <w:rsid w:val="00130B0D"/>
    <w:rsid w:val="00130DDF"/>
    <w:rsid w:val="001315D0"/>
    <w:rsid w:val="0013243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5A52"/>
    <w:rsid w:val="00206039"/>
    <w:rsid w:val="00207360"/>
    <w:rsid w:val="002106D9"/>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2165"/>
    <w:rsid w:val="002924FC"/>
    <w:rsid w:val="00293E24"/>
    <w:rsid w:val="00293E54"/>
    <w:rsid w:val="0029656B"/>
    <w:rsid w:val="002A05FE"/>
    <w:rsid w:val="002A1552"/>
    <w:rsid w:val="002A1F03"/>
    <w:rsid w:val="002A3A5F"/>
    <w:rsid w:val="002A3BC0"/>
    <w:rsid w:val="002A48F7"/>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3D83"/>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3A33"/>
    <w:rsid w:val="00563E5F"/>
    <w:rsid w:val="00564040"/>
    <w:rsid w:val="0056417E"/>
    <w:rsid w:val="00565366"/>
    <w:rsid w:val="0056672C"/>
    <w:rsid w:val="00566F5C"/>
    <w:rsid w:val="00576234"/>
    <w:rsid w:val="005804E9"/>
    <w:rsid w:val="0058235F"/>
    <w:rsid w:val="00584AA4"/>
    <w:rsid w:val="00585E27"/>
    <w:rsid w:val="00586699"/>
    <w:rsid w:val="00586CDF"/>
    <w:rsid w:val="00587881"/>
    <w:rsid w:val="005907BC"/>
    <w:rsid w:val="005918E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A64AB"/>
    <w:rsid w:val="006B0911"/>
    <w:rsid w:val="006B0E78"/>
    <w:rsid w:val="006B1C08"/>
    <w:rsid w:val="006B3238"/>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73A7"/>
    <w:rsid w:val="008214A8"/>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44F"/>
    <w:rsid w:val="008D6DD7"/>
    <w:rsid w:val="008D79C6"/>
    <w:rsid w:val="008E0121"/>
    <w:rsid w:val="008E0FC6"/>
    <w:rsid w:val="008E2F7E"/>
    <w:rsid w:val="008E4490"/>
    <w:rsid w:val="008E489E"/>
    <w:rsid w:val="008F0175"/>
    <w:rsid w:val="008F0533"/>
    <w:rsid w:val="008F1935"/>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817B2"/>
    <w:rsid w:val="00984A17"/>
    <w:rsid w:val="00987752"/>
    <w:rsid w:val="00990010"/>
    <w:rsid w:val="00990957"/>
    <w:rsid w:val="00992F1E"/>
    <w:rsid w:val="009937C0"/>
    <w:rsid w:val="009967C8"/>
    <w:rsid w:val="00996970"/>
    <w:rsid w:val="009970E5"/>
    <w:rsid w:val="0099764A"/>
    <w:rsid w:val="00997A28"/>
    <w:rsid w:val="009A07A2"/>
    <w:rsid w:val="009A108C"/>
    <w:rsid w:val="009A1601"/>
    <w:rsid w:val="009A30B6"/>
    <w:rsid w:val="009A424F"/>
    <w:rsid w:val="009A4331"/>
    <w:rsid w:val="009A5254"/>
    <w:rsid w:val="009A5316"/>
    <w:rsid w:val="009A68DC"/>
    <w:rsid w:val="009A7460"/>
    <w:rsid w:val="009A7CB1"/>
    <w:rsid w:val="009B1DFC"/>
    <w:rsid w:val="009B2553"/>
    <w:rsid w:val="009B5A4D"/>
    <w:rsid w:val="009B60EC"/>
    <w:rsid w:val="009C1A14"/>
    <w:rsid w:val="009C1FF9"/>
    <w:rsid w:val="009C2480"/>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48A8"/>
    <w:rsid w:val="009E500B"/>
    <w:rsid w:val="009E64A6"/>
    <w:rsid w:val="009F0528"/>
    <w:rsid w:val="009F0863"/>
    <w:rsid w:val="009F1149"/>
    <w:rsid w:val="009F2475"/>
    <w:rsid w:val="009F709F"/>
    <w:rsid w:val="00A0305B"/>
    <w:rsid w:val="00A03392"/>
    <w:rsid w:val="00A035C0"/>
    <w:rsid w:val="00A049D9"/>
    <w:rsid w:val="00A05F2B"/>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6AF"/>
    <w:rsid w:val="00B818FA"/>
    <w:rsid w:val="00B824DA"/>
    <w:rsid w:val="00B8326D"/>
    <w:rsid w:val="00B85BB2"/>
    <w:rsid w:val="00B86393"/>
    <w:rsid w:val="00B87605"/>
    <w:rsid w:val="00B922B7"/>
    <w:rsid w:val="00B97FAC"/>
    <w:rsid w:val="00BA0E4D"/>
    <w:rsid w:val="00BA22E3"/>
    <w:rsid w:val="00BA2C2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C0A"/>
    <w:rsid w:val="00BE2A02"/>
    <w:rsid w:val="00BE2EF7"/>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70C"/>
    <w:rsid w:val="00CA7C60"/>
    <w:rsid w:val="00CB0287"/>
    <w:rsid w:val="00CB0D8D"/>
    <w:rsid w:val="00CB366F"/>
    <w:rsid w:val="00CB74D6"/>
    <w:rsid w:val="00CB767A"/>
    <w:rsid w:val="00CC112D"/>
    <w:rsid w:val="00CC2F3D"/>
    <w:rsid w:val="00CC2FD2"/>
    <w:rsid w:val="00CC5E6A"/>
    <w:rsid w:val="00CC6B62"/>
    <w:rsid w:val="00CC7614"/>
    <w:rsid w:val="00CD2C1C"/>
    <w:rsid w:val="00CD4A31"/>
    <w:rsid w:val="00CD74F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33B1"/>
    <w:rsid w:val="00E04EE3"/>
    <w:rsid w:val="00E108D0"/>
    <w:rsid w:val="00E1178E"/>
    <w:rsid w:val="00E14A5B"/>
    <w:rsid w:val="00E14C89"/>
    <w:rsid w:val="00E1758C"/>
    <w:rsid w:val="00E212A3"/>
    <w:rsid w:val="00E22F5C"/>
    <w:rsid w:val="00E233AC"/>
    <w:rsid w:val="00E25163"/>
    <w:rsid w:val="00E27E74"/>
    <w:rsid w:val="00E27F2F"/>
    <w:rsid w:val="00E317A5"/>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81994"/>
    <w:rsid w:val="00F82FA5"/>
    <w:rsid w:val="00F85542"/>
    <w:rsid w:val="00F85A4B"/>
    <w:rsid w:val="00F85EBD"/>
    <w:rsid w:val="00F8627D"/>
    <w:rsid w:val="00F86761"/>
    <w:rsid w:val="00F87CD8"/>
    <w:rsid w:val="00F93814"/>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report/fv2" TargetMode="External"/><Relationship Id="rId17" Type="http://schemas.openxmlformats.org/officeDocument/2006/relationships/hyperlink" Target="http://www.quantumbiopharma.com" TargetMode="External"/><Relationship Id="rId2" Type="http://schemas.openxmlformats.org/officeDocument/2006/relationships/customXml" Target="../customXml/item2.xml"/><Relationship Id="rId16" Type="http://schemas.openxmlformats.org/officeDocument/2006/relationships/hyperlink" Target="mailto:info@quantumbiopharm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quantumbiopharma.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aeed@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2.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4.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1029</Words>
  <Characters>5868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6884</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Shimmy Posen</cp:lastModifiedBy>
  <cp:revision>3</cp:revision>
  <cp:lastPrinted>1900-01-01T05:00:00Z</cp:lastPrinted>
  <dcterms:created xsi:type="dcterms:W3CDTF">2024-12-13T17:51:00Z</dcterms:created>
  <dcterms:modified xsi:type="dcterms:W3CDTF">2024-12-13T17:57:00Z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