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C0AEADF" w14:textId="7F2188F8" w:rsidR="00A77B3E" w:rsidRDefault="00D843D3">
      <w:pPr>
        <w:keepNext/>
        <w:spacing w:line="334" w:lineRule="auto"/>
        <w:jc w:val="center"/>
        <w:rPr>
          <w:color w:val="000000"/>
          <w:sz w:val="20"/>
        </w:rPr>
      </w:pPr>
      <w:bookmarkStart w:id="0" w:name="Section1"/>
      <w:bookmarkEnd w:id="0"/>
      <w:r>
        <w:rPr>
          <w:noProof/>
        </w:rPr>
        <w:drawing>
          <wp:inline distT="0" distB="0" distL="0" distR="0" wp14:anchorId="0B5B5321" wp14:editId="3669424E">
            <wp:extent cx="2520315" cy="54864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520315" cy="548640"/>
                    </a:xfrm>
                    <a:prstGeom prst="rect">
                      <a:avLst/>
                    </a:prstGeom>
                    <a:noFill/>
                    <a:ln>
                      <a:noFill/>
                    </a:ln>
                  </pic:spPr>
                </pic:pic>
              </a:graphicData>
            </a:graphic>
          </wp:inline>
        </w:drawing>
      </w:r>
    </w:p>
    <w:p w14:paraId="69E11EC3" w14:textId="77777777" w:rsidR="00A77B3E" w:rsidRDefault="00A77B3E">
      <w:pPr>
        <w:keepNext/>
        <w:spacing w:line="312" w:lineRule="auto"/>
        <w:rPr>
          <w:color w:val="000000"/>
          <w:sz w:val="20"/>
        </w:rPr>
      </w:pPr>
    </w:p>
    <w:p w14:paraId="7282D488" w14:textId="0CE2EB87" w:rsidR="00A77B3E" w:rsidRDefault="00804304" w:rsidP="008C356B">
      <w:pPr>
        <w:spacing w:line="317" w:lineRule="auto"/>
        <w:jc w:val="center"/>
        <w:outlineLvl w:val="0"/>
        <w:rPr>
          <w:rFonts w:ascii="Calibri" w:eastAsia="Calibri" w:hAnsi="Calibri" w:cs="Calibri"/>
          <w:b/>
          <w:color w:val="212529"/>
          <w:sz w:val="32"/>
          <w:shd w:val="clear" w:color="auto" w:fill="FFFFFF"/>
        </w:rPr>
      </w:pPr>
      <w:r>
        <w:rPr>
          <w:color w:val="000000"/>
        </w:rPr>
        <w:br/>
      </w:r>
      <w:r>
        <w:rPr>
          <w:rFonts w:ascii="Calibri" w:eastAsia="Calibri" w:hAnsi="Calibri" w:cs="Calibri"/>
          <w:b/>
          <w:color w:val="212529"/>
          <w:sz w:val="32"/>
          <w:shd w:val="clear" w:color="auto" w:fill="FFFFFF"/>
        </w:rPr>
        <w:t>urban-gro, Inc.</w:t>
      </w:r>
      <w:r>
        <w:rPr>
          <w:rFonts w:ascii="Calibri" w:eastAsia="Calibri" w:hAnsi="Calibri" w:cs="Calibri"/>
          <w:b/>
          <w:color w:val="212529"/>
        </w:rPr>
        <w:t xml:space="preserve">  </w:t>
      </w:r>
      <w:r w:rsidR="00B054E0">
        <w:rPr>
          <w:rFonts w:ascii="Calibri" w:eastAsia="Calibri" w:hAnsi="Calibri" w:cs="Calibri"/>
          <w:b/>
          <w:color w:val="212529"/>
          <w:sz w:val="32"/>
          <w:shd w:val="clear" w:color="auto" w:fill="FFFFFF"/>
        </w:rPr>
        <w:t>Granted Extension by Nasdaq to Regain Compliance</w:t>
      </w:r>
    </w:p>
    <w:p w14:paraId="20205188" w14:textId="77777777" w:rsidR="00A77B3E" w:rsidRDefault="00A77B3E">
      <w:pPr>
        <w:spacing w:line="276" w:lineRule="auto"/>
        <w:rPr>
          <w:rFonts w:ascii="Arial" w:eastAsia="Arial" w:hAnsi="Arial" w:cs="Arial"/>
          <w:color w:val="000000"/>
        </w:rPr>
      </w:pPr>
    </w:p>
    <w:p w14:paraId="05E99017" w14:textId="2A6097CF" w:rsidR="002B0D6E" w:rsidRDefault="00804304">
      <w:pPr>
        <w:spacing w:line="298" w:lineRule="auto"/>
        <w:jc w:val="both"/>
        <w:rPr>
          <w:rFonts w:ascii="Calibri" w:eastAsia="Calibri" w:hAnsi="Calibri" w:cs="Calibri"/>
          <w:sz w:val="20"/>
        </w:rPr>
      </w:pPr>
      <w:r>
        <w:rPr>
          <w:rFonts w:ascii="Calibri" w:eastAsia="Calibri" w:hAnsi="Calibri" w:cs="Calibri"/>
          <w:b/>
          <w:sz w:val="20"/>
        </w:rPr>
        <w:t xml:space="preserve">LAFAYETTE, Colo., </w:t>
      </w:r>
      <w:r w:rsidR="002B0D6E">
        <w:rPr>
          <w:rFonts w:ascii="Calibri" w:eastAsia="Calibri" w:hAnsi="Calibri" w:cs="Calibri"/>
          <w:b/>
          <w:sz w:val="20"/>
        </w:rPr>
        <w:t>January</w:t>
      </w:r>
      <w:r w:rsidR="00FA64F6">
        <w:rPr>
          <w:rFonts w:ascii="Calibri" w:eastAsia="Calibri" w:hAnsi="Calibri" w:cs="Calibri"/>
          <w:b/>
          <w:sz w:val="20"/>
        </w:rPr>
        <w:t xml:space="preserve"> 29</w:t>
      </w:r>
      <w:r>
        <w:rPr>
          <w:rFonts w:ascii="Calibri" w:eastAsia="Calibri" w:hAnsi="Calibri" w:cs="Calibri"/>
          <w:b/>
          <w:sz w:val="20"/>
        </w:rPr>
        <w:t>, 202</w:t>
      </w:r>
      <w:r w:rsidR="002B0D6E">
        <w:rPr>
          <w:rFonts w:ascii="Calibri" w:eastAsia="Calibri" w:hAnsi="Calibri" w:cs="Calibri"/>
          <w:b/>
          <w:sz w:val="20"/>
        </w:rPr>
        <w:t>5</w:t>
      </w:r>
      <w:r>
        <w:rPr>
          <w:rFonts w:ascii="Calibri" w:eastAsia="Calibri" w:hAnsi="Calibri" w:cs="Calibri"/>
          <w:sz w:val="20"/>
        </w:rPr>
        <w:t xml:space="preserve"> – urban-gro, Inc. (NASDAQ: UGRO) ("urban-gro" or the "Company"), an integrated professional services and Design-Build firm offering solutions to the Controlled Environment Agriculture (“CEA”) and other commercial sectors, today announced </w:t>
      </w:r>
      <w:r w:rsidR="002B0D6E" w:rsidRPr="002B0D6E">
        <w:rPr>
          <w:rFonts w:ascii="Calibri" w:eastAsia="Calibri" w:hAnsi="Calibri" w:cs="Calibri"/>
          <w:sz w:val="20"/>
        </w:rPr>
        <w:t xml:space="preserve">that it has received an exception from the Listing Qualifications Staff of The Nasdaq Stock Market LLC (“Nasdaq”) to regain compliance with Nasdaq Listing Rule 5250(c)(1) (the “Listing Rule”). This exception extends </w:t>
      </w:r>
      <w:r w:rsidR="00200B60">
        <w:rPr>
          <w:rFonts w:ascii="Calibri" w:eastAsia="Calibri" w:hAnsi="Calibri" w:cs="Calibri"/>
          <w:sz w:val="20"/>
        </w:rPr>
        <w:t xml:space="preserve">to February 18, 2025 </w:t>
      </w:r>
      <w:r w:rsidR="002B0D6E" w:rsidRPr="002B0D6E">
        <w:rPr>
          <w:rFonts w:ascii="Calibri" w:eastAsia="Calibri" w:hAnsi="Calibri" w:cs="Calibri"/>
          <w:sz w:val="20"/>
        </w:rPr>
        <w:t xml:space="preserve">the deadline for the Company to file its Quarterly Report on Form 10-Q for the </w:t>
      </w:r>
      <w:r w:rsidR="002B0D6E">
        <w:rPr>
          <w:rFonts w:ascii="Calibri" w:eastAsia="Calibri" w:hAnsi="Calibri" w:cs="Calibri"/>
          <w:sz w:val="20"/>
        </w:rPr>
        <w:t xml:space="preserve">fiscal </w:t>
      </w:r>
      <w:r w:rsidR="00FE26FE">
        <w:rPr>
          <w:rFonts w:ascii="Calibri" w:eastAsia="Calibri" w:hAnsi="Calibri" w:cs="Calibri"/>
          <w:sz w:val="20"/>
        </w:rPr>
        <w:t>quarter</w:t>
      </w:r>
      <w:r w:rsidR="00200B60">
        <w:rPr>
          <w:rFonts w:ascii="Calibri" w:eastAsia="Calibri" w:hAnsi="Calibri" w:cs="Calibri"/>
          <w:sz w:val="20"/>
        </w:rPr>
        <w:t>s</w:t>
      </w:r>
      <w:r w:rsidR="002B0D6E" w:rsidRPr="002B0D6E">
        <w:rPr>
          <w:rFonts w:ascii="Calibri" w:eastAsia="Calibri" w:hAnsi="Calibri" w:cs="Calibri"/>
          <w:sz w:val="20"/>
        </w:rPr>
        <w:t xml:space="preserve"> ended </w:t>
      </w:r>
      <w:r w:rsidR="00200B60">
        <w:rPr>
          <w:rFonts w:ascii="Calibri" w:eastAsia="Calibri" w:hAnsi="Calibri" w:cs="Calibri"/>
          <w:sz w:val="20"/>
        </w:rPr>
        <w:t xml:space="preserve">June 30, 2024 and </w:t>
      </w:r>
      <w:r w:rsidR="002B0D6E">
        <w:rPr>
          <w:rFonts w:ascii="Calibri" w:eastAsia="Calibri" w:hAnsi="Calibri" w:cs="Calibri"/>
          <w:sz w:val="20"/>
        </w:rPr>
        <w:t>September</w:t>
      </w:r>
      <w:r w:rsidR="002B0D6E" w:rsidRPr="002B0D6E">
        <w:rPr>
          <w:rFonts w:ascii="Calibri" w:eastAsia="Calibri" w:hAnsi="Calibri" w:cs="Calibri"/>
          <w:sz w:val="20"/>
        </w:rPr>
        <w:t xml:space="preserve"> 30, 2024 </w:t>
      </w:r>
      <w:r w:rsidR="00200B60">
        <w:rPr>
          <w:rFonts w:ascii="Calibri" w:eastAsia="Calibri" w:hAnsi="Calibri" w:cs="Calibri"/>
          <w:sz w:val="20"/>
        </w:rPr>
        <w:t xml:space="preserve">and to file restatements of the Company’s previously issued financial statements </w:t>
      </w:r>
      <w:r w:rsidR="007A1EBE">
        <w:rPr>
          <w:rFonts w:ascii="Calibri" w:eastAsia="Calibri" w:hAnsi="Calibri" w:cs="Calibri"/>
          <w:sz w:val="20"/>
        </w:rPr>
        <w:t>relating to annual and quarterly periods during</w:t>
      </w:r>
      <w:r w:rsidR="00200B60">
        <w:rPr>
          <w:rFonts w:ascii="Calibri" w:eastAsia="Calibri" w:hAnsi="Calibri" w:cs="Calibri"/>
          <w:sz w:val="20"/>
        </w:rPr>
        <w:t xml:space="preserve"> fiscal years ended December 31, 2022 and December 31, 2023 and for the fiscal quarter ended March 31, 2024</w:t>
      </w:r>
      <w:r w:rsidR="002B0D6E" w:rsidRPr="002B0D6E">
        <w:rPr>
          <w:rFonts w:ascii="Calibri" w:eastAsia="Calibri" w:hAnsi="Calibri" w:cs="Calibri"/>
          <w:sz w:val="20"/>
        </w:rPr>
        <w:t>.</w:t>
      </w:r>
    </w:p>
    <w:p w14:paraId="1D3125DB" w14:textId="6D095DDE" w:rsidR="002B0D6E" w:rsidRDefault="002B0D6E">
      <w:pPr>
        <w:spacing w:line="298" w:lineRule="auto"/>
        <w:jc w:val="both"/>
        <w:rPr>
          <w:rFonts w:ascii="Calibri" w:eastAsia="Calibri" w:hAnsi="Calibri" w:cs="Calibri"/>
          <w:sz w:val="20"/>
        </w:rPr>
      </w:pPr>
    </w:p>
    <w:p w14:paraId="076C1D4F" w14:textId="04CEAB2F" w:rsidR="002B0D6E" w:rsidRDefault="00804304">
      <w:pPr>
        <w:spacing w:line="276" w:lineRule="auto"/>
        <w:rPr>
          <w:rFonts w:ascii="Calibri" w:eastAsia="Calibri" w:hAnsi="Calibri" w:cs="Calibri"/>
          <w:sz w:val="20"/>
        </w:rPr>
      </w:pPr>
      <w:r>
        <w:rPr>
          <w:rFonts w:ascii="Calibri" w:eastAsia="Calibri" w:hAnsi="Calibri" w:cs="Calibri"/>
          <w:sz w:val="20"/>
        </w:rPr>
        <w:t xml:space="preserve">As previously </w:t>
      </w:r>
      <w:r w:rsidR="00D843D3">
        <w:rPr>
          <w:rFonts w:ascii="Calibri" w:eastAsia="Calibri" w:hAnsi="Calibri" w:cs="Calibri"/>
          <w:sz w:val="20"/>
        </w:rPr>
        <w:t>disclosed</w:t>
      </w:r>
      <w:r>
        <w:rPr>
          <w:rFonts w:ascii="Calibri" w:eastAsia="Calibri" w:hAnsi="Calibri" w:cs="Calibri"/>
          <w:sz w:val="20"/>
        </w:rPr>
        <w:t>, t</w:t>
      </w:r>
      <w:r w:rsidR="002B0D6E" w:rsidRPr="002B0D6E">
        <w:rPr>
          <w:rFonts w:ascii="Calibri" w:eastAsia="Calibri" w:hAnsi="Calibri" w:cs="Calibri"/>
          <w:sz w:val="20"/>
        </w:rPr>
        <w:t>he delay in filing is primarily attributable to the</w:t>
      </w:r>
      <w:r w:rsidR="00D843D3">
        <w:rPr>
          <w:rFonts w:ascii="Calibri" w:eastAsia="Calibri" w:hAnsi="Calibri" w:cs="Calibri"/>
          <w:sz w:val="20"/>
        </w:rPr>
        <w:t xml:space="preserve"> Company’s change in auditor and their</w:t>
      </w:r>
      <w:r w:rsidR="002B0D6E" w:rsidRPr="002B0D6E">
        <w:rPr>
          <w:rFonts w:ascii="Calibri" w:eastAsia="Calibri" w:hAnsi="Calibri" w:cs="Calibri"/>
          <w:sz w:val="20"/>
        </w:rPr>
        <w:t xml:space="preserve"> ongoing comprehensive audit and review process related to the restatement of historical financial statements. While this process requires additional time to ensure accuracy and completeness of the Company's financial reporting, the extension granted by Nasdaq has no immediate effect on the listing of the Company's common stock on the Nasdaq Capital Market.</w:t>
      </w:r>
      <w:r w:rsidR="00D843D3">
        <w:rPr>
          <w:rFonts w:ascii="Calibri" w:eastAsia="Calibri" w:hAnsi="Calibri" w:cs="Calibri"/>
          <w:sz w:val="20"/>
        </w:rPr>
        <w:t xml:space="preserve">  </w:t>
      </w:r>
    </w:p>
    <w:p w14:paraId="03F880ED" w14:textId="77777777" w:rsidR="002B0D6E" w:rsidRDefault="002B0D6E">
      <w:pPr>
        <w:spacing w:line="276" w:lineRule="auto"/>
        <w:rPr>
          <w:rFonts w:ascii="Arial" w:eastAsia="Arial" w:hAnsi="Arial" w:cs="Arial"/>
          <w:color w:val="000000"/>
        </w:rPr>
      </w:pPr>
    </w:p>
    <w:p w14:paraId="773B683C" w14:textId="77777777" w:rsidR="00A77B3E" w:rsidRDefault="00804304">
      <w:pPr>
        <w:spacing w:line="312" w:lineRule="auto"/>
        <w:jc w:val="both"/>
        <w:rPr>
          <w:color w:val="000000"/>
        </w:rPr>
      </w:pPr>
      <w:r>
        <w:rPr>
          <w:rFonts w:ascii="Calibri" w:eastAsia="Calibri" w:hAnsi="Calibri" w:cs="Calibri"/>
          <w:b/>
          <w:sz w:val="20"/>
        </w:rPr>
        <w:t>About urban-gro, Inc.</w:t>
      </w:r>
    </w:p>
    <w:p w14:paraId="3D1AAABA" w14:textId="77777777" w:rsidR="00A77B3E" w:rsidRPr="00FE26FE" w:rsidRDefault="00804304" w:rsidP="00FE26FE">
      <w:pPr>
        <w:spacing w:line="276" w:lineRule="auto"/>
        <w:rPr>
          <w:rFonts w:ascii="Calibri" w:eastAsia="Calibri" w:hAnsi="Calibri" w:cs="Calibri"/>
          <w:sz w:val="20"/>
        </w:rPr>
      </w:pPr>
      <w:r>
        <w:rPr>
          <w:rFonts w:ascii="Calibri" w:eastAsia="Calibri" w:hAnsi="Calibri" w:cs="Calibri"/>
          <w:sz w:val="20"/>
        </w:rPr>
        <w:t xml:space="preserve">urban-gro, Inc.® (Nasdaq: UGRO) is an integrated professional services and Design-Build firm. We offer value-added architectural, engineering, and construction management solutions to the Controlled Environment Agriculture ("CEA"), industrial, healthcare, and other commercial sectors. Innovation, collaboration, and creativity drive our team to provide exceptional customer experiences. With offices across North America and in Europe, we deliver </w:t>
      </w:r>
      <w:r w:rsidRPr="00FE26FE">
        <w:rPr>
          <w:rFonts w:ascii="Calibri" w:eastAsia="Calibri" w:hAnsi="Calibri" w:cs="Calibri"/>
          <w:i/>
          <w:iCs/>
          <w:sz w:val="20"/>
        </w:rPr>
        <w:t>Your Vision - Built</w:t>
      </w:r>
      <w:r>
        <w:rPr>
          <w:rFonts w:ascii="Calibri" w:eastAsia="Calibri" w:hAnsi="Calibri" w:cs="Calibri"/>
          <w:sz w:val="20"/>
        </w:rPr>
        <w:t>. Learn more by visiting www.urban-gro.com</w:t>
      </w:r>
    </w:p>
    <w:p w14:paraId="43146ED2" w14:textId="77777777" w:rsidR="00A77B3E" w:rsidRDefault="00A77B3E">
      <w:pPr>
        <w:spacing w:line="288" w:lineRule="auto"/>
        <w:jc w:val="both"/>
        <w:rPr>
          <w:color w:val="000000"/>
        </w:rPr>
      </w:pPr>
    </w:p>
    <w:p w14:paraId="01EC528C" w14:textId="77777777" w:rsidR="00A77B3E" w:rsidRDefault="00804304">
      <w:pPr>
        <w:spacing w:line="288" w:lineRule="auto"/>
        <w:jc w:val="both"/>
        <w:rPr>
          <w:rFonts w:ascii="Calibri" w:eastAsia="Calibri" w:hAnsi="Calibri" w:cs="Calibri"/>
          <w:b/>
          <w:color w:val="000000"/>
          <w:sz w:val="20"/>
        </w:rPr>
      </w:pPr>
      <w:r>
        <w:rPr>
          <w:rFonts w:ascii="Calibri" w:eastAsia="Calibri" w:hAnsi="Calibri" w:cs="Calibri"/>
          <w:b/>
          <w:sz w:val="20"/>
        </w:rPr>
        <w:t>Safe Harbor Statement</w:t>
      </w:r>
    </w:p>
    <w:p w14:paraId="622779AF" w14:textId="5F2C7B0D" w:rsidR="00A77B3E" w:rsidRDefault="00804304">
      <w:pPr>
        <w:spacing w:line="288" w:lineRule="auto"/>
        <w:jc w:val="both"/>
        <w:rPr>
          <w:color w:val="000000"/>
        </w:rPr>
      </w:pPr>
      <w:r>
        <w:rPr>
          <w:rFonts w:ascii="Calibri" w:eastAsia="Calibri" w:hAnsi="Calibri" w:cs="Calibri"/>
          <w:i/>
          <w:sz w:val="20"/>
        </w:rPr>
        <w:t>This press release contains forward looking statements within the meaning of Section 27A of the Securities Act of 1933, as amended, and Section 21E of the Securities Exchange Act of 1934, as amended. When used in this release, terms such as “believes,” “will,” “expects,” “anticipates,” “may,” “projects” and similar expressions and variations as they relate to the Company or its management are intended to identify forward-looking statements. The forward-looking statements in this press release include, without limitation, the expected scope of the material misstatements identified in this press release</w:t>
      </w:r>
      <w:r w:rsidR="00200B60">
        <w:rPr>
          <w:rFonts w:ascii="Calibri" w:eastAsia="Calibri" w:hAnsi="Calibri" w:cs="Calibri"/>
          <w:i/>
          <w:sz w:val="20"/>
        </w:rPr>
        <w:t>, the Company’s ability to remain listed on Nasdaq,</w:t>
      </w:r>
      <w:r>
        <w:rPr>
          <w:rFonts w:ascii="Calibri" w:eastAsia="Calibri" w:hAnsi="Calibri" w:cs="Calibri"/>
          <w:i/>
          <w:sz w:val="20"/>
        </w:rPr>
        <w:t xml:space="preserve"> and the expected timing of filing restated periodic reports and the Form</w:t>
      </w:r>
      <w:r w:rsidR="00200B60">
        <w:rPr>
          <w:rFonts w:ascii="Calibri" w:eastAsia="Calibri" w:hAnsi="Calibri" w:cs="Calibri"/>
          <w:i/>
          <w:sz w:val="20"/>
        </w:rPr>
        <w:t>s</w:t>
      </w:r>
      <w:r>
        <w:rPr>
          <w:rFonts w:ascii="Calibri" w:eastAsia="Calibri" w:hAnsi="Calibri" w:cs="Calibri"/>
          <w:i/>
          <w:sz w:val="20"/>
        </w:rPr>
        <w:t xml:space="preserve"> 10-Q for the Company's </w:t>
      </w:r>
      <w:r w:rsidR="00200B60">
        <w:rPr>
          <w:rFonts w:ascii="Calibri" w:eastAsia="Calibri" w:hAnsi="Calibri" w:cs="Calibri"/>
          <w:i/>
          <w:sz w:val="20"/>
        </w:rPr>
        <w:t xml:space="preserve">second and </w:t>
      </w:r>
      <w:r>
        <w:rPr>
          <w:rFonts w:ascii="Calibri" w:eastAsia="Calibri" w:hAnsi="Calibri" w:cs="Calibri"/>
          <w:i/>
          <w:sz w:val="20"/>
        </w:rPr>
        <w:t>third fiscal quarter</w:t>
      </w:r>
      <w:r w:rsidR="00200B60">
        <w:rPr>
          <w:rFonts w:ascii="Calibri" w:eastAsia="Calibri" w:hAnsi="Calibri" w:cs="Calibri"/>
          <w:i/>
          <w:sz w:val="20"/>
        </w:rPr>
        <w:t>s</w:t>
      </w:r>
      <w:r>
        <w:rPr>
          <w:rFonts w:ascii="Calibri" w:eastAsia="Calibri" w:hAnsi="Calibri" w:cs="Calibri"/>
          <w:i/>
          <w:sz w:val="20"/>
        </w:rPr>
        <w:t xml:space="preserve"> of 2024. These and other forward-looking statements are based on the current expectations, forecasts, beliefs and assumptions of the Company's management and are subject to risks and uncertainties that could cause actual outcomes and results to differ materially from those anticipated or expected, including, among others, our ability to meet the other continued listing rules of Nasdaq and whether Nasdaq exercises its discretion, if necessary, to grant an extension period based on any plan of compliance we submit. A more detailed description of these and certain other factors that could affect actual results is included in the Company’s filings with the Securities and Exchange Commission. Copies of these filings are available online at www.sec.gov. Readers are cautioned not to place undue reliance on these forward-looking statements, which speak only as of the date hereof. The Company undertakes no obligation to update any forward-looking statements to reflect events or circumstances after the date hereof, except as may be required by law.</w:t>
      </w:r>
    </w:p>
    <w:p w14:paraId="1F740A97" w14:textId="77777777" w:rsidR="00A77B3E" w:rsidRDefault="00A77B3E">
      <w:pPr>
        <w:spacing w:line="276" w:lineRule="auto"/>
        <w:rPr>
          <w:rFonts w:ascii="Arial" w:eastAsia="Arial" w:hAnsi="Arial" w:cs="Arial"/>
          <w:color w:val="000000"/>
        </w:rPr>
      </w:pPr>
    </w:p>
    <w:p w14:paraId="41C70F6F" w14:textId="77777777" w:rsidR="00A77B3E" w:rsidRDefault="00804304">
      <w:pPr>
        <w:spacing w:line="288" w:lineRule="auto"/>
        <w:rPr>
          <w:color w:val="000000"/>
        </w:rPr>
      </w:pPr>
      <w:r>
        <w:rPr>
          <w:rFonts w:ascii="Calibri" w:eastAsia="Calibri" w:hAnsi="Calibri" w:cs="Calibri"/>
          <w:b/>
          <w:color w:val="212529"/>
          <w:sz w:val="20"/>
          <w:shd w:val="clear" w:color="auto" w:fill="FFFFFF"/>
        </w:rPr>
        <w:t>Investor Contacts:</w:t>
      </w:r>
    </w:p>
    <w:p w14:paraId="0CA7E13B" w14:textId="77777777" w:rsidR="00A77B3E" w:rsidRDefault="00804304">
      <w:pPr>
        <w:spacing w:line="288" w:lineRule="auto"/>
        <w:rPr>
          <w:color w:val="000000"/>
        </w:rPr>
      </w:pPr>
      <w:r>
        <w:rPr>
          <w:rFonts w:ascii="Calibri" w:eastAsia="Calibri" w:hAnsi="Calibri" w:cs="Calibri"/>
          <w:color w:val="212529"/>
          <w:sz w:val="20"/>
          <w:shd w:val="clear" w:color="auto" w:fill="FFFFFF"/>
        </w:rPr>
        <w:t xml:space="preserve"> Jeff Sonnek - ICR, Inc. </w:t>
      </w:r>
    </w:p>
    <w:p w14:paraId="1F7847FD" w14:textId="77777777" w:rsidR="00A77B3E" w:rsidRPr="00B2500E" w:rsidRDefault="00804304">
      <w:pPr>
        <w:spacing w:line="288" w:lineRule="auto"/>
        <w:rPr>
          <w:rFonts w:ascii="Calibri" w:eastAsia="Calibri" w:hAnsi="Calibri" w:cs="Calibri"/>
          <w:color w:val="212529"/>
          <w:sz w:val="20"/>
          <w:shd w:val="clear" w:color="auto" w:fill="FFFFFF"/>
          <w:lang w:val="fr-FR"/>
        </w:rPr>
      </w:pPr>
      <w:r w:rsidRPr="00B2500E">
        <w:rPr>
          <w:rFonts w:ascii="Calibri" w:eastAsia="Calibri" w:hAnsi="Calibri" w:cs="Calibri"/>
          <w:color w:val="212529"/>
          <w:sz w:val="20"/>
          <w:shd w:val="clear" w:color="auto" w:fill="FFFFFF"/>
          <w:lang w:val="fr-FR"/>
        </w:rPr>
        <w:t xml:space="preserve">(720) 730-8160 </w:t>
      </w:r>
    </w:p>
    <w:p w14:paraId="646E672F" w14:textId="77777777" w:rsidR="00A77B3E" w:rsidRPr="00B2500E" w:rsidRDefault="00804304">
      <w:pPr>
        <w:spacing w:line="288" w:lineRule="auto"/>
        <w:rPr>
          <w:rFonts w:ascii="Calibri" w:eastAsia="Calibri" w:hAnsi="Calibri" w:cs="Calibri"/>
          <w:color w:val="212529"/>
          <w:sz w:val="20"/>
          <w:shd w:val="clear" w:color="auto" w:fill="FFFFFF"/>
          <w:lang w:val="fr-FR"/>
        </w:rPr>
      </w:pPr>
      <w:r w:rsidRPr="00B2500E">
        <w:rPr>
          <w:rFonts w:ascii="Calibri" w:eastAsia="Calibri" w:hAnsi="Calibri" w:cs="Calibri"/>
          <w:color w:val="000000"/>
          <w:sz w:val="20"/>
          <w:u w:val="single"/>
          <w:shd w:val="clear" w:color="auto" w:fill="FFFFFF"/>
          <w:lang w:val="fr-FR"/>
        </w:rPr>
        <w:t>investors@urban-gro.com</w:t>
      </w:r>
    </w:p>
    <w:p w14:paraId="7A7971B4" w14:textId="77777777" w:rsidR="00A77B3E" w:rsidRPr="00B2500E" w:rsidRDefault="00A77B3E">
      <w:pPr>
        <w:spacing w:line="334" w:lineRule="auto"/>
        <w:jc w:val="both"/>
        <w:rPr>
          <w:color w:val="000000"/>
          <w:lang w:val="fr-FR"/>
        </w:rPr>
      </w:pPr>
    </w:p>
    <w:p w14:paraId="200BFB5B" w14:textId="77777777" w:rsidR="00A77B3E" w:rsidRPr="00B2500E" w:rsidRDefault="00804304">
      <w:pPr>
        <w:spacing w:line="334" w:lineRule="auto"/>
        <w:jc w:val="both"/>
        <w:rPr>
          <w:rFonts w:ascii="Calibri" w:eastAsia="Calibri" w:hAnsi="Calibri" w:cs="Calibri"/>
          <w:b/>
          <w:color w:val="000000"/>
          <w:sz w:val="20"/>
          <w:lang w:val="fr-FR"/>
        </w:rPr>
      </w:pPr>
      <w:r w:rsidRPr="00B2500E">
        <w:rPr>
          <w:rFonts w:ascii="Calibri" w:eastAsia="Calibri" w:hAnsi="Calibri" w:cs="Calibri"/>
          <w:b/>
          <w:sz w:val="20"/>
          <w:lang w:val="fr-FR"/>
        </w:rPr>
        <w:lastRenderedPageBreak/>
        <w:t xml:space="preserve">Media </w:t>
      </w:r>
      <w:proofErr w:type="gramStart"/>
      <w:r w:rsidRPr="00B2500E">
        <w:rPr>
          <w:rFonts w:ascii="Calibri" w:eastAsia="Calibri" w:hAnsi="Calibri" w:cs="Calibri"/>
          <w:b/>
          <w:sz w:val="20"/>
          <w:lang w:val="fr-FR"/>
        </w:rPr>
        <w:t>Contact:</w:t>
      </w:r>
      <w:proofErr w:type="gramEnd"/>
    </w:p>
    <w:p w14:paraId="06B69A5E" w14:textId="77777777" w:rsidR="00A77B3E" w:rsidRPr="00B2500E" w:rsidRDefault="00804304">
      <w:pPr>
        <w:spacing w:line="346" w:lineRule="auto"/>
        <w:jc w:val="both"/>
        <w:rPr>
          <w:color w:val="000000"/>
          <w:lang w:val="es-ES"/>
        </w:rPr>
      </w:pPr>
      <w:r w:rsidRPr="00B2500E">
        <w:rPr>
          <w:rFonts w:ascii="Calibri" w:eastAsia="Calibri" w:hAnsi="Calibri" w:cs="Calibri"/>
          <w:sz w:val="20"/>
          <w:lang w:val="es-ES"/>
        </w:rPr>
        <w:t xml:space="preserve">Barbara Graham – </w:t>
      </w:r>
      <w:proofErr w:type="spellStart"/>
      <w:r w:rsidRPr="00B2500E">
        <w:rPr>
          <w:rFonts w:ascii="Calibri" w:eastAsia="Calibri" w:hAnsi="Calibri" w:cs="Calibri"/>
          <w:sz w:val="20"/>
          <w:lang w:val="es-ES"/>
        </w:rPr>
        <w:t>urban</w:t>
      </w:r>
      <w:proofErr w:type="spellEnd"/>
      <w:r w:rsidRPr="00B2500E">
        <w:rPr>
          <w:rFonts w:ascii="Calibri" w:eastAsia="Calibri" w:hAnsi="Calibri" w:cs="Calibri"/>
          <w:sz w:val="20"/>
          <w:lang w:val="es-ES"/>
        </w:rPr>
        <w:t xml:space="preserve">-gro, Inc. </w:t>
      </w:r>
    </w:p>
    <w:p w14:paraId="264CC67E" w14:textId="77777777" w:rsidR="00A77B3E" w:rsidRDefault="00804304">
      <w:pPr>
        <w:spacing w:line="346" w:lineRule="auto"/>
        <w:jc w:val="both"/>
        <w:rPr>
          <w:color w:val="000000"/>
        </w:rPr>
      </w:pPr>
      <w:r>
        <w:rPr>
          <w:rFonts w:ascii="Calibri" w:eastAsia="Calibri" w:hAnsi="Calibri" w:cs="Calibri"/>
          <w:sz w:val="20"/>
        </w:rPr>
        <w:t>(720) 903-1139</w:t>
      </w:r>
    </w:p>
    <w:p w14:paraId="6A67880B" w14:textId="77777777" w:rsidR="00A77B3E" w:rsidRDefault="00804304">
      <w:pPr>
        <w:spacing w:line="384" w:lineRule="auto"/>
        <w:jc w:val="both"/>
        <w:rPr>
          <w:color w:val="000000"/>
        </w:rPr>
      </w:pPr>
      <w:r>
        <w:rPr>
          <w:rFonts w:ascii="Calibri" w:eastAsia="Calibri" w:hAnsi="Calibri" w:cs="Calibri"/>
          <w:color w:val="000000"/>
          <w:sz w:val="20"/>
          <w:u w:val="single"/>
        </w:rPr>
        <w:t>media@urban-gro.com</w:t>
      </w:r>
    </w:p>
    <w:p w14:paraId="20DAF7A6" w14:textId="77777777" w:rsidR="00A77B3E" w:rsidRDefault="00A77B3E">
      <w:pPr>
        <w:spacing w:line="276" w:lineRule="auto"/>
        <w:rPr>
          <w:rFonts w:ascii="Arial" w:eastAsia="Arial" w:hAnsi="Arial" w:cs="Arial"/>
          <w:color w:val="000000"/>
        </w:rPr>
      </w:pPr>
    </w:p>
    <w:sectPr w:rsidR="00A77B3E">
      <w:headerReference w:type="default" r:id="rId8"/>
      <w:footerReference w:type="default" r:id="rId9"/>
      <w:type w:val="continuous"/>
      <w:pgSz w:w="12240" w:h="15840"/>
      <w:pgMar w:top="720" w:right="720" w:bottom="720" w:left="720" w:header="0" w:footer="26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3F05107" w14:textId="77777777" w:rsidR="006C37CC" w:rsidRDefault="006C37CC">
      <w:r>
        <w:separator/>
      </w:r>
    </w:p>
  </w:endnote>
  <w:endnote w:type="continuationSeparator" w:id="0">
    <w:p w14:paraId="7D7E99AC" w14:textId="77777777" w:rsidR="006C37CC" w:rsidRDefault="006C37C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_New_Roman">
    <w:panose1 w:val="00000000000000000000"/>
    <w:charset w:val="00"/>
    <w:family w:val="roman"/>
    <w:notTrueType/>
    <w:pitch w:val="default"/>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6A1BD3" w14:textId="77777777" w:rsidR="0013440A" w:rsidRDefault="00804304">
    <w:pPr>
      <w:spacing w:line="334" w:lineRule="auto"/>
      <w:jc w:val="center"/>
      <w:rPr>
        <w:color w:val="000000"/>
      </w:rPr>
    </w:pPr>
    <w:r>
      <w:rPr>
        <w:rFonts w:ascii="Calibri" w:eastAsia="Calibri" w:hAnsi="Calibri" w:cs="Calibri"/>
        <w:color w:val="000000"/>
        <w:sz w:val="20"/>
      </w:rPr>
      <w:fldChar w:fldCharType="begin"/>
    </w:r>
    <w:r>
      <w:rPr>
        <w:rFonts w:ascii="Calibri" w:eastAsia="Calibri" w:hAnsi="Calibri" w:cs="Calibri"/>
        <w:color w:val="000000"/>
        <w:sz w:val="20"/>
      </w:rPr>
      <w:instrText xml:space="preserve"> PAGE </w:instrText>
    </w:r>
    <w:r>
      <w:rPr>
        <w:rFonts w:ascii="Calibri" w:eastAsia="Calibri" w:hAnsi="Calibri" w:cs="Calibri"/>
        <w:color w:val="000000"/>
        <w:sz w:val="20"/>
      </w:rPr>
      <w:fldChar w:fldCharType="separate"/>
    </w:r>
    <w:r>
      <w:rPr>
        <w:rFonts w:ascii="Calibri" w:eastAsia="Calibri" w:hAnsi="Calibri" w:cs="Calibri"/>
        <w:color w:val="000000"/>
        <w:sz w:val="20"/>
      </w:rPr>
      <w:t>2</w:t>
    </w:r>
    <w:r>
      <w:rPr>
        <w:rFonts w:ascii="Calibri" w:eastAsia="Calibri" w:hAnsi="Calibri" w:cs="Calibri"/>
        <w:color w:val="000000"/>
        <w:sz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9B13F56" w14:textId="77777777" w:rsidR="006C37CC" w:rsidRDefault="006C37CC">
      <w:r>
        <w:separator/>
      </w:r>
    </w:p>
  </w:footnote>
  <w:footnote w:type="continuationSeparator" w:id="0">
    <w:p w14:paraId="10A33A98" w14:textId="77777777" w:rsidR="006C37CC" w:rsidRDefault="006C37C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A6E022" w14:textId="77777777" w:rsidR="0013440A" w:rsidRDefault="0013440A">
    <w:pPr>
      <w:spacing w:line="334" w:lineRule="auto"/>
      <w:rPr>
        <w:color w:val="000000"/>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00000001"/>
    <w:styleLink w:val="bulletround"/>
    <w:lvl w:ilvl="0">
      <w:start w:val="1"/>
      <w:numFmt w:val="bullet"/>
      <w:lvlText w:val="•"/>
      <w:lvlJc w:val="left"/>
      <w:pPr>
        <w:tabs>
          <w:tab w:val="num" w:pos="720"/>
        </w:tabs>
        <w:ind w:left="720" w:hanging="360"/>
      </w:pPr>
    </w:lvl>
    <w:lvl w:ilvl="1">
      <w:start w:val="1"/>
      <w:numFmt w:val="bullet"/>
      <w:lvlText w:val="◦"/>
      <w:lvlJc w:val="left"/>
      <w:pPr>
        <w:tabs>
          <w:tab w:val="num" w:pos="1440"/>
        </w:tabs>
        <w:ind w:left="1440" w:hanging="360"/>
      </w:pPr>
    </w:lvl>
    <w:lvl w:ilvl="2">
      <w:start w:val="1"/>
      <w:numFmt w:val="bullet"/>
      <w:lvlText w:val="▪"/>
      <w:lvlJc w:val="left"/>
      <w:pPr>
        <w:tabs>
          <w:tab w:val="num" w:pos="2160"/>
        </w:tabs>
        <w:ind w:left="2160" w:hanging="180"/>
      </w:pPr>
    </w:lvl>
    <w:lvl w:ilvl="3">
      <w:start w:val="1"/>
      <w:numFmt w:val="bullet"/>
      <w:lvlText w:val="•"/>
      <w:lvlJc w:val="left"/>
      <w:pPr>
        <w:tabs>
          <w:tab w:val="num" w:pos="2880"/>
        </w:tabs>
        <w:ind w:left="2880" w:hanging="360"/>
      </w:pPr>
    </w:lvl>
    <w:lvl w:ilvl="4">
      <w:start w:val="1"/>
      <w:numFmt w:val="bullet"/>
      <w:lvlText w:val="◦"/>
      <w:lvlJc w:val="left"/>
      <w:pPr>
        <w:tabs>
          <w:tab w:val="num" w:pos="3600"/>
        </w:tabs>
        <w:ind w:left="3600" w:hanging="360"/>
      </w:pPr>
    </w:lvl>
    <w:lvl w:ilvl="5">
      <w:start w:val="1"/>
      <w:numFmt w:val="bullet"/>
      <w:lvlText w:val="▪"/>
      <w:lvlJc w:val="left"/>
      <w:pPr>
        <w:tabs>
          <w:tab w:val="num" w:pos="4320"/>
        </w:tabs>
        <w:ind w:left="4320" w:hanging="180"/>
      </w:pPr>
    </w:lvl>
    <w:lvl w:ilvl="6">
      <w:start w:val="1"/>
      <w:numFmt w:val="bullet"/>
      <w:lvlText w:val="•"/>
      <w:lvlJc w:val="left"/>
      <w:pPr>
        <w:tabs>
          <w:tab w:val="num" w:pos="5040"/>
        </w:tabs>
        <w:ind w:left="5040" w:hanging="360"/>
      </w:pPr>
    </w:lvl>
    <w:lvl w:ilvl="7">
      <w:start w:val="1"/>
      <w:numFmt w:val="bullet"/>
      <w:lvlText w:val="◦"/>
      <w:lvlJc w:val="left"/>
      <w:pPr>
        <w:tabs>
          <w:tab w:val="num" w:pos="5760"/>
        </w:tabs>
        <w:ind w:left="5760" w:hanging="360"/>
      </w:pPr>
    </w:lvl>
    <w:lvl w:ilvl="8">
      <w:start w:val="1"/>
      <w:numFmt w:val="bullet"/>
      <w:lvlText w:val="▪"/>
      <w:lvlJc w:val="left"/>
      <w:pPr>
        <w:tabs>
          <w:tab w:val="num" w:pos="6480"/>
        </w:tabs>
        <w:ind w:left="6480" w:hanging="180"/>
      </w:pPr>
    </w:lvl>
  </w:abstractNum>
  <w:abstractNum w:abstractNumId="1" w15:restartNumberingAfterBreak="0">
    <w:nsid w:val="00000002"/>
    <w:multiLevelType w:val="multilevel"/>
    <w:tmpl w:val="00000002"/>
    <w:styleLink w:val="listarabi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 w15:restartNumberingAfterBreak="0">
    <w:nsid w:val="00000003"/>
    <w:multiLevelType w:val="multilevel"/>
    <w:tmpl w:val="00000003"/>
    <w:styleLink w:val="ol1"/>
    <w:lvl w:ilvl="0">
      <w:start w:val="1"/>
      <w:numFmt w:val="decimal"/>
      <w:lvlText w:val="%1."/>
      <w:lvlJc w:val="left"/>
      <w:pPr>
        <w:tabs>
          <w:tab w:val="num" w:pos="720"/>
        </w:tabs>
        <w:ind w:left="720" w:hanging="360"/>
      </w:pPr>
      <w:rPr>
        <w:rFonts w:ascii="Times_New_Roman" w:eastAsia="Times_New_Roman" w:hAnsi="Times_New_Roman" w:cs="Times_New_Roman"/>
        <w:color w:val="000000"/>
        <w:sz w:val="2000"/>
      </w:rPr>
    </w:lvl>
    <w:lvl w:ilvl="1">
      <w:start w:val="1"/>
      <w:numFmt w:val="lowerLetter"/>
      <w:lvlText w:val="%2."/>
      <w:lvlJc w:val="left"/>
      <w:pPr>
        <w:tabs>
          <w:tab w:val="num" w:pos="1440"/>
        </w:tabs>
        <w:ind w:left="1440" w:hanging="360"/>
      </w:pPr>
      <w:rPr>
        <w:rFonts w:ascii="Times_New_Roman" w:eastAsia="Times_New_Roman" w:hAnsi="Times_New_Roman" w:cs="Times_New_Roman"/>
        <w:color w:val="000000"/>
        <w:sz w:val="2000"/>
      </w:rPr>
    </w:lvl>
    <w:lvl w:ilvl="2">
      <w:start w:val="1"/>
      <w:numFmt w:val="lowerRoman"/>
      <w:lvlText w:val="%3."/>
      <w:lvlJc w:val="left"/>
      <w:pPr>
        <w:tabs>
          <w:tab w:val="num" w:pos="2160"/>
        </w:tabs>
        <w:ind w:left="2160" w:hanging="180"/>
      </w:pPr>
      <w:rPr>
        <w:rFonts w:ascii="Times_New_Roman" w:eastAsia="Times_New_Roman" w:hAnsi="Times_New_Roman" w:cs="Times_New_Roman"/>
        <w:color w:val="000000"/>
        <w:sz w:val="2000"/>
      </w:rPr>
    </w:lvl>
    <w:lvl w:ilvl="3">
      <w:start w:val="1"/>
      <w:numFmt w:val="decimal"/>
      <w:lvlText w:val="%4."/>
      <w:lvlJc w:val="left"/>
      <w:pPr>
        <w:tabs>
          <w:tab w:val="num" w:pos="2880"/>
        </w:tabs>
        <w:ind w:left="2880" w:hanging="360"/>
      </w:pPr>
      <w:rPr>
        <w:rFonts w:ascii="Times_New_Roman" w:eastAsia="Times_New_Roman" w:hAnsi="Times_New_Roman" w:cs="Times_New_Roman"/>
        <w:color w:val="000000"/>
        <w:sz w:val="2000"/>
      </w:rPr>
    </w:lvl>
    <w:lvl w:ilvl="4">
      <w:start w:val="1"/>
      <w:numFmt w:val="lowerLetter"/>
      <w:lvlText w:val="%5."/>
      <w:lvlJc w:val="left"/>
      <w:pPr>
        <w:tabs>
          <w:tab w:val="num" w:pos="3600"/>
        </w:tabs>
        <w:ind w:left="3600" w:hanging="360"/>
      </w:pPr>
      <w:rPr>
        <w:rFonts w:ascii="Times_New_Roman" w:eastAsia="Times_New_Roman" w:hAnsi="Times_New_Roman" w:cs="Times_New_Roman"/>
        <w:color w:val="000000"/>
        <w:sz w:val="2000"/>
      </w:rPr>
    </w:lvl>
    <w:lvl w:ilvl="5">
      <w:start w:val="1"/>
      <w:numFmt w:val="lowerRoman"/>
      <w:lvlText w:val="%6."/>
      <w:lvlJc w:val="left"/>
      <w:pPr>
        <w:tabs>
          <w:tab w:val="num" w:pos="4320"/>
        </w:tabs>
        <w:ind w:left="4320" w:hanging="180"/>
      </w:pPr>
      <w:rPr>
        <w:rFonts w:ascii="Times_New_Roman" w:eastAsia="Times_New_Roman" w:hAnsi="Times_New_Roman" w:cs="Times_New_Roman"/>
        <w:color w:val="000000"/>
        <w:sz w:val="2000"/>
      </w:rPr>
    </w:lvl>
    <w:lvl w:ilvl="6">
      <w:start w:val="1"/>
      <w:numFmt w:val="decimal"/>
      <w:lvlText w:val="%7."/>
      <w:lvlJc w:val="left"/>
      <w:pPr>
        <w:tabs>
          <w:tab w:val="num" w:pos="5040"/>
        </w:tabs>
        <w:ind w:left="5040" w:hanging="360"/>
      </w:pPr>
      <w:rPr>
        <w:rFonts w:ascii="Times_New_Roman" w:eastAsia="Times_New_Roman" w:hAnsi="Times_New_Roman" w:cs="Times_New_Roman"/>
        <w:color w:val="000000"/>
        <w:sz w:val="2000"/>
      </w:rPr>
    </w:lvl>
    <w:lvl w:ilvl="7">
      <w:start w:val="1"/>
      <w:numFmt w:val="lowerLetter"/>
      <w:lvlText w:val="%8."/>
      <w:lvlJc w:val="left"/>
      <w:pPr>
        <w:tabs>
          <w:tab w:val="num" w:pos="5760"/>
        </w:tabs>
        <w:ind w:left="5760" w:hanging="360"/>
      </w:pPr>
      <w:rPr>
        <w:rFonts w:ascii="Times_New_Roman" w:eastAsia="Times_New_Roman" w:hAnsi="Times_New_Roman" w:cs="Times_New_Roman"/>
        <w:color w:val="000000"/>
        <w:sz w:val="2000"/>
      </w:rPr>
    </w:lvl>
    <w:lvl w:ilvl="8">
      <w:start w:val="1"/>
      <w:numFmt w:val="lowerRoman"/>
      <w:lvlText w:val="%9."/>
      <w:lvlJc w:val="left"/>
      <w:pPr>
        <w:tabs>
          <w:tab w:val="num" w:pos="6480"/>
        </w:tabs>
        <w:ind w:left="6480" w:hanging="180"/>
      </w:pPr>
      <w:rPr>
        <w:rFonts w:ascii="Times_New_Roman" w:eastAsia="Times_New_Roman" w:hAnsi="Times_New_Roman" w:cs="Times_New_Roman"/>
        <w:color w:val="000000"/>
        <w:sz w:val="2000"/>
      </w:rPr>
    </w:lvl>
  </w:abstractNum>
  <w:abstractNum w:abstractNumId="3" w15:restartNumberingAfterBreak="0">
    <w:nsid w:val="00000004"/>
    <w:multiLevelType w:val="multilevel"/>
    <w:tmpl w:val="00000004"/>
    <w:styleLink w:val="ol2"/>
    <w:lvl w:ilvl="0">
      <w:start w:val="1"/>
      <w:numFmt w:val="lowerLetter"/>
      <w:lvlText w:val="%1."/>
      <w:lvlJc w:val="left"/>
      <w:pPr>
        <w:tabs>
          <w:tab w:val="num" w:pos="720"/>
        </w:tabs>
        <w:ind w:left="720" w:hanging="360"/>
      </w:pPr>
      <w:rPr>
        <w:rFonts w:ascii="Times_New_Roman" w:eastAsia="Times_New_Roman" w:hAnsi="Times_New_Roman" w:cs="Times_New_Roman"/>
        <w:color w:val="000000"/>
        <w:sz w:val="2000"/>
      </w:rPr>
    </w:lvl>
    <w:lvl w:ilvl="1">
      <w:start w:val="1"/>
      <w:numFmt w:val="lowerRoman"/>
      <w:lvlText w:val="%2."/>
      <w:lvlJc w:val="left"/>
      <w:pPr>
        <w:tabs>
          <w:tab w:val="num" w:pos="1440"/>
        </w:tabs>
        <w:ind w:left="1440" w:hanging="360"/>
      </w:pPr>
      <w:rPr>
        <w:rFonts w:ascii="Times_New_Roman" w:eastAsia="Times_New_Roman" w:hAnsi="Times_New_Roman" w:cs="Times_New_Roman"/>
        <w:color w:val="000000"/>
        <w:sz w:val="2000"/>
      </w:rPr>
    </w:lvl>
    <w:lvl w:ilvl="2">
      <w:start w:val="1"/>
      <w:numFmt w:val="decimal"/>
      <w:lvlText w:val="%3."/>
      <w:lvlJc w:val="left"/>
      <w:pPr>
        <w:tabs>
          <w:tab w:val="num" w:pos="2160"/>
        </w:tabs>
        <w:ind w:left="2160" w:hanging="180"/>
      </w:pPr>
      <w:rPr>
        <w:rFonts w:ascii="Times_New_Roman" w:eastAsia="Times_New_Roman" w:hAnsi="Times_New_Roman" w:cs="Times_New_Roman"/>
        <w:color w:val="000000"/>
        <w:sz w:val="2000"/>
      </w:rPr>
    </w:lvl>
    <w:lvl w:ilvl="3">
      <w:start w:val="1"/>
      <w:numFmt w:val="lowerLetter"/>
      <w:lvlText w:val="%4."/>
      <w:lvlJc w:val="left"/>
      <w:pPr>
        <w:tabs>
          <w:tab w:val="num" w:pos="2880"/>
        </w:tabs>
        <w:ind w:left="2880" w:hanging="360"/>
      </w:pPr>
      <w:rPr>
        <w:rFonts w:ascii="Times_New_Roman" w:eastAsia="Times_New_Roman" w:hAnsi="Times_New_Roman" w:cs="Times_New_Roman"/>
        <w:color w:val="000000"/>
        <w:sz w:val="2000"/>
      </w:rPr>
    </w:lvl>
    <w:lvl w:ilvl="4">
      <w:start w:val="1"/>
      <w:numFmt w:val="lowerRoman"/>
      <w:lvlText w:val="%5."/>
      <w:lvlJc w:val="left"/>
      <w:pPr>
        <w:tabs>
          <w:tab w:val="num" w:pos="3600"/>
        </w:tabs>
        <w:ind w:left="3600" w:hanging="360"/>
      </w:pPr>
      <w:rPr>
        <w:rFonts w:ascii="Times_New_Roman" w:eastAsia="Times_New_Roman" w:hAnsi="Times_New_Roman" w:cs="Times_New_Roman"/>
        <w:color w:val="000000"/>
        <w:sz w:val="2000"/>
      </w:rPr>
    </w:lvl>
    <w:lvl w:ilvl="5">
      <w:start w:val="1"/>
      <w:numFmt w:val="decimal"/>
      <w:lvlText w:val="%6."/>
      <w:lvlJc w:val="left"/>
      <w:pPr>
        <w:tabs>
          <w:tab w:val="num" w:pos="4320"/>
        </w:tabs>
        <w:ind w:left="4320" w:hanging="180"/>
      </w:pPr>
      <w:rPr>
        <w:rFonts w:ascii="Times_New_Roman" w:eastAsia="Times_New_Roman" w:hAnsi="Times_New_Roman" w:cs="Times_New_Roman"/>
        <w:color w:val="000000"/>
        <w:sz w:val="2000"/>
      </w:rPr>
    </w:lvl>
    <w:lvl w:ilvl="6">
      <w:start w:val="1"/>
      <w:numFmt w:val="lowerLetter"/>
      <w:lvlText w:val="%7."/>
      <w:lvlJc w:val="left"/>
      <w:pPr>
        <w:tabs>
          <w:tab w:val="num" w:pos="5040"/>
        </w:tabs>
        <w:ind w:left="5040" w:hanging="360"/>
      </w:pPr>
      <w:rPr>
        <w:rFonts w:ascii="Times_New_Roman" w:eastAsia="Times_New_Roman" w:hAnsi="Times_New_Roman" w:cs="Times_New_Roman"/>
        <w:color w:val="000000"/>
        <w:sz w:val="2000"/>
      </w:rPr>
    </w:lvl>
    <w:lvl w:ilvl="7">
      <w:start w:val="1"/>
      <w:numFmt w:val="lowerRoman"/>
      <w:lvlText w:val="%8."/>
      <w:lvlJc w:val="left"/>
      <w:pPr>
        <w:tabs>
          <w:tab w:val="num" w:pos="5760"/>
        </w:tabs>
        <w:ind w:left="5760" w:hanging="360"/>
      </w:pPr>
      <w:rPr>
        <w:rFonts w:ascii="Times_New_Roman" w:eastAsia="Times_New_Roman" w:hAnsi="Times_New_Roman" w:cs="Times_New_Roman"/>
        <w:color w:val="000000"/>
        <w:sz w:val="2000"/>
      </w:rPr>
    </w:lvl>
    <w:lvl w:ilvl="8">
      <w:start w:val="1"/>
      <w:numFmt w:val="decimal"/>
      <w:lvlText w:val="%9."/>
      <w:lvlJc w:val="left"/>
      <w:pPr>
        <w:tabs>
          <w:tab w:val="num" w:pos="6480"/>
        </w:tabs>
        <w:ind w:left="6480" w:hanging="180"/>
      </w:pPr>
      <w:rPr>
        <w:rFonts w:ascii="Times_New_Roman" w:eastAsia="Times_New_Roman" w:hAnsi="Times_New_Roman" w:cs="Times_New_Roman"/>
        <w:color w:val="000000"/>
        <w:sz w:val="2000"/>
      </w:rPr>
    </w:lvl>
  </w:abstractNum>
  <w:abstractNum w:abstractNumId="4" w15:restartNumberingAfterBreak="0">
    <w:nsid w:val="00000005"/>
    <w:multiLevelType w:val="multilevel"/>
    <w:tmpl w:val="00000005"/>
    <w:styleLink w:val="ol3"/>
    <w:lvl w:ilvl="0">
      <w:start w:val="1"/>
      <w:numFmt w:val="upperLetter"/>
      <w:lvlText w:val="%1."/>
      <w:lvlJc w:val="left"/>
      <w:pPr>
        <w:tabs>
          <w:tab w:val="num" w:pos="720"/>
        </w:tabs>
        <w:ind w:left="720" w:hanging="360"/>
      </w:pPr>
      <w:rPr>
        <w:rFonts w:ascii="Times_New_Roman" w:eastAsia="Times_New_Roman" w:hAnsi="Times_New_Roman" w:cs="Times_New_Roman"/>
        <w:color w:val="000000"/>
        <w:sz w:val="2000"/>
      </w:rPr>
    </w:lvl>
    <w:lvl w:ilvl="1">
      <w:start w:val="1"/>
      <w:numFmt w:val="lowerLetter"/>
      <w:lvlText w:val="%2."/>
      <w:lvlJc w:val="left"/>
      <w:pPr>
        <w:tabs>
          <w:tab w:val="num" w:pos="1440"/>
        </w:tabs>
        <w:ind w:left="1440" w:hanging="360"/>
      </w:pPr>
      <w:rPr>
        <w:rFonts w:ascii="Times_New_Roman" w:eastAsia="Times_New_Roman" w:hAnsi="Times_New_Roman" w:cs="Times_New_Roman"/>
        <w:color w:val="000000"/>
        <w:sz w:val="2000"/>
      </w:rPr>
    </w:lvl>
    <w:lvl w:ilvl="2">
      <w:start w:val="1"/>
      <w:numFmt w:val="lowerRoman"/>
      <w:lvlText w:val="%3."/>
      <w:lvlJc w:val="left"/>
      <w:pPr>
        <w:tabs>
          <w:tab w:val="num" w:pos="2160"/>
        </w:tabs>
        <w:ind w:left="2160" w:hanging="180"/>
      </w:pPr>
      <w:rPr>
        <w:rFonts w:ascii="Times_New_Roman" w:eastAsia="Times_New_Roman" w:hAnsi="Times_New_Roman" w:cs="Times_New_Roman"/>
        <w:color w:val="000000"/>
        <w:sz w:val="2000"/>
      </w:rPr>
    </w:lvl>
    <w:lvl w:ilvl="3">
      <w:start w:val="1"/>
      <w:numFmt w:val="decimal"/>
      <w:lvlText w:val="%4."/>
      <w:lvlJc w:val="left"/>
      <w:pPr>
        <w:tabs>
          <w:tab w:val="num" w:pos="2880"/>
        </w:tabs>
        <w:ind w:left="2880" w:hanging="360"/>
      </w:pPr>
      <w:rPr>
        <w:rFonts w:ascii="Times_New_Roman" w:eastAsia="Times_New_Roman" w:hAnsi="Times_New_Roman" w:cs="Times_New_Roman"/>
        <w:color w:val="000000"/>
        <w:sz w:val="2000"/>
      </w:rPr>
    </w:lvl>
    <w:lvl w:ilvl="4">
      <w:start w:val="1"/>
      <w:numFmt w:val="lowerLetter"/>
      <w:lvlText w:val="%5."/>
      <w:lvlJc w:val="left"/>
      <w:pPr>
        <w:tabs>
          <w:tab w:val="num" w:pos="3600"/>
        </w:tabs>
        <w:ind w:left="3600" w:hanging="360"/>
      </w:pPr>
      <w:rPr>
        <w:rFonts w:ascii="Times_New_Roman" w:eastAsia="Times_New_Roman" w:hAnsi="Times_New_Roman" w:cs="Times_New_Roman"/>
        <w:color w:val="000000"/>
        <w:sz w:val="2000"/>
      </w:rPr>
    </w:lvl>
    <w:lvl w:ilvl="5">
      <w:start w:val="1"/>
      <w:numFmt w:val="lowerRoman"/>
      <w:lvlText w:val="%6."/>
      <w:lvlJc w:val="left"/>
      <w:pPr>
        <w:tabs>
          <w:tab w:val="num" w:pos="4320"/>
        </w:tabs>
        <w:ind w:left="4320" w:hanging="180"/>
      </w:pPr>
      <w:rPr>
        <w:rFonts w:ascii="Times_New_Roman" w:eastAsia="Times_New_Roman" w:hAnsi="Times_New_Roman" w:cs="Times_New_Roman"/>
        <w:color w:val="000000"/>
        <w:sz w:val="2000"/>
      </w:rPr>
    </w:lvl>
    <w:lvl w:ilvl="6">
      <w:start w:val="1"/>
      <w:numFmt w:val="decimal"/>
      <w:lvlText w:val="%7."/>
      <w:lvlJc w:val="left"/>
      <w:pPr>
        <w:tabs>
          <w:tab w:val="num" w:pos="5040"/>
        </w:tabs>
        <w:ind w:left="5040" w:hanging="360"/>
      </w:pPr>
      <w:rPr>
        <w:rFonts w:ascii="Times_New_Roman" w:eastAsia="Times_New_Roman" w:hAnsi="Times_New_Roman" w:cs="Times_New_Roman"/>
        <w:color w:val="000000"/>
        <w:sz w:val="2000"/>
      </w:rPr>
    </w:lvl>
    <w:lvl w:ilvl="7">
      <w:start w:val="1"/>
      <w:numFmt w:val="lowerLetter"/>
      <w:lvlText w:val="%8."/>
      <w:lvlJc w:val="left"/>
      <w:pPr>
        <w:tabs>
          <w:tab w:val="num" w:pos="5760"/>
        </w:tabs>
        <w:ind w:left="5760" w:hanging="360"/>
      </w:pPr>
      <w:rPr>
        <w:rFonts w:ascii="Times_New_Roman" w:eastAsia="Times_New_Roman" w:hAnsi="Times_New_Roman" w:cs="Times_New_Roman"/>
        <w:color w:val="000000"/>
        <w:sz w:val="2000"/>
      </w:rPr>
    </w:lvl>
    <w:lvl w:ilvl="8">
      <w:start w:val="1"/>
      <w:numFmt w:val="lowerRoman"/>
      <w:lvlText w:val="%9."/>
      <w:lvlJc w:val="left"/>
      <w:pPr>
        <w:tabs>
          <w:tab w:val="num" w:pos="6480"/>
        </w:tabs>
        <w:ind w:left="6480" w:hanging="180"/>
      </w:pPr>
      <w:rPr>
        <w:rFonts w:ascii="Times_New_Roman" w:eastAsia="Times_New_Roman" w:hAnsi="Times_New_Roman" w:cs="Times_New_Roman"/>
        <w:color w:val="000000"/>
        <w:sz w:val="2000"/>
      </w:rPr>
    </w:lvl>
  </w:abstractNum>
  <w:abstractNum w:abstractNumId="5" w15:restartNumberingAfterBreak="0">
    <w:nsid w:val="00000006"/>
    <w:multiLevelType w:val="multilevel"/>
    <w:tmpl w:val="00000006"/>
    <w:styleLink w:val="ol4"/>
    <w:lvl w:ilvl="0">
      <w:start w:val="1"/>
      <w:numFmt w:val="lowerRoman"/>
      <w:lvlText w:val="%1."/>
      <w:lvlJc w:val="left"/>
      <w:pPr>
        <w:tabs>
          <w:tab w:val="num" w:pos="720"/>
        </w:tabs>
        <w:ind w:left="720" w:hanging="360"/>
      </w:pPr>
      <w:rPr>
        <w:rFonts w:ascii="Times_New_Roman" w:eastAsia="Times_New_Roman" w:hAnsi="Times_New_Roman" w:cs="Times_New_Roman"/>
        <w:color w:val="000000"/>
        <w:sz w:val="2000"/>
      </w:rPr>
    </w:lvl>
    <w:lvl w:ilvl="1">
      <w:start w:val="1"/>
      <w:numFmt w:val="decimal"/>
      <w:lvlText w:val="%2."/>
      <w:lvlJc w:val="left"/>
      <w:pPr>
        <w:tabs>
          <w:tab w:val="num" w:pos="1440"/>
        </w:tabs>
        <w:ind w:left="1440" w:hanging="360"/>
      </w:pPr>
      <w:rPr>
        <w:rFonts w:ascii="Times_New_Roman" w:eastAsia="Times_New_Roman" w:hAnsi="Times_New_Roman" w:cs="Times_New_Roman"/>
        <w:color w:val="000000"/>
        <w:sz w:val="2000"/>
      </w:rPr>
    </w:lvl>
    <w:lvl w:ilvl="2">
      <w:start w:val="1"/>
      <w:numFmt w:val="lowerLetter"/>
      <w:lvlText w:val="%3."/>
      <w:lvlJc w:val="left"/>
      <w:pPr>
        <w:tabs>
          <w:tab w:val="num" w:pos="2160"/>
        </w:tabs>
        <w:ind w:left="2160" w:hanging="180"/>
      </w:pPr>
      <w:rPr>
        <w:rFonts w:ascii="Times_New_Roman" w:eastAsia="Times_New_Roman" w:hAnsi="Times_New_Roman" w:cs="Times_New_Roman"/>
        <w:color w:val="000000"/>
        <w:sz w:val="2000"/>
      </w:rPr>
    </w:lvl>
    <w:lvl w:ilvl="3">
      <w:start w:val="1"/>
      <w:numFmt w:val="lowerRoman"/>
      <w:lvlText w:val="%4."/>
      <w:lvlJc w:val="left"/>
      <w:pPr>
        <w:tabs>
          <w:tab w:val="num" w:pos="2880"/>
        </w:tabs>
        <w:ind w:left="2880" w:hanging="360"/>
      </w:pPr>
      <w:rPr>
        <w:rFonts w:ascii="Times_New_Roman" w:eastAsia="Times_New_Roman" w:hAnsi="Times_New_Roman" w:cs="Times_New_Roman"/>
        <w:color w:val="000000"/>
        <w:sz w:val="2000"/>
      </w:rPr>
    </w:lvl>
    <w:lvl w:ilvl="4">
      <w:start w:val="1"/>
      <w:numFmt w:val="decimal"/>
      <w:lvlText w:val="%5."/>
      <w:lvlJc w:val="left"/>
      <w:pPr>
        <w:tabs>
          <w:tab w:val="num" w:pos="3600"/>
        </w:tabs>
        <w:ind w:left="3600" w:hanging="360"/>
      </w:pPr>
      <w:rPr>
        <w:rFonts w:ascii="Times_New_Roman" w:eastAsia="Times_New_Roman" w:hAnsi="Times_New_Roman" w:cs="Times_New_Roman"/>
        <w:color w:val="000000"/>
        <w:sz w:val="2000"/>
      </w:rPr>
    </w:lvl>
    <w:lvl w:ilvl="5">
      <w:start w:val="1"/>
      <w:numFmt w:val="lowerLetter"/>
      <w:lvlText w:val="%6."/>
      <w:lvlJc w:val="left"/>
      <w:pPr>
        <w:tabs>
          <w:tab w:val="num" w:pos="4320"/>
        </w:tabs>
        <w:ind w:left="4320" w:hanging="180"/>
      </w:pPr>
      <w:rPr>
        <w:rFonts w:ascii="Times_New_Roman" w:eastAsia="Times_New_Roman" w:hAnsi="Times_New_Roman" w:cs="Times_New_Roman"/>
        <w:color w:val="000000"/>
        <w:sz w:val="2000"/>
      </w:rPr>
    </w:lvl>
    <w:lvl w:ilvl="6">
      <w:start w:val="1"/>
      <w:numFmt w:val="lowerRoman"/>
      <w:lvlText w:val="%7."/>
      <w:lvlJc w:val="left"/>
      <w:pPr>
        <w:tabs>
          <w:tab w:val="num" w:pos="5040"/>
        </w:tabs>
        <w:ind w:left="5040" w:hanging="360"/>
      </w:pPr>
      <w:rPr>
        <w:rFonts w:ascii="Times_New_Roman" w:eastAsia="Times_New_Roman" w:hAnsi="Times_New_Roman" w:cs="Times_New_Roman"/>
        <w:color w:val="000000"/>
        <w:sz w:val="2000"/>
      </w:rPr>
    </w:lvl>
    <w:lvl w:ilvl="7">
      <w:start w:val="1"/>
      <w:numFmt w:val="decimal"/>
      <w:lvlText w:val="%8."/>
      <w:lvlJc w:val="left"/>
      <w:pPr>
        <w:tabs>
          <w:tab w:val="num" w:pos="5760"/>
        </w:tabs>
        <w:ind w:left="5760" w:hanging="360"/>
      </w:pPr>
      <w:rPr>
        <w:rFonts w:ascii="Times_New_Roman" w:eastAsia="Times_New_Roman" w:hAnsi="Times_New_Roman" w:cs="Times_New_Roman"/>
        <w:color w:val="000000"/>
        <w:sz w:val="2000"/>
      </w:rPr>
    </w:lvl>
    <w:lvl w:ilvl="8">
      <w:start w:val="1"/>
      <w:numFmt w:val="lowerLetter"/>
      <w:lvlText w:val="%9."/>
      <w:lvlJc w:val="left"/>
      <w:pPr>
        <w:tabs>
          <w:tab w:val="num" w:pos="6480"/>
        </w:tabs>
        <w:ind w:left="6480" w:hanging="180"/>
      </w:pPr>
      <w:rPr>
        <w:rFonts w:ascii="Times_New_Roman" w:eastAsia="Times_New_Roman" w:hAnsi="Times_New_Roman" w:cs="Times_New_Roman"/>
        <w:color w:val="000000"/>
        <w:sz w:val="2000"/>
      </w:rPr>
    </w:lvl>
  </w:abstractNum>
  <w:abstractNum w:abstractNumId="6" w15:restartNumberingAfterBreak="0">
    <w:nsid w:val="00000007"/>
    <w:multiLevelType w:val="multilevel"/>
    <w:tmpl w:val="00000007"/>
    <w:styleLink w:val="ol5"/>
    <w:lvl w:ilvl="0">
      <w:start w:val="1"/>
      <w:numFmt w:val="upperRoman"/>
      <w:lvlText w:val="%1."/>
      <w:lvlJc w:val="left"/>
      <w:pPr>
        <w:tabs>
          <w:tab w:val="num" w:pos="720"/>
        </w:tabs>
        <w:ind w:left="720" w:hanging="360"/>
      </w:pPr>
      <w:rPr>
        <w:rFonts w:ascii="Times_New_Roman" w:eastAsia="Times_New_Roman" w:hAnsi="Times_New_Roman" w:cs="Times_New_Roman"/>
        <w:color w:val="000000"/>
        <w:sz w:val="2000"/>
      </w:rPr>
    </w:lvl>
    <w:lvl w:ilvl="1">
      <w:start w:val="1"/>
      <w:numFmt w:val="lowerRoman"/>
      <w:lvlText w:val="%2."/>
      <w:lvlJc w:val="left"/>
      <w:pPr>
        <w:tabs>
          <w:tab w:val="num" w:pos="1440"/>
        </w:tabs>
        <w:ind w:left="1440" w:hanging="360"/>
      </w:pPr>
      <w:rPr>
        <w:rFonts w:ascii="Times_New_Roman" w:eastAsia="Times_New_Roman" w:hAnsi="Times_New_Roman" w:cs="Times_New_Roman"/>
        <w:color w:val="000000"/>
        <w:sz w:val="2000"/>
      </w:rPr>
    </w:lvl>
    <w:lvl w:ilvl="2">
      <w:start w:val="1"/>
      <w:numFmt w:val="decimal"/>
      <w:lvlText w:val="%3."/>
      <w:lvlJc w:val="left"/>
      <w:pPr>
        <w:tabs>
          <w:tab w:val="num" w:pos="2160"/>
        </w:tabs>
        <w:ind w:left="2160" w:hanging="180"/>
      </w:pPr>
      <w:rPr>
        <w:rFonts w:ascii="Times_New_Roman" w:eastAsia="Times_New_Roman" w:hAnsi="Times_New_Roman" w:cs="Times_New_Roman"/>
        <w:color w:val="000000"/>
        <w:sz w:val="2000"/>
      </w:rPr>
    </w:lvl>
    <w:lvl w:ilvl="3">
      <w:start w:val="1"/>
      <w:numFmt w:val="lowerLetter"/>
      <w:lvlText w:val="%4."/>
      <w:lvlJc w:val="left"/>
      <w:pPr>
        <w:tabs>
          <w:tab w:val="num" w:pos="2880"/>
        </w:tabs>
        <w:ind w:left="2880" w:hanging="360"/>
      </w:pPr>
      <w:rPr>
        <w:rFonts w:ascii="Times_New_Roman" w:eastAsia="Times_New_Roman" w:hAnsi="Times_New_Roman" w:cs="Times_New_Roman"/>
        <w:color w:val="000000"/>
        <w:sz w:val="2000"/>
      </w:rPr>
    </w:lvl>
    <w:lvl w:ilvl="4">
      <w:start w:val="1"/>
      <w:numFmt w:val="lowerRoman"/>
      <w:lvlText w:val="%5."/>
      <w:lvlJc w:val="left"/>
      <w:pPr>
        <w:tabs>
          <w:tab w:val="num" w:pos="3600"/>
        </w:tabs>
        <w:ind w:left="3600" w:hanging="360"/>
      </w:pPr>
      <w:rPr>
        <w:rFonts w:ascii="Times_New_Roman" w:eastAsia="Times_New_Roman" w:hAnsi="Times_New_Roman" w:cs="Times_New_Roman"/>
        <w:color w:val="000000"/>
        <w:sz w:val="2000"/>
      </w:rPr>
    </w:lvl>
    <w:lvl w:ilvl="5">
      <w:start w:val="1"/>
      <w:numFmt w:val="decimal"/>
      <w:lvlText w:val="%6."/>
      <w:lvlJc w:val="left"/>
      <w:pPr>
        <w:tabs>
          <w:tab w:val="num" w:pos="4320"/>
        </w:tabs>
        <w:ind w:left="4320" w:hanging="180"/>
      </w:pPr>
      <w:rPr>
        <w:rFonts w:ascii="Times_New_Roman" w:eastAsia="Times_New_Roman" w:hAnsi="Times_New_Roman" w:cs="Times_New_Roman"/>
        <w:color w:val="000000"/>
        <w:sz w:val="2000"/>
      </w:rPr>
    </w:lvl>
    <w:lvl w:ilvl="6">
      <w:start w:val="1"/>
      <w:numFmt w:val="lowerLetter"/>
      <w:lvlText w:val="%7."/>
      <w:lvlJc w:val="left"/>
      <w:pPr>
        <w:tabs>
          <w:tab w:val="num" w:pos="5040"/>
        </w:tabs>
        <w:ind w:left="5040" w:hanging="360"/>
      </w:pPr>
      <w:rPr>
        <w:rFonts w:ascii="Times_New_Roman" w:eastAsia="Times_New_Roman" w:hAnsi="Times_New_Roman" w:cs="Times_New_Roman"/>
        <w:color w:val="000000"/>
        <w:sz w:val="2000"/>
      </w:rPr>
    </w:lvl>
    <w:lvl w:ilvl="7">
      <w:start w:val="1"/>
      <w:numFmt w:val="lowerRoman"/>
      <w:lvlText w:val="%8."/>
      <w:lvlJc w:val="left"/>
      <w:pPr>
        <w:tabs>
          <w:tab w:val="num" w:pos="5760"/>
        </w:tabs>
        <w:ind w:left="5760" w:hanging="360"/>
      </w:pPr>
      <w:rPr>
        <w:rFonts w:ascii="Times_New_Roman" w:eastAsia="Times_New_Roman" w:hAnsi="Times_New_Roman" w:cs="Times_New_Roman"/>
        <w:color w:val="000000"/>
        <w:sz w:val="2000"/>
      </w:rPr>
    </w:lvl>
    <w:lvl w:ilvl="8">
      <w:start w:val="1"/>
      <w:numFmt w:val="decimal"/>
      <w:lvlText w:val="%9."/>
      <w:lvlJc w:val="left"/>
      <w:pPr>
        <w:tabs>
          <w:tab w:val="num" w:pos="6480"/>
        </w:tabs>
        <w:ind w:left="6480" w:hanging="180"/>
      </w:pPr>
      <w:rPr>
        <w:rFonts w:ascii="Times_New_Roman" w:eastAsia="Times_New_Roman" w:hAnsi="Times_New_Roman" w:cs="Times_New_Roman"/>
        <w:color w:val="000000"/>
        <w:sz w:val="2000"/>
      </w:rPr>
    </w:lvl>
  </w:abstractNum>
  <w:abstractNum w:abstractNumId="7" w15:restartNumberingAfterBreak="0">
    <w:nsid w:val="00000008"/>
    <w:multiLevelType w:val="multilevel"/>
    <w:tmpl w:val="00000008"/>
    <w:styleLink w:val="outlinearabic"/>
    <w:lvl w:ilvl="0">
      <w:start w:val="1"/>
      <w:numFmt w:val="decimal"/>
      <w:lvlText w:val="%1."/>
      <w:lvlJc w:val="left"/>
      <w:pPr>
        <w:tabs>
          <w:tab w:val="num" w:pos="720"/>
        </w:tabs>
        <w:ind w:left="720" w:hanging="360"/>
      </w:pPr>
    </w:lvl>
    <w:lvl w:ilvl="1">
      <w:start w:val="1"/>
      <w:numFmt w:val="decimal"/>
      <w:lvlText w:val="%1.%2."/>
      <w:lvlJc w:val="left"/>
      <w:pPr>
        <w:tabs>
          <w:tab w:val="num" w:pos="1440"/>
        </w:tabs>
        <w:ind w:left="1440" w:hanging="360"/>
      </w:pPr>
    </w:lvl>
    <w:lvl w:ilvl="2">
      <w:start w:val="1"/>
      <w:numFmt w:val="decimal"/>
      <w:lvlText w:val="%1.%2.%3."/>
      <w:lvlJc w:val="left"/>
      <w:pPr>
        <w:tabs>
          <w:tab w:val="num" w:pos="2160"/>
        </w:tabs>
        <w:ind w:left="2160" w:hanging="180"/>
      </w:pPr>
    </w:lvl>
    <w:lvl w:ilvl="3">
      <w:start w:val="1"/>
      <w:numFmt w:val="decimal"/>
      <w:lvlText w:val="%1.%2.%3.%4."/>
      <w:lvlJc w:val="left"/>
      <w:pPr>
        <w:tabs>
          <w:tab w:val="num" w:pos="2880"/>
        </w:tabs>
        <w:ind w:left="2880" w:hanging="360"/>
      </w:pPr>
    </w:lvl>
    <w:lvl w:ilvl="4">
      <w:start w:val="1"/>
      <w:numFmt w:val="decimal"/>
      <w:lvlText w:val="%1.%2.%3.%4.%5."/>
      <w:lvlJc w:val="left"/>
      <w:pPr>
        <w:tabs>
          <w:tab w:val="num" w:pos="3600"/>
        </w:tabs>
        <w:ind w:left="3600" w:hanging="360"/>
      </w:pPr>
    </w:lvl>
    <w:lvl w:ilvl="5">
      <w:start w:val="1"/>
      <w:numFmt w:val="decimal"/>
      <w:lvlText w:val="%1.%2.%3.%4.%5.%6."/>
      <w:lvlJc w:val="left"/>
      <w:pPr>
        <w:tabs>
          <w:tab w:val="num" w:pos="4320"/>
        </w:tabs>
        <w:ind w:left="4320" w:hanging="180"/>
      </w:pPr>
    </w:lvl>
    <w:lvl w:ilvl="6">
      <w:start w:val="1"/>
      <w:numFmt w:val="decimal"/>
      <w:lvlText w:val="%1.%2.%3.%4.%5.%6.%7."/>
      <w:lvlJc w:val="left"/>
      <w:pPr>
        <w:tabs>
          <w:tab w:val="num" w:pos="5040"/>
        </w:tabs>
        <w:ind w:left="5040" w:hanging="360"/>
      </w:pPr>
    </w:lvl>
    <w:lvl w:ilvl="7">
      <w:start w:val="1"/>
      <w:numFmt w:val="decimal"/>
      <w:lvlText w:val="%1.%2.%3.%4.%5.%6.%7.%8."/>
      <w:lvlJc w:val="left"/>
      <w:pPr>
        <w:tabs>
          <w:tab w:val="num" w:pos="5760"/>
        </w:tabs>
        <w:ind w:left="5760" w:hanging="360"/>
      </w:pPr>
    </w:lvl>
    <w:lvl w:ilvl="8">
      <w:start w:val="1"/>
      <w:numFmt w:val="decimal"/>
      <w:lvlText w:val="%1.%2.%3.%4.%5.%6.%7.%8.%9."/>
      <w:lvlJc w:val="left"/>
      <w:pPr>
        <w:tabs>
          <w:tab w:val="num" w:pos="6480"/>
        </w:tabs>
        <w:ind w:left="6480" w:hanging="180"/>
      </w:pPr>
    </w:lvl>
  </w:abstractNum>
  <w:abstractNum w:abstractNumId="8" w15:restartNumberingAfterBreak="0">
    <w:nsid w:val="00000009"/>
    <w:multiLevelType w:val="multilevel"/>
    <w:tmpl w:val="00000009"/>
    <w:styleLink w:val="ul1"/>
    <w:lvl w:ilvl="0">
      <w:start w:val="1"/>
      <w:numFmt w:val="bullet"/>
      <w:lvlText w:val="*"/>
      <w:lvlJc w:val="left"/>
      <w:pPr>
        <w:tabs>
          <w:tab w:val="num" w:pos="720"/>
        </w:tabs>
        <w:ind w:left="720" w:hanging="360"/>
      </w:pPr>
      <w:rPr>
        <w:rFonts w:ascii="Times_New_Roman" w:eastAsia="Times_New_Roman" w:hAnsi="Times_New_Roman" w:cs="Times_New_Roman"/>
        <w:color w:val="000000"/>
        <w:sz w:val="2000"/>
      </w:rPr>
    </w:lvl>
    <w:lvl w:ilvl="1">
      <w:start w:val="1"/>
      <w:numFmt w:val="bullet"/>
      <w:lvlText w:val="*"/>
      <w:lvlJc w:val="left"/>
      <w:pPr>
        <w:tabs>
          <w:tab w:val="num" w:pos="1440"/>
        </w:tabs>
        <w:ind w:left="1440" w:hanging="360"/>
      </w:pPr>
      <w:rPr>
        <w:rFonts w:ascii="Times_New_Roman" w:eastAsia="Times_New_Roman" w:hAnsi="Times_New_Roman" w:cs="Times_New_Roman"/>
        <w:color w:val="000000"/>
        <w:sz w:val="2000"/>
      </w:rPr>
    </w:lvl>
    <w:lvl w:ilvl="2">
      <w:start w:val="1"/>
      <w:numFmt w:val="bullet"/>
      <w:lvlText w:val="*"/>
      <w:lvlJc w:val="left"/>
      <w:pPr>
        <w:tabs>
          <w:tab w:val="num" w:pos="2160"/>
        </w:tabs>
        <w:ind w:left="2160" w:hanging="180"/>
      </w:pPr>
      <w:rPr>
        <w:rFonts w:ascii="Times_New_Roman" w:eastAsia="Times_New_Roman" w:hAnsi="Times_New_Roman" w:cs="Times_New_Roman"/>
        <w:color w:val="000000"/>
        <w:sz w:val="2000"/>
      </w:rPr>
    </w:lvl>
    <w:lvl w:ilvl="3">
      <w:start w:val="1"/>
      <w:numFmt w:val="bullet"/>
      <w:lvlText w:val="*"/>
      <w:lvlJc w:val="left"/>
      <w:pPr>
        <w:tabs>
          <w:tab w:val="num" w:pos="2880"/>
        </w:tabs>
        <w:ind w:left="2880" w:hanging="360"/>
      </w:pPr>
      <w:rPr>
        <w:rFonts w:ascii="Times_New_Roman" w:eastAsia="Times_New_Roman" w:hAnsi="Times_New_Roman" w:cs="Times_New_Roman"/>
        <w:color w:val="000000"/>
        <w:sz w:val="2000"/>
      </w:rPr>
    </w:lvl>
    <w:lvl w:ilvl="4">
      <w:start w:val="1"/>
      <w:numFmt w:val="bullet"/>
      <w:lvlText w:val="*"/>
      <w:lvlJc w:val="left"/>
      <w:pPr>
        <w:tabs>
          <w:tab w:val="num" w:pos="3600"/>
        </w:tabs>
        <w:ind w:left="3600" w:hanging="360"/>
      </w:pPr>
      <w:rPr>
        <w:rFonts w:ascii="Times_New_Roman" w:eastAsia="Times_New_Roman" w:hAnsi="Times_New_Roman" w:cs="Times_New_Roman"/>
        <w:color w:val="000000"/>
        <w:sz w:val="2000"/>
      </w:rPr>
    </w:lvl>
    <w:lvl w:ilvl="5">
      <w:start w:val="1"/>
      <w:numFmt w:val="bullet"/>
      <w:lvlText w:val="*"/>
      <w:lvlJc w:val="left"/>
      <w:pPr>
        <w:tabs>
          <w:tab w:val="num" w:pos="4320"/>
        </w:tabs>
        <w:ind w:left="4320" w:hanging="180"/>
      </w:pPr>
      <w:rPr>
        <w:rFonts w:ascii="Times_New_Roman" w:eastAsia="Times_New_Roman" w:hAnsi="Times_New_Roman" w:cs="Times_New_Roman"/>
        <w:color w:val="000000"/>
        <w:sz w:val="2000"/>
      </w:rPr>
    </w:lvl>
    <w:lvl w:ilvl="6">
      <w:start w:val="1"/>
      <w:numFmt w:val="bullet"/>
      <w:lvlText w:val="*"/>
      <w:lvlJc w:val="left"/>
      <w:pPr>
        <w:tabs>
          <w:tab w:val="num" w:pos="5040"/>
        </w:tabs>
        <w:ind w:left="5040" w:hanging="360"/>
      </w:pPr>
      <w:rPr>
        <w:rFonts w:ascii="Times_New_Roman" w:eastAsia="Times_New_Roman" w:hAnsi="Times_New_Roman" w:cs="Times_New_Roman"/>
        <w:color w:val="000000"/>
        <w:sz w:val="2000"/>
      </w:rPr>
    </w:lvl>
    <w:lvl w:ilvl="7">
      <w:start w:val="1"/>
      <w:numFmt w:val="bullet"/>
      <w:lvlText w:val="*"/>
      <w:lvlJc w:val="left"/>
      <w:pPr>
        <w:tabs>
          <w:tab w:val="num" w:pos="5760"/>
        </w:tabs>
        <w:ind w:left="5760" w:hanging="360"/>
      </w:pPr>
      <w:rPr>
        <w:rFonts w:ascii="Times_New_Roman" w:eastAsia="Times_New_Roman" w:hAnsi="Times_New_Roman" w:cs="Times_New_Roman"/>
        <w:color w:val="000000"/>
        <w:sz w:val="2000"/>
      </w:rPr>
    </w:lvl>
    <w:lvl w:ilvl="8">
      <w:start w:val="1"/>
      <w:numFmt w:val="bullet"/>
      <w:lvlText w:val="*"/>
      <w:lvlJc w:val="left"/>
      <w:pPr>
        <w:tabs>
          <w:tab w:val="num" w:pos="6480"/>
        </w:tabs>
        <w:ind w:left="6480" w:hanging="180"/>
      </w:pPr>
      <w:rPr>
        <w:rFonts w:ascii="Times_New_Roman" w:eastAsia="Times_New_Roman" w:hAnsi="Times_New_Roman" w:cs="Times_New_Roman"/>
        <w:color w:val="000000"/>
        <w:sz w:val="2000"/>
      </w:rPr>
    </w:lvl>
  </w:abstractNum>
  <w:abstractNum w:abstractNumId="9" w15:restartNumberingAfterBreak="0">
    <w:nsid w:val="0000000A"/>
    <w:multiLevelType w:val="multilevel"/>
    <w:tmpl w:val="0000000A"/>
    <w:styleLink w:val="ul2"/>
    <w:lvl w:ilvl="0">
      <w:start w:val="1"/>
      <w:numFmt w:val="bullet"/>
      <w:lvlText w:val="◦"/>
      <w:lvlJc w:val="left"/>
      <w:pPr>
        <w:tabs>
          <w:tab w:val="num" w:pos="720"/>
        </w:tabs>
        <w:ind w:left="720" w:hanging="360"/>
      </w:pPr>
      <w:rPr>
        <w:rFonts w:ascii="Times_New_Roman" w:eastAsia="Times_New_Roman" w:hAnsi="Times_New_Roman" w:cs="Times_New_Roman"/>
        <w:color w:val="000000"/>
        <w:sz w:val="2000"/>
      </w:rPr>
    </w:lvl>
    <w:lvl w:ilvl="1">
      <w:start w:val="1"/>
      <w:numFmt w:val="bullet"/>
      <w:lvlText w:val="▪"/>
      <w:lvlJc w:val="left"/>
      <w:pPr>
        <w:tabs>
          <w:tab w:val="num" w:pos="1440"/>
        </w:tabs>
        <w:ind w:left="1440" w:hanging="360"/>
      </w:pPr>
      <w:rPr>
        <w:rFonts w:ascii="Times_New_Roman" w:eastAsia="Times_New_Roman" w:hAnsi="Times_New_Roman" w:cs="Times_New_Roman"/>
        <w:color w:val="000000"/>
        <w:sz w:val="2000"/>
      </w:rPr>
    </w:lvl>
    <w:lvl w:ilvl="2">
      <w:start w:val="1"/>
      <w:numFmt w:val="bullet"/>
      <w:lvlText w:val="•"/>
      <w:lvlJc w:val="left"/>
      <w:pPr>
        <w:tabs>
          <w:tab w:val="num" w:pos="2160"/>
        </w:tabs>
        <w:ind w:left="2160" w:hanging="180"/>
      </w:pPr>
      <w:rPr>
        <w:rFonts w:ascii="Times_New_Roman" w:eastAsia="Times_New_Roman" w:hAnsi="Times_New_Roman" w:cs="Times_New_Roman"/>
        <w:color w:val="000000"/>
        <w:sz w:val="2000"/>
      </w:rPr>
    </w:lvl>
    <w:lvl w:ilvl="3">
      <w:start w:val="1"/>
      <w:numFmt w:val="bullet"/>
      <w:lvlText w:val="◦"/>
      <w:lvlJc w:val="left"/>
      <w:pPr>
        <w:tabs>
          <w:tab w:val="num" w:pos="2880"/>
        </w:tabs>
        <w:ind w:left="2880" w:hanging="360"/>
      </w:pPr>
      <w:rPr>
        <w:rFonts w:ascii="Times_New_Roman" w:eastAsia="Times_New_Roman" w:hAnsi="Times_New_Roman" w:cs="Times_New_Roman"/>
        <w:color w:val="000000"/>
        <w:sz w:val="2000"/>
      </w:rPr>
    </w:lvl>
    <w:lvl w:ilvl="4">
      <w:start w:val="1"/>
      <w:numFmt w:val="bullet"/>
      <w:lvlText w:val="▪"/>
      <w:lvlJc w:val="left"/>
      <w:pPr>
        <w:tabs>
          <w:tab w:val="num" w:pos="3600"/>
        </w:tabs>
        <w:ind w:left="3600" w:hanging="360"/>
      </w:pPr>
      <w:rPr>
        <w:rFonts w:ascii="Times_New_Roman" w:eastAsia="Times_New_Roman" w:hAnsi="Times_New_Roman" w:cs="Times_New_Roman"/>
        <w:color w:val="000000"/>
        <w:sz w:val="2000"/>
      </w:rPr>
    </w:lvl>
    <w:lvl w:ilvl="5">
      <w:start w:val="1"/>
      <w:numFmt w:val="bullet"/>
      <w:lvlText w:val="•"/>
      <w:lvlJc w:val="left"/>
      <w:pPr>
        <w:tabs>
          <w:tab w:val="num" w:pos="4320"/>
        </w:tabs>
        <w:ind w:left="4320" w:hanging="180"/>
      </w:pPr>
      <w:rPr>
        <w:rFonts w:ascii="Times_New_Roman" w:eastAsia="Times_New_Roman" w:hAnsi="Times_New_Roman" w:cs="Times_New_Roman"/>
        <w:color w:val="000000"/>
        <w:sz w:val="2000"/>
      </w:rPr>
    </w:lvl>
    <w:lvl w:ilvl="6">
      <w:start w:val="1"/>
      <w:numFmt w:val="bullet"/>
      <w:lvlText w:val="◦"/>
      <w:lvlJc w:val="left"/>
      <w:pPr>
        <w:tabs>
          <w:tab w:val="num" w:pos="5040"/>
        </w:tabs>
        <w:ind w:left="5040" w:hanging="360"/>
      </w:pPr>
      <w:rPr>
        <w:rFonts w:ascii="Times_New_Roman" w:eastAsia="Times_New_Roman" w:hAnsi="Times_New_Roman" w:cs="Times_New_Roman"/>
        <w:color w:val="000000"/>
        <w:sz w:val="2000"/>
      </w:rPr>
    </w:lvl>
    <w:lvl w:ilvl="7">
      <w:start w:val="1"/>
      <w:numFmt w:val="bullet"/>
      <w:lvlText w:val="▪"/>
      <w:lvlJc w:val="left"/>
      <w:pPr>
        <w:tabs>
          <w:tab w:val="num" w:pos="5760"/>
        </w:tabs>
        <w:ind w:left="5760" w:hanging="360"/>
      </w:pPr>
      <w:rPr>
        <w:rFonts w:ascii="Times_New_Roman" w:eastAsia="Times_New_Roman" w:hAnsi="Times_New_Roman" w:cs="Times_New_Roman"/>
        <w:color w:val="000000"/>
        <w:sz w:val="2000"/>
      </w:rPr>
    </w:lvl>
    <w:lvl w:ilvl="8">
      <w:start w:val="1"/>
      <w:numFmt w:val="bullet"/>
      <w:lvlText w:val="•"/>
      <w:lvlJc w:val="left"/>
      <w:pPr>
        <w:tabs>
          <w:tab w:val="num" w:pos="6480"/>
        </w:tabs>
        <w:ind w:left="6480" w:hanging="180"/>
      </w:pPr>
      <w:rPr>
        <w:rFonts w:ascii="Times_New_Roman" w:eastAsia="Times_New_Roman" w:hAnsi="Times_New_Roman" w:cs="Times_New_Roman"/>
        <w:color w:val="000000"/>
        <w:sz w:val="2000"/>
      </w:rPr>
    </w:lvl>
  </w:abstractNum>
  <w:abstractNum w:abstractNumId="10" w15:restartNumberingAfterBreak="0">
    <w:nsid w:val="0000000B"/>
    <w:multiLevelType w:val="multilevel"/>
    <w:tmpl w:val="0000000B"/>
    <w:styleLink w:val="ul3"/>
    <w:lvl w:ilvl="0">
      <w:start w:val="1"/>
      <w:numFmt w:val="bullet"/>
      <w:lvlText w:val="†"/>
      <w:lvlJc w:val="left"/>
      <w:pPr>
        <w:tabs>
          <w:tab w:val="num" w:pos="720"/>
        </w:tabs>
        <w:ind w:left="720" w:hanging="360"/>
      </w:pPr>
      <w:rPr>
        <w:rFonts w:ascii="Times_New_Roman" w:eastAsia="Times_New_Roman" w:hAnsi="Times_New_Roman" w:cs="Times_New_Roman"/>
        <w:color w:val="000000"/>
        <w:sz w:val="2000"/>
      </w:rPr>
    </w:lvl>
    <w:lvl w:ilvl="1">
      <w:start w:val="1"/>
      <w:numFmt w:val="bullet"/>
      <w:lvlText w:val="†"/>
      <w:lvlJc w:val="left"/>
      <w:pPr>
        <w:tabs>
          <w:tab w:val="num" w:pos="1440"/>
        </w:tabs>
        <w:ind w:left="1440" w:hanging="360"/>
      </w:pPr>
      <w:rPr>
        <w:rFonts w:ascii="Times_New_Roman" w:eastAsia="Times_New_Roman" w:hAnsi="Times_New_Roman" w:cs="Times_New_Roman"/>
        <w:color w:val="000000"/>
        <w:sz w:val="2000"/>
      </w:rPr>
    </w:lvl>
    <w:lvl w:ilvl="2">
      <w:start w:val="1"/>
      <w:numFmt w:val="bullet"/>
      <w:lvlText w:val="†"/>
      <w:lvlJc w:val="left"/>
      <w:pPr>
        <w:tabs>
          <w:tab w:val="num" w:pos="2160"/>
        </w:tabs>
        <w:ind w:left="2160" w:hanging="180"/>
      </w:pPr>
      <w:rPr>
        <w:rFonts w:ascii="Times_New_Roman" w:eastAsia="Times_New_Roman" w:hAnsi="Times_New_Roman" w:cs="Times_New_Roman"/>
        <w:color w:val="000000"/>
        <w:sz w:val="2000"/>
      </w:rPr>
    </w:lvl>
    <w:lvl w:ilvl="3">
      <w:start w:val="1"/>
      <w:numFmt w:val="bullet"/>
      <w:lvlText w:val="†"/>
      <w:lvlJc w:val="left"/>
      <w:pPr>
        <w:tabs>
          <w:tab w:val="num" w:pos="2880"/>
        </w:tabs>
        <w:ind w:left="2880" w:hanging="360"/>
      </w:pPr>
      <w:rPr>
        <w:rFonts w:ascii="Times_New_Roman" w:eastAsia="Times_New_Roman" w:hAnsi="Times_New_Roman" w:cs="Times_New_Roman"/>
        <w:color w:val="000000"/>
        <w:sz w:val="2000"/>
      </w:rPr>
    </w:lvl>
    <w:lvl w:ilvl="4">
      <w:start w:val="1"/>
      <w:numFmt w:val="bullet"/>
      <w:lvlText w:val="†"/>
      <w:lvlJc w:val="left"/>
      <w:pPr>
        <w:tabs>
          <w:tab w:val="num" w:pos="3600"/>
        </w:tabs>
        <w:ind w:left="3600" w:hanging="360"/>
      </w:pPr>
      <w:rPr>
        <w:rFonts w:ascii="Times_New_Roman" w:eastAsia="Times_New_Roman" w:hAnsi="Times_New_Roman" w:cs="Times_New_Roman"/>
        <w:color w:val="000000"/>
        <w:sz w:val="2000"/>
      </w:rPr>
    </w:lvl>
    <w:lvl w:ilvl="5">
      <w:start w:val="1"/>
      <w:numFmt w:val="bullet"/>
      <w:lvlText w:val="†"/>
      <w:lvlJc w:val="left"/>
      <w:pPr>
        <w:tabs>
          <w:tab w:val="num" w:pos="4320"/>
        </w:tabs>
        <w:ind w:left="4320" w:hanging="180"/>
      </w:pPr>
      <w:rPr>
        <w:rFonts w:ascii="Times_New_Roman" w:eastAsia="Times_New_Roman" w:hAnsi="Times_New_Roman" w:cs="Times_New_Roman"/>
        <w:color w:val="000000"/>
        <w:sz w:val="2000"/>
      </w:rPr>
    </w:lvl>
    <w:lvl w:ilvl="6">
      <w:start w:val="1"/>
      <w:numFmt w:val="bullet"/>
      <w:lvlText w:val="†"/>
      <w:lvlJc w:val="left"/>
      <w:pPr>
        <w:tabs>
          <w:tab w:val="num" w:pos="5040"/>
        </w:tabs>
        <w:ind w:left="5040" w:hanging="360"/>
      </w:pPr>
      <w:rPr>
        <w:rFonts w:ascii="Times_New_Roman" w:eastAsia="Times_New_Roman" w:hAnsi="Times_New_Roman" w:cs="Times_New_Roman"/>
        <w:color w:val="000000"/>
        <w:sz w:val="2000"/>
      </w:rPr>
    </w:lvl>
    <w:lvl w:ilvl="7">
      <w:start w:val="1"/>
      <w:numFmt w:val="bullet"/>
      <w:lvlText w:val="†"/>
      <w:lvlJc w:val="left"/>
      <w:pPr>
        <w:tabs>
          <w:tab w:val="num" w:pos="5760"/>
        </w:tabs>
        <w:ind w:left="5760" w:hanging="360"/>
      </w:pPr>
      <w:rPr>
        <w:rFonts w:ascii="Times_New_Roman" w:eastAsia="Times_New_Roman" w:hAnsi="Times_New_Roman" w:cs="Times_New_Roman"/>
        <w:color w:val="000000"/>
        <w:sz w:val="2000"/>
      </w:rPr>
    </w:lvl>
    <w:lvl w:ilvl="8">
      <w:start w:val="1"/>
      <w:numFmt w:val="bullet"/>
      <w:lvlText w:val="†"/>
      <w:lvlJc w:val="left"/>
      <w:pPr>
        <w:tabs>
          <w:tab w:val="num" w:pos="6480"/>
        </w:tabs>
        <w:ind w:left="6480" w:hanging="180"/>
      </w:pPr>
      <w:rPr>
        <w:rFonts w:ascii="Times_New_Roman" w:eastAsia="Times_New_Roman" w:hAnsi="Times_New_Roman" w:cs="Times_New_Roman"/>
        <w:color w:val="000000"/>
        <w:sz w:val="2000"/>
      </w:rPr>
    </w:lvl>
  </w:abstractNum>
  <w:abstractNum w:abstractNumId="11" w15:restartNumberingAfterBreak="0">
    <w:nsid w:val="0000000C"/>
    <w:multiLevelType w:val="multilevel"/>
    <w:tmpl w:val="0000000C"/>
    <w:styleLink w:val="ul4"/>
    <w:lvl w:ilvl="0">
      <w:start w:val="1"/>
      <w:numFmt w:val="bullet"/>
      <w:lvlText w:val="–"/>
      <w:lvlJc w:val="left"/>
      <w:pPr>
        <w:tabs>
          <w:tab w:val="num" w:pos="720"/>
        </w:tabs>
        <w:ind w:left="720" w:hanging="360"/>
      </w:pPr>
      <w:rPr>
        <w:rFonts w:ascii="Times_New_Roman" w:eastAsia="Times_New_Roman" w:hAnsi="Times_New_Roman" w:cs="Times_New_Roman"/>
        <w:color w:val="000000"/>
        <w:sz w:val="2000"/>
      </w:rPr>
    </w:lvl>
    <w:lvl w:ilvl="1">
      <w:start w:val="1"/>
      <w:numFmt w:val="bullet"/>
      <w:lvlText w:val="–"/>
      <w:lvlJc w:val="left"/>
      <w:pPr>
        <w:tabs>
          <w:tab w:val="num" w:pos="1440"/>
        </w:tabs>
        <w:ind w:left="1440" w:hanging="360"/>
      </w:pPr>
      <w:rPr>
        <w:rFonts w:ascii="Times_New_Roman" w:eastAsia="Times_New_Roman" w:hAnsi="Times_New_Roman" w:cs="Times_New_Roman"/>
        <w:color w:val="000000"/>
        <w:sz w:val="2000"/>
      </w:rPr>
    </w:lvl>
    <w:lvl w:ilvl="2">
      <w:start w:val="1"/>
      <w:numFmt w:val="bullet"/>
      <w:lvlText w:val="–"/>
      <w:lvlJc w:val="left"/>
      <w:pPr>
        <w:tabs>
          <w:tab w:val="num" w:pos="2160"/>
        </w:tabs>
        <w:ind w:left="2160" w:hanging="180"/>
      </w:pPr>
      <w:rPr>
        <w:rFonts w:ascii="Times_New_Roman" w:eastAsia="Times_New_Roman" w:hAnsi="Times_New_Roman" w:cs="Times_New_Roman"/>
        <w:color w:val="000000"/>
        <w:sz w:val="2000"/>
      </w:rPr>
    </w:lvl>
    <w:lvl w:ilvl="3">
      <w:start w:val="1"/>
      <w:numFmt w:val="bullet"/>
      <w:lvlText w:val="–"/>
      <w:lvlJc w:val="left"/>
      <w:pPr>
        <w:tabs>
          <w:tab w:val="num" w:pos="2880"/>
        </w:tabs>
        <w:ind w:left="2880" w:hanging="360"/>
      </w:pPr>
      <w:rPr>
        <w:rFonts w:ascii="Times_New_Roman" w:eastAsia="Times_New_Roman" w:hAnsi="Times_New_Roman" w:cs="Times_New_Roman"/>
        <w:color w:val="000000"/>
        <w:sz w:val="2000"/>
      </w:rPr>
    </w:lvl>
    <w:lvl w:ilvl="4">
      <w:start w:val="1"/>
      <w:numFmt w:val="bullet"/>
      <w:lvlText w:val="–"/>
      <w:lvlJc w:val="left"/>
      <w:pPr>
        <w:tabs>
          <w:tab w:val="num" w:pos="3600"/>
        </w:tabs>
        <w:ind w:left="3600" w:hanging="360"/>
      </w:pPr>
      <w:rPr>
        <w:rFonts w:ascii="Times_New_Roman" w:eastAsia="Times_New_Roman" w:hAnsi="Times_New_Roman" w:cs="Times_New_Roman"/>
        <w:color w:val="000000"/>
        <w:sz w:val="2000"/>
      </w:rPr>
    </w:lvl>
    <w:lvl w:ilvl="5">
      <w:start w:val="1"/>
      <w:numFmt w:val="bullet"/>
      <w:lvlText w:val="–"/>
      <w:lvlJc w:val="left"/>
      <w:pPr>
        <w:tabs>
          <w:tab w:val="num" w:pos="4320"/>
        </w:tabs>
        <w:ind w:left="4320" w:hanging="180"/>
      </w:pPr>
      <w:rPr>
        <w:rFonts w:ascii="Times_New_Roman" w:eastAsia="Times_New_Roman" w:hAnsi="Times_New_Roman" w:cs="Times_New_Roman"/>
        <w:color w:val="000000"/>
        <w:sz w:val="2000"/>
      </w:rPr>
    </w:lvl>
    <w:lvl w:ilvl="6">
      <w:start w:val="1"/>
      <w:numFmt w:val="bullet"/>
      <w:lvlText w:val="–"/>
      <w:lvlJc w:val="left"/>
      <w:pPr>
        <w:tabs>
          <w:tab w:val="num" w:pos="5040"/>
        </w:tabs>
        <w:ind w:left="5040" w:hanging="360"/>
      </w:pPr>
      <w:rPr>
        <w:rFonts w:ascii="Times_New_Roman" w:eastAsia="Times_New_Roman" w:hAnsi="Times_New_Roman" w:cs="Times_New_Roman"/>
        <w:color w:val="000000"/>
        <w:sz w:val="2000"/>
      </w:rPr>
    </w:lvl>
    <w:lvl w:ilvl="7">
      <w:start w:val="1"/>
      <w:numFmt w:val="bullet"/>
      <w:lvlText w:val="–"/>
      <w:lvlJc w:val="left"/>
      <w:pPr>
        <w:tabs>
          <w:tab w:val="num" w:pos="5760"/>
        </w:tabs>
        <w:ind w:left="5760" w:hanging="360"/>
      </w:pPr>
      <w:rPr>
        <w:rFonts w:ascii="Times_New_Roman" w:eastAsia="Times_New_Roman" w:hAnsi="Times_New_Roman" w:cs="Times_New_Roman"/>
        <w:color w:val="000000"/>
        <w:sz w:val="2000"/>
      </w:rPr>
    </w:lvl>
    <w:lvl w:ilvl="8">
      <w:start w:val="1"/>
      <w:numFmt w:val="bullet"/>
      <w:lvlText w:val="–"/>
      <w:lvlJc w:val="left"/>
      <w:pPr>
        <w:tabs>
          <w:tab w:val="num" w:pos="6480"/>
        </w:tabs>
        <w:ind w:left="6480" w:hanging="180"/>
      </w:pPr>
      <w:rPr>
        <w:rFonts w:ascii="Times_New_Roman" w:eastAsia="Times_New_Roman" w:hAnsi="Times_New_Roman" w:cs="Times_New_Roman"/>
        <w:color w:val="000000"/>
        <w:sz w:val="2000"/>
      </w:rPr>
    </w:lvl>
  </w:abstractNum>
  <w:abstractNum w:abstractNumId="12" w15:restartNumberingAfterBreak="0">
    <w:nsid w:val="0000000D"/>
    <w:multiLevelType w:val="multilevel"/>
    <w:tmpl w:val="0000000D"/>
    <w:styleLink w:val="ul5"/>
    <w:lvl w:ilvl="0">
      <w:start w:val="1"/>
      <w:numFmt w:val="bullet"/>
      <w:lvlText w:val="■"/>
      <w:lvlJc w:val="left"/>
      <w:pPr>
        <w:tabs>
          <w:tab w:val="num" w:pos="720"/>
        </w:tabs>
        <w:ind w:left="720" w:hanging="360"/>
      </w:pPr>
      <w:rPr>
        <w:rFonts w:ascii="Times_New_Roman" w:eastAsia="Times_New_Roman" w:hAnsi="Times_New_Roman" w:cs="Times_New_Roman"/>
        <w:color w:val="000000"/>
        <w:sz w:val="2000"/>
      </w:rPr>
    </w:lvl>
    <w:lvl w:ilvl="1">
      <w:start w:val="1"/>
      <w:numFmt w:val="bullet"/>
      <w:lvlText w:val="■"/>
      <w:lvlJc w:val="left"/>
      <w:pPr>
        <w:tabs>
          <w:tab w:val="num" w:pos="1440"/>
        </w:tabs>
        <w:ind w:left="1440" w:hanging="360"/>
      </w:pPr>
      <w:rPr>
        <w:rFonts w:ascii="Times_New_Roman" w:eastAsia="Times_New_Roman" w:hAnsi="Times_New_Roman" w:cs="Times_New_Roman"/>
        <w:color w:val="000000"/>
        <w:sz w:val="2000"/>
      </w:rPr>
    </w:lvl>
    <w:lvl w:ilvl="2">
      <w:start w:val="1"/>
      <w:numFmt w:val="bullet"/>
      <w:lvlText w:val="■"/>
      <w:lvlJc w:val="left"/>
      <w:pPr>
        <w:tabs>
          <w:tab w:val="num" w:pos="2160"/>
        </w:tabs>
        <w:ind w:left="2160" w:hanging="180"/>
      </w:pPr>
      <w:rPr>
        <w:rFonts w:ascii="Times_New_Roman" w:eastAsia="Times_New_Roman" w:hAnsi="Times_New_Roman" w:cs="Times_New_Roman"/>
        <w:color w:val="000000"/>
        <w:sz w:val="2000"/>
      </w:rPr>
    </w:lvl>
    <w:lvl w:ilvl="3">
      <w:start w:val="1"/>
      <w:numFmt w:val="bullet"/>
      <w:lvlText w:val="■"/>
      <w:lvlJc w:val="left"/>
      <w:pPr>
        <w:tabs>
          <w:tab w:val="num" w:pos="2880"/>
        </w:tabs>
        <w:ind w:left="2880" w:hanging="360"/>
      </w:pPr>
      <w:rPr>
        <w:rFonts w:ascii="Times_New_Roman" w:eastAsia="Times_New_Roman" w:hAnsi="Times_New_Roman" w:cs="Times_New_Roman"/>
        <w:color w:val="000000"/>
        <w:sz w:val="2000"/>
      </w:rPr>
    </w:lvl>
    <w:lvl w:ilvl="4">
      <w:start w:val="1"/>
      <w:numFmt w:val="bullet"/>
      <w:lvlText w:val="■"/>
      <w:lvlJc w:val="left"/>
      <w:pPr>
        <w:tabs>
          <w:tab w:val="num" w:pos="3600"/>
        </w:tabs>
        <w:ind w:left="3600" w:hanging="360"/>
      </w:pPr>
      <w:rPr>
        <w:rFonts w:ascii="Times_New_Roman" w:eastAsia="Times_New_Roman" w:hAnsi="Times_New_Roman" w:cs="Times_New_Roman"/>
        <w:color w:val="000000"/>
        <w:sz w:val="2000"/>
      </w:rPr>
    </w:lvl>
    <w:lvl w:ilvl="5">
      <w:start w:val="1"/>
      <w:numFmt w:val="bullet"/>
      <w:lvlText w:val="■"/>
      <w:lvlJc w:val="left"/>
      <w:pPr>
        <w:tabs>
          <w:tab w:val="num" w:pos="4320"/>
        </w:tabs>
        <w:ind w:left="4320" w:hanging="180"/>
      </w:pPr>
      <w:rPr>
        <w:rFonts w:ascii="Times_New_Roman" w:eastAsia="Times_New_Roman" w:hAnsi="Times_New_Roman" w:cs="Times_New_Roman"/>
        <w:color w:val="000000"/>
        <w:sz w:val="2000"/>
      </w:rPr>
    </w:lvl>
    <w:lvl w:ilvl="6">
      <w:start w:val="1"/>
      <w:numFmt w:val="bullet"/>
      <w:lvlText w:val="■"/>
      <w:lvlJc w:val="left"/>
      <w:pPr>
        <w:tabs>
          <w:tab w:val="num" w:pos="5040"/>
        </w:tabs>
        <w:ind w:left="5040" w:hanging="360"/>
      </w:pPr>
      <w:rPr>
        <w:rFonts w:ascii="Times_New_Roman" w:eastAsia="Times_New_Roman" w:hAnsi="Times_New_Roman" w:cs="Times_New_Roman"/>
        <w:color w:val="000000"/>
        <w:sz w:val="2000"/>
      </w:rPr>
    </w:lvl>
    <w:lvl w:ilvl="7">
      <w:start w:val="1"/>
      <w:numFmt w:val="bullet"/>
      <w:lvlText w:val="■"/>
      <w:lvlJc w:val="left"/>
      <w:pPr>
        <w:tabs>
          <w:tab w:val="num" w:pos="5760"/>
        </w:tabs>
        <w:ind w:left="5760" w:hanging="360"/>
      </w:pPr>
      <w:rPr>
        <w:rFonts w:ascii="Times_New_Roman" w:eastAsia="Times_New_Roman" w:hAnsi="Times_New_Roman" w:cs="Times_New_Roman"/>
        <w:color w:val="000000"/>
        <w:sz w:val="2000"/>
      </w:rPr>
    </w:lvl>
    <w:lvl w:ilvl="8">
      <w:start w:val="1"/>
      <w:numFmt w:val="bullet"/>
      <w:lvlText w:val="■"/>
      <w:lvlJc w:val="left"/>
      <w:pPr>
        <w:tabs>
          <w:tab w:val="num" w:pos="6480"/>
        </w:tabs>
        <w:ind w:left="6480" w:hanging="180"/>
      </w:pPr>
      <w:rPr>
        <w:rFonts w:ascii="Times_New_Roman" w:eastAsia="Times_New_Roman" w:hAnsi="Times_New_Roman" w:cs="Times_New_Roman"/>
        <w:color w:val="000000"/>
        <w:sz w:val="2000"/>
      </w:rPr>
    </w:lvl>
  </w:abstractNum>
  <w:abstractNum w:abstractNumId="13" w15:restartNumberingAfterBreak="0">
    <w:nsid w:val="0000000E"/>
    <w:multiLevelType w:val="multilevel"/>
    <w:tmpl w:val="0000000E"/>
    <w:styleLink w:val="ul6"/>
    <w:lvl w:ilvl="0">
      <w:start w:val="1"/>
      <w:numFmt w:val="bullet"/>
      <w:lvlText w:val="•"/>
      <w:lvlJc w:val="left"/>
      <w:pPr>
        <w:tabs>
          <w:tab w:val="num" w:pos="720"/>
        </w:tabs>
        <w:ind w:left="720" w:hanging="360"/>
      </w:pPr>
      <w:rPr>
        <w:rFonts w:ascii="Times_New_Roman" w:eastAsia="Times_New_Roman" w:hAnsi="Times_New_Roman" w:cs="Times_New_Roman"/>
        <w:color w:val="000000"/>
        <w:sz w:val="2000"/>
      </w:rPr>
    </w:lvl>
    <w:lvl w:ilvl="1">
      <w:start w:val="1"/>
      <w:numFmt w:val="bullet"/>
      <w:lvlText w:val="◦"/>
      <w:lvlJc w:val="left"/>
      <w:pPr>
        <w:tabs>
          <w:tab w:val="num" w:pos="1440"/>
        </w:tabs>
        <w:ind w:left="1440" w:hanging="360"/>
      </w:pPr>
      <w:rPr>
        <w:rFonts w:ascii="Times_New_Roman" w:eastAsia="Times_New_Roman" w:hAnsi="Times_New_Roman" w:cs="Times_New_Roman"/>
        <w:color w:val="000000"/>
        <w:sz w:val="2000"/>
      </w:rPr>
    </w:lvl>
    <w:lvl w:ilvl="2">
      <w:start w:val="1"/>
      <w:numFmt w:val="bullet"/>
      <w:lvlText w:val="▪"/>
      <w:lvlJc w:val="left"/>
      <w:pPr>
        <w:tabs>
          <w:tab w:val="num" w:pos="2160"/>
        </w:tabs>
        <w:ind w:left="2160" w:hanging="180"/>
      </w:pPr>
      <w:rPr>
        <w:rFonts w:ascii="Times_New_Roman" w:eastAsia="Times_New_Roman" w:hAnsi="Times_New_Roman" w:cs="Times_New_Roman"/>
        <w:color w:val="000000"/>
        <w:sz w:val="2000"/>
      </w:rPr>
    </w:lvl>
    <w:lvl w:ilvl="3">
      <w:start w:val="1"/>
      <w:numFmt w:val="bullet"/>
      <w:lvlText w:val="•"/>
      <w:lvlJc w:val="left"/>
      <w:pPr>
        <w:tabs>
          <w:tab w:val="num" w:pos="2880"/>
        </w:tabs>
        <w:ind w:left="2880" w:hanging="360"/>
      </w:pPr>
      <w:rPr>
        <w:rFonts w:ascii="Times_New_Roman" w:eastAsia="Times_New_Roman" w:hAnsi="Times_New_Roman" w:cs="Times_New_Roman"/>
        <w:color w:val="000000"/>
        <w:sz w:val="2000"/>
      </w:rPr>
    </w:lvl>
    <w:lvl w:ilvl="4">
      <w:start w:val="1"/>
      <w:numFmt w:val="bullet"/>
      <w:lvlText w:val="◦"/>
      <w:lvlJc w:val="left"/>
      <w:pPr>
        <w:tabs>
          <w:tab w:val="num" w:pos="3600"/>
        </w:tabs>
        <w:ind w:left="3600" w:hanging="360"/>
      </w:pPr>
      <w:rPr>
        <w:rFonts w:ascii="Times_New_Roman" w:eastAsia="Times_New_Roman" w:hAnsi="Times_New_Roman" w:cs="Times_New_Roman"/>
        <w:color w:val="000000"/>
        <w:sz w:val="2000"/>
      </w:rPr>
    </w:lvl>
    <w:lvl w:ilvl="5">
      <w:start w:val="1"/>
      <w:numFmt w:val="bullet"/>
      <w:lvlText w:val="▪"/>
      <w:lvlJc w:val="left"/>
      <w:pPr>
        <w:tabs>
          <w:tab w:val="num" w:pos="4320"/>
        </w:tabs>
        <w:ind w:left="4320" w:hanging="180"/>
      </w:pPr>
      <w:rPr>
        <w:rFonts w:ascii="Times_New_Roman" w:eastAsia="Times_New_Roman" w:hAnsi="Times_New_Roman" w:cs="Times_New_Roman"/>
        <w:color w:val="000000"/>
        <w:sz w:val="2000"/>
      </w:rPr>
    </w:lvl>
    <w:lvl w:ilvl="6">
      <w:start w:val="1"/>
      <w:numFmt w:val="bullet"/>
      <w:lvlText w:val="•"/>
      <w:lvlJc w:val="left"/>
      <w:pPr>
        <w:tabs>
          <w:tab w:val="num" w:pos="5040"/>
        </w:tabs>
        <w:ind w:left="5040" w:hanging="360"/>
      </w:pPr>
      <w:rPr>
        <w:rFonts w:ascii="Times_New_Roman" w:eastAsia="Times_New_Roman" w:hAnsi="Times_New_Roman" w:cs="Times_New_Roman"/>
        <w:color w:val="000000"/>
        <w:sz w:val="2000"/>
      </w:rPr>
    </w:lvl>
    <w:lvl w:ilvl="7">
      <w:start w:val="1"/>
      <w:numFmt w:val="bullet"/>
      <w:lvlText w:val="◦"/>
      <w:lvlJc w:val="left"/>
      <w:pPr>
        <w:tabs>
          <w:tab w:val="num" w:pos="5760"/>
        </w:tabs>
        <w:ind w:left="5760" w:hanging="360"/>
      </w:pPr>
      <w:rPr>
        <w:rFonts w:ascii="Times_New_Roman" w:eastAsia="Times_New_Roman" w:hAnsi="Times_New_Roman" w:cs="Times_New_Roman"/>
        <w:color w:val="000000"/>
        <w:sz w:val="2000"/>
      </w:rPr>
    </w:lvl>
    <w:lvl w:ilvl="8">
      <w:start w:val="1"/>
      <w:numFmt w:val="bullet"/>
      <w:lvlText w:val="▪"/>
      <w:lvlJc w:val="left"/>
      <w:pPr>
        <w:tabs>
          <w:tab w:val="num" w:pos="6480"/>
        </w:tabs>
        <w:ind w:left="6480" w:hanging="180"/>
      </w:pPr>
      <w:rPr>
        <w:rFonts w:ascii="Times_New_Roman" w:eastAsia="Times_New_Roman" w:hAnsi="Times_New_Roman" w:cs="Times_New_Roman"/>
        <w:color w:val="000000"/>
        <w:sz w:val="2000"/>
      </w:rPr>
    </w:lvl>
  </w:abstractNum>
  <w:abstractNum w:abstractNumId="14" w15:restartNumberingAfterBreak="0">
    <w:nsid w:val="0000000F"/>
    <w:multiLevelType w:val="multilevel"/>
    <w:tmpl w:val="0000000F"/>
    <w:styleLink w:val="ul7"/>
    <w:lvl w:ilvl="0">
      <w:start w:val="1"/>
      <w:numFmt w:val="bullet"/>
      <w:lvlText w:val="▪"/>
      <w:lvlJc w:val="left"/>
      <w:pPr>
        <w:tabs>
          <w:tab w:val="num" w:pos="720"/>
        </w:tabs>
        <w:ind w:left="720" w:hanging="360"/>
      </w:pPr>
      <w:rPr>
        <w:rFonts w:ascii="Times_New_Roman" w:eastAsia="Times_New_Roman" w:hAnsi="Times_New_Roman" w:cs="Times_New_Roman"/>
        <w:color w:val="000000"/>
        <w:sz w:val="2000"/>
      </w:rPr>
    </w:lvl>
    <w:lvl w:ilvl="1">
      <w:start w:val="1"/>
      <w:numFmt w:val="bullet"/>
      <w:lvlText w:val="•"/>
      <w:lvlJc w:val="left"/>
      <w:pPr>
        <w:tabs>
          <w:tab w:val="num" w:pos="1440"/>
        </w:tabs>
        <w:ind w:left="1440" w:hanging="360"/>
      </w:pPr>
      <w:rPr>
        <w:rFonts w:ascii="Times_New_Roman" w:eastAsia="Times_New_Roman" w:hAnsi="Times_New_Roman" w:cs="Times_New_Roman"/>
        <w:color w:val="000000"/>
        <w:sz w:val="2000"/>
      </w:rPr>
    </w:lvl>
    <w:lvl w:ilvl="2">
      <w:start w:val="1"/>
      <w:numFmt w:val="bullet"/>
      <w:lvlText w:val="◦"/>
      <w:lvlJc w:val="left"/>
      <w:pPr>
        <w:tabs>
          <w:tab w:val="num" w:pos="2160"/>
        </w:tabs>
        <w:ind w:left="2160" w:hanging="180"/>
      </w:pPr>
      <w:rPr>
        <w:rFonts w:ascii="Times_New_Roman" w:eastAsia="Times_New_Roman" w:hAnsi="Times_New_Roman" w:cs="Times_New_Roman"/>
        <w:color w:val="000000"/>
        <w:sz w:val="2000"/>
      </w:rPr>
    </w:lvl>
    <w:lvl w:ilvl="3">
      <w:start w:val="1"/>
      <w:numFmt w:val="bullet"/>
      <w:lvlText w:val="▪"/>
      <w:lvlJc w:val="left"/>
      <w:pPr>
        <w:tabs>
          <w:tab w:val="num" w:pos="2880"/>
        </w:tabs>
        <w:ind w:left="2880" w:hanging="360"/>
      </w:pPr>
      <w:rPr>
        <w:rFonts w:ascii="Times_New_Roman" w:eastAsia="Times_New_Roman" w:hAnsi="Times_New_Roman" w:cs="Times_New_Roman"/>
        <w:color w:val="000000"/>
        <w:sz w:val="2000"/>
      </w:rPr>
    </w:lvl>
    <w:lvl w:ilvl="4">
      <w:start w:val="1"/>
      <w:numFmt w:val="bullet"/>
      <w:lvlText w:val="•"/>
      <w:lvlJc w:val="left"/>
      <w:pPr>
        <w:tabs>
          <w:tab w:val="num" w:pos="3600"/>
        </w:tabs>
        <w:ind w:left="3600" w:hanging="360"/>
      </w:pPr>
      <w:rPr>
        <w:rFonts w:ascii="Times_New_Roman" w:eastAsia="Times_New_Roman" w:hAnsi="Times_New_Roman" w:cs="Times_New_Roman"/>
        <w:color w:val="000000"/>
        <w:sz w:val="2000"/>
      </w:rPr>
    </w:lvl>
    <w:lvl w:ilvl="5">
      <w:start w:val="1"/>
      <w:numFmt w:val="bullet"/>
      <w:lvlText w:val="◦"/>
      <w:lvlJc w:val="left"/>
      <w:pPr>
        <w:tabs>
          <w:tab w:val="num" w:pos="4320"/>
        </w:tabs>
        <w:ind w:left="4320" w:hanging="180"/>
      </w:pPr>
      <w:rPr>
        <w:rFonts w:ascii="Times_New_Roman" w:eastAsia="Times_New_Roman" w:hAnsi="Times_New_Roman" w:cs="Times_New_Roman"/>
        <w:color w:val="000000"/>
        <w:sz w:val="2000"/>
      </w:rPr>
    </w:lvl>
    <w:lvl w:ilvl="6">
      <w:start w:val="1"/>
      <w:numFmt w:val="bullet"/>
      <w:lvlText w:val="▪"/>
      <w:lvlJc w:val="left"/>
      <w:pPr>
        <w:tabs>
          <w:tab w:val="num" w:pos="5040"/>
        </w:tabs>
        <w:ind w:left="5040" w:hanging="360"/>
      </w:pPr>
      <w:rPr>
        <w:rFonts w:ascii="Times_New_Roman" w:eastAsia="Times_New_Roman" w:hAnsi="Times_New_Roman" w:cs="Times_New_Roman"/>
        <w:color w:val="000000"/>
        <w:sz w:val="2000"/>
      </w:rPr>
    </w:lvl>
    <w:lvl w:ilvl="7">
      <w:start w:val="1"/>
      <w:numFmt w:val="bullet"/>
      <w:lvlText w:val="•"/>
      <w:lvlJc w:val="left"/>
      <w:pPr>
        <w:tabs>
          <w:tab w:val="num" w:pos="5760"/>
        </w:tabs>
        <w:ind w:left="5760" w:hanging="360"/>
      </w:pPr>
      <w:rPr>
        <w:rFonts w:ascii="Times_New_Roman" w:eastAsia="Times_New_Roman" w:hAnsi="Times_New_Roman" w:cs="Times_New_Roman"/>
        <w:color w:val="000000"/>
        <w:sz w:val="2000"/>
      </w:rPr>
    </w:lvl>
    <w:lvl w:ilvl="8">
      <w:start w:val="1"/>
      <w:numFmt w:val="bullet"/>
      <w:lvlText w:val="◦"/>
      <w:lvlJc w:val="left"/>
      <w:pPr>
        <w:tabs>
          <w:tab w:val="num" w:pos="6480"/>
        </w:tabs>
        <w:ind w:left="6480" w:hanging="180"/>
      </w:pPr>
      <w:rPr>
        <w:rFonts w:ascii="Times_New_Roman" w:eastAsia="Times_New_Roman" w:hAnsi="Times_New_Roman" w:cs="Times_New_Roman"/>
        <w:color w:val="000000"/>
        <w:sz w:val="2000"/>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APWAFVersion" w:val="5.0"/>
  </w:docVars>
  <w:rsids>
    <w:rsidRoot w:val="00A77B3E"/>
    <w:rsid w:val="0013440A"/>
    <w:rsid w:val="00186637"/>
    <w:rsid w:val="00200B60"/>
    <w:rsid w:val="0025444B"/>
    <w:rsid w:val="002B0D6E"/>
    <w:rsid w:val="00402A15"/>
    <w:rsid w:val="006C37CC"/>
    <w:rsid w:val="007A1EBE"/>
    <w:rsid w:val="00804304"/>
    <w:rsid w:val="008C356B"/>
    <w:rsid w:val="00935B36"/>
    <w:rsid w:val="00A77B3E"/>
    <w:rsid w:val="00B054E0"/>
    <w:rsid w:val="00B2500E"/>
    <w:rsid w:val="00CA2A55"/>
    <w:rsid w:val="00D843D3"/>
    <w:rsid w:val="00DE6F0B"/>
    <w:rsid w:val="00FA64F6"/>
    <w:rsid w:val="00FC7B50"/>
    <w:rsid w:val="00FE26F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3CD7D8E"/>
  <w15:docId w15:val="{07A28681-2787-47CC-8848-121F994764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kern w:val="16"/>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bulletround">
    <w:name w:val="bullet.round"/>
    <w:pPr>
      <w:numPr>
        <w:numId w:val="1"/>
      </w:numPr>
    </w:pPr>
  </w:style>
  <w:style w:type="numbering" w:customStyle="1" w:styleId="listarabic">
    <w:name w:val="list.arabic"/>
    <w:pPr>
      <w:numPr>
        <w:numId w:val="2"/>
      </w:numPr>
    </w:pPr>
  </w:style>
  <w:style w:type="numbering" w:customStyle="1" w:styleId="ol1">
    <w:name w:val="ol1"/>
    <w:pPr>
      <w:numPr>
        <w:numId w:val="3"/>
      </w:numPr>
    </w:pPr>
  </w:style>
  <w:style w:type="numbering" w:customStyle="1" w:styleId="ol2">
    <w:name w:val="ol2"/>
    <w:pPr>
      <w:numPr>
        <w:numId w:val="4"/>
      </w:numPr>
    </w:pPr>
  </w:style>
  <w:style w:type="numbering" w:customStyle="1" w:styleId="ol3">
    <w:name w:val="ol3"/>
    <w:pPr>
      <w:numPr>
        <w:numId w:val="5"/>
      </w:numPr>
    </w:pPr>
  </w:style>
  <w:style w:type="numbering" w:customStyle="1" w:styleId="ol4">
    <w:name w:val="ol4"/>
    <w:pPr>
      <w:numPr>
        <w:numId w:val="6"/>
      </w:numPr>
    </w:pPr>
  </w:style>
  <w:style w:type="numbering" w:customStyle="1" w:styleId="ol5">
    <w:name w:val="ol5"/>
    <w:pPr>
      <w:numPr>
        <w:numId w:val="7"/>
      </w:numPr>
    </w:pPr>
  </w:style>
  <w:style w:type="numbering" w:customStyle="1" w:styleId="outlinearabic">
    <w:name w:val="outline.arabic"/>
    <w:pPr>
      <w:numPr>
        <w:numId w:val="8"/>
      </w:numPr>
    </w:pPr>
  </w:style>
  <w:style w:type="numbering" w:customStyle="1" w:styleId="ul1">
    <w:name w:val="ul1"/>
    <w:pPr>
      <w:numPr>
        <w:numId w:val="9"/>
      </w:numPr>
    </w:pPr>
  </w:style>
  <w:style w:type="numbering" w:customStyle="1" w:styleId="ul2">
    <w:name w:val="ul2"/>
    <w:pPr>
      <w:numPr>
        <w:numId w:val="10"/>
      </w:numPr>
    </w:pPr>
  </w:style>
  <w:style w:type="numbering" w:customStyle="1" w:styleId="ul3">
    <w:name w:val="ul3"/>
    <w:pPr>
      <w:numPr>
        <w:numId w:val="11"/>
      </w:numPr>
    </w:pPr>
  </w:style>
  <w:style w:type="numbering" w:customStyle="1" w:styleId="ul4">
    <w:name w:val="ul4"/>
    <w:pPr>
      <w:numPr>
        <w:numId w:val="12"/>
      </w:numPr>
    </w:pPr>
  </w:style>
  <w:style w:type="numbering" w:customStyle="1" w:styleId="ul5">
    <w:name w:val="ul5"/>
    <w:pPr>
      <w:numPr>
        <w:numId w:val="13"/>
      </w:numPr>
    </w:pPr>
  </w:style>
  <w:style w:type="numbering" w:customStyle="1" w:styleId="ul6">
    <w:name w:val="ul6"/>
    <w:pPr>
      <w:numPr>
        <w:numId w:val="14"/>
      </w:numPr>
    </w:pPr>
  </w:style>
  <w:style w:type="numbering" w:customStyle="1" w:styleId="ul7">
    <w:name w:val="ul7"/>
    <w:pPr>
      <w:numPr>
        <w:numId w:val="15"/>
      </w:numPr>
    </w:pPr>
  </w:style>
  <w:style w:type="paragraph" w:styleId="Revision">
    <w:name w:val="Revision"/>
    <w:hidden/>
    <w:uiPriority w:val="99"/>
    <w:semiHidden/>
    <w:rsid w:val="00200B60"/>
    <w:rPr>
      <w:sz w:val="24"/>
      <w:szCs w:val="24"/>
    </w:rPr>
  </w:style>
  <w:style w:type="character" w:styleId="CommentReference">
    <w:name w:val="annotation reference"/>
    <w:basedOn w:val="DefaultParagraphFont"/>
    <w:semiHidden/>
    <w:unhideWhenUsed/>
    <w:rsid w:val="00200B60"/>
    <w:rPr>
      <w:sz w:val="16"/>
      <w:szCs w:val="16"/>
    </w:rPr>
  </w:style>
  <w:style w:type="paragraph" w:styleId="CommentText">
    <w:name w:val="annotation text"/>
    <w:basedOn w:val="Normal"/>
    <w:link w:val="CommentTextChar"/>
    <w:unhideWhenUsed/>
    <w:rsid w:val="00200B60"/>
    <w:rPr>
      <w:sz w:val="20"/>
      <w:szCs w:val="20"/>
    </w:rPr>
  </w:style>
  <w:style w:type="character" w:customStyle="1" w:styleId="CommentTextChar">
    <w:name w:val="Comment Text Char"/>
    <w:basedOn w:val="DefaultParagraphFont"/>
    <w:link w:val="CommentText"/>
    <w:rsid w:val="00200B60"/>
  </w:style>
  <w:style w:type="paragraph" w:styleId="CommentSubject">
    <w:name w:val="annotation subject"/>
    <w:basedOn w:val="CommentText"/>
    <w:next w:val="CommentText"/>
    <w:link w:val="CommentSubjectChar"/>
    <w:semiHidden/>
    <w:unhideWhenUsed/>
    <w:rsid w:val="00200B60"/>
    <w:rPr>
      <w:b/>
      <w:bCs/>
    </w:rPr>
  </w:style>
  <w:style w:type="character" w:customStyle="1" w:styleId="CommentSubjectChar">
    <w:name w:val="Comment Subject Char"/>
    <w:basedOn w:val="CommentTextChar"/>
    <w:link w:val="CommentSubject"/>
    <w:semiHidden/>
    <w:rsid w:val="00200B6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598</Words>
  <Characters>3409</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EX.99.1 (NASDAQ Delinquency Letter) - November 27, 2024</vt:lpstr>
    </vt:vector>
  </TitlesOfParts>
  <Company/>
  <LinksUpToDate>false</LinksUpToDate>
  <CharactersWithSpaces>4000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EX.99.1 (NASDAQ Delinquency Letter) - November 27, 2024</dc:title>
  <dc:creator>Colton West</dc:creator>
  <cp:lastModifiedBy>ICR</cp:lastModifiedBy>
  <cp:revision>2</cp:revision>
  <dcterms:created xsi:type="dcterms:W3CDTF">2025-01-29T22:11:00Z</dcterms:created>
  <dcterms:modified xsi:type="dcterms:W3CDTF">2025-01-29T22:11:00Z</dcterms:modified>
</cp:coreProperties>
</file>