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3B4EF4" w14:textId="5F41B9F1" w:rsidR="00F971E2" w:rsidRDefault="00FF150F" w:rsidP="00F971E2">
      <w:pPr>
        <w:spacing w:after="0" w:line="240" w:lineRule="auto"/>
        <w:jc w:val="center"/>
        <w:rPr>
          <w:rFonts w:cstheme="minorHAnsi"/>
          <w:b/>
        </w:rPr>
      </w:pPr>
      <w:r>
        <w:rPr>
          <w:rFonts w:cstheme="minorHAnsi"/>
          <w:b/>
          <w:noProof/>
        </w:rPr>
        <w:drawing>
          <wp:inline distT="0" distB="0" distL="0" distR="0" wp14:anchorId="778747E3" wp14:editId="7DDC6234">
            <wp:extent cx="2516429" cy="49322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video game&#10;&#10;Description automatically generated with low confidence"/>
                    <pic:cNvPicPr/>
                  </pic:nvPicPr>
                  <pic:blipFill>
                    <a:blip r:embed="rId8"/>
                    <a:stretch>
                      <a:fillRect/>
                    </a:stretch>
                  </pic:blipFill>
                  <pic:spPr>
                    <a:xfrm>
                      <a:off x="0" y="0"/>
                      <a:ext cx="2556666" cy="501106"/>
                    </a:xfrm>
                    <a:prstGeom prst="rect">
                      <a:avLst/>
                    </a:prstGeom>
                  </pic:spPr>
                </pic:pic>
              </a:graphicData>
            </a:graphic>
          </wp:inline>
        </w:drawing>
      </w:r>
    </w:p>
    <w:p w14:paraId="0BACBB20" w14:textId="77777777" w:rsidR="00F971E2" w:rsidRDefault="00F971E2" w:rsidP="00F971E2">
      <w:pPr>
        <w:spacing w:after="0" w:line="240" w:lineRule="auto"/>
        <w:jc w:val="center"/>
        <w:rPr>
          <w:rFonts w:cstheme="minorHAnsi"/>
          <w:b/>
        </w:rPr>
      </w:pPr>
    </w:p>
    <w:p w14:paraId="2CAA6F3B" w14:textId="53410F36" w:rsidR="00F971E2" w:rsidRDefault="00C14C09" w:rsidP="00F971E2">
      <w:pPr>
        <w:spacing w:after="0" w:line="240" w:lineRule="auto"/>
        <w:jc w:val="center"/>
        <w:rPr>
          <w:rFonts w:cstheme="minorHAnsi"/>
          <w:b/>
          <w:bCs/>
          <w:sz w:val="24"/>
          <w:szCs w:val="24"/>
        </w:rPr>
      </w:pPr>
      <w:r w:rsidRPr="00C14C09">
        <w:rPr>
          <w:rFonts w:cstheme="minorHAnsi"/>
          <w:b/>
          <w:bCs/>
          <w:sz w:val="24"/>
          <w:szCs w:val="24"/>
        </w:rPr>
        <w:t xml:space="preserve">Safe </w:t>
      </w:r>
      <w:r w:rsidR="00EF7D66">
        <w:rPr>
          <w:rFonts w:cstheme="minorHAnsi"/>
          <w:b/>
          <w:bCs/>
          <w:sz w:val="24"/>
          <w:szCs w:val="24"/>
        </w:rPr>
        <w:t xml:space="preserve">Pro Group Inc. </w:t>
      </w:r>
      <w:r w:rsidR="00C54251">
        <w:rPr>
          <w:rFonts w:cstheme="minorHAnsi"/>
          <w:b/>
          <w:bCs/>
          <w:sz w:val="24"/>
          <w:szCs w:val="24"/>
        </w:rPr>
        <w:t xml:space="preserve">Completes </w:t>
      </w:r>
      <w:r w:rsidR="00EF7D66">
        <w:rPr>
          <w:rFonts w:cstheme="minorHAnsi"/>
          <w:b/>
          <w:bCs/>
          <w:sz w:val="24"/>
          <w:szCs w:val="24"/>
        </w:rPr>
        <w:t>Initial Public Offering</w:t>
      </w:r>
    </w:p>
    <w:p w14:paraId="5D3A0EAF" w14:textId="77777777" w:rsidR="00F971E2" w:rsidRDefault="00F971E2" w:rsidP="00EF7D66">
      <w:pPr>
        <w:spacing w:after="0" w:line="240" w:lineRule="auto"/>
        <w:rPr>
          <w:rFonts w:cstheme="minorHAnsi"/>
          <w:b/>
          <w:bCs/>
          <w:color w:val="000000" w:themeColor="text1"/>
        </w:rPr>
      </w:pPr>
    </w:p>
    <w:p w14:paraId="3897B1F2" w14:textId="382116E4" w:rsidR="00C54251" w:rsidRPr="003D2E48" w:rsidRDefault="00FF150F" w:rsidP="00EF7D66">
      <w:pPr>
        <w:spacing w:after="0" w:line="240" w:lineRule="auto"/>
        <w:jc w:val="both"/>
        <w:textAlignment w:val="baseline"/>
        <w:rPr>
          <w:rFonts w:cstheme="minorHAnsi"/>
        </w:rPr>
      </w:pPr>
      <w:r>
        <w:rPr>
          <w:rFonts w:cstheme="minorHAnsi"/>
          <w:b/>
          <w:bCs/>
          <w:color w:val="000000" w:themeColor="text1"/>
        </w:rPr>
        <w:t>AVENTURA</w:t>
      </w:r>
      <w:r w:rsidR="00F971E2" w:rsidRPr="00811B75">
        <w:rPr>
          <w:rFonts w:cstheme="minorHAnsi"/>
          <w:b/>
          <w:bCs/>
          <w:color w:val="000000" w:themeColor="text1"/>
        </w:rPr>
        <w:t xml:space="preserve">, </w:t>
      </w:r>
      <w:r>
        <w:rPr>
          <w:rFonts w:cstheme="minorHAnsi"/>
          <w:b/>
          <w:bCs/>
          <w:color w:val="000000" w:themeColor="text1"/>
        </w:rPr>
        <w:t>FL</w:t>
      </w:r>
      <w:r w:rsidR="00F971E2" w:rsidRPr="00811B75">
        <w:rPr>
          <w:rFonts w:cstheme="minorHAnsi"/>
          <w:b/>
          <w:bCs/>
          <w:color w:val="000000" w:themeColor="text1"/>
        </w:rPr>
        <w:t xml:space="preserve"> – </w:t>
      </w:r>
      <w:r w:rsidR="004A2B62" w:rsidRPr="002B7A55">
        <w:rPr>
          <w:rFonts w:cstheme="minorHAnsi"/>
          <w:b/>
          <w:bCs/>
        </w:rPr>
        <w:t xml:space="preserve">August </w:t>
      </w:r>
      <w:r w:rsidR="00432A27">
        <w:rPr>
          <w:rFonts w:cstheme="minorHAnsi"/>
          <w:b/>
          <w:bCs/>
        </w:rPr>
        <w:t>30</w:t>
      </w:r>
      <w:r w:rsidR="00F971E2" w:rsidRPr="00811B75">
        <w:rPr>
          <w:rFonts w:cstheme="minorHAnsi"/>
          <w:b/>
          <w:bCs/>
          <w:color w:val="000000" w:themeColor="text1"/>
        </w:rPr>
        <w:t xml:space="preserve">, </w:t>
      </w:r>
      <w:r w:rsidR="00F971E2" w:rsidRPr="00C631F6">
        <w:rPr>
          <w:rFonts w:cstheme="minorHAnsi"/>
          <w:b/>
          <w:bCs/>
        </w:rPr>
        <w:t>202</w:t>
      </w:r>
      <w:r w:rsidR="006809A3">
        <w:rPr>
          <w:rFonts w:cstheme="minorHAnsi"/>
          <w:b/>
          <w:bCs/>
        </w:rPr>
        <w:t>4</w:t>
      </w:r>
      <w:r w:rsidR="00F971E2" w:rsidRPr="00C631F6">
        <w:rPr>
          <w:rFonts w:cstheme="minorHAnsi"/>
          <w:b/>
          <w:bCs/>
        </w:rPr>
        <w:t xml:space="preserve"> –</w:t>
      </w:r>
      <w:r w:rsidR="00F971E2" w:rsidRPr="00C631F6">
        <w:rPr>
          <w:rFonts w:cstheme="minorHAnsi"/>
        </w:rPr>
        <w:t xml:space="preserve"> </w:t>
      </w:r>
      <w:r w:rsidR="007C4B4F">
        <w:rPr>
          <w:rFonts w:cstheme="minorHAnsi"/>
        </w:rPr>
        <w:t>Safe Pro Group Inc.</w:t>
      </w:r>
      <w:r w:rsidR="00F971E2" w:rsidRPr="00C631F6">
        <w:rPr>
          <w:rFonts w:cstheme="minorHAnsi"/>
        </w:rPr>
        <w:t xml:space="preserve"> </w:t>
      </w:r>
      <w:r w:rsidR="00262C96">
        <w:rPr>
          <w:rFonts w:cstheme="minorHAnsi"/>
        </w:rPr>
        <w:t>(Nasdaq: SPAI)</w:t>
      </w:r>
      <w:r w:rsidR="00223F12">
        <w:rPr>
          <w:rFonts w:cstheme="minorHAnsi"/>
        </w:rPr>
        <w:t xml:space="preserve"> </w:t>
      </w:r>
      <w:r w:rsidR="00F971E2" w:rsidRPr="00C631F6">
        <w:rPr>
          <w:rFonts w:cstheme="minorHAnsi"/>
        </w:rPr>
        <w:t>(</w:t>
      </w:r>
      <w:r w:rsidR="00BB7A61">
        <w:rPr>
          <w:rFonts w:cstheme="minorHAnsi"/>
        </w:rPr>
        <w:t>“</w:t>
      </w:r>
      <w:r w:rsidR="007C4B4F">
        <w:rPr>
          <w:rFonts w:cstheme="minorHAnsi"/>
        </w:rPr>
        <w:t>Safe Pro</w:t>
      </w:r>
      <w:r w:rsidR="00BB7A61">
        <w:rPr>
          <w:rFonts w:cstheme="minorHAnsi"/>
        </w:rPr>
        <w:t>”</w:t>
      </w:r>
      <w:r w:rsidR="00F971E2" w:rsidRPr="00C631F6">
        <w:rPr>
          <w:rFonts w:cstheme="minorHAnsi"/>
        </w:rPr>
        <w:t xml:space="preserve"> or the </w:t>
      </w:r>
      <w:r w:rsidR="00BB7A61">
        <w:rPr>
          <w:rFonts w:cstheme="minorHAnsi"/>
        </w:rPr>
        <w:t>“</w:t>
      </w:r>
      <w:r w:rsidR="00F971E2" w:rsidRPr="00C631F6">
        <w:rPr>
          <w:rFonts w:cstheme="minorHAnsi"/>
        </w:rPr>
        <w:t>Company</w:t>
      </w:r>
      <w:r w:rsidR="00BB7A61">
        <w:rPr>
          <w:rFonts w:cstheme="minorHAnsi"/>
        </w:rPr>
        <w:t>”</w:t>
      </w:r>
      <w:r w:rsidR="00F971E2" w:rsidRPr="00C631F6">
        <w:rPr>
          <w:rFonts w:cstheme="minorHAnsi"/>
        </w:rPr>
        <w:t xml:space="preserve">), a </w:t>
      </w:r>
      <w:r w:rsidR="00657327" w:rsidRPr="00FC12E0">
        <w:t xml:space="preserve">premier </w:t>
      </w:r>
      <w:r w:rsidR="00990AD5">
        <w:t>provider</w:t>
      </w:r>
      <w:r w:rsidR="00657327" w:rsidRPr="00FC12E0">
        <w:t xml:space="preserve"> </w:t>
      </w:r>
      <w:r w:rsidR="00BC781D">
        <w:t xml:space="preserve">of </w:t>
      </w:r>
      <w:r w:rsidR="00657327" w:rsidRPr="00FC12E0">
        <w:t>artificial intelligence (AI)</w:t>
      </w:r>
      <w:r w:rsidR="00657327">
        <w:t xml:space="preserve"> solutions specializing in</w:t>
      </w:r>
      <w:r w:rsidR="00657327" w:rsidRPr="00FC12E0">
        <w:t xml:space="preserve"> drone imagery processing for </w:t>
      </w:r>
      <w:r w:rsidR="00657327" w:rsidRPr="003D2E48">
        <w:t>humanitarian mine-clearing efforts</w:t>
      </w:r>
      <w:r w:rsidR="00384D25" w:rsidRPr="003D2E48">
        <w:rPr>
          <w:rFonts w:cstheme="minorHAnsi"/>
        </w:rPr>
        <w:t xml:space="preserve">, </w:t>
      </w:r>
      <w:r w:rsidR="00EF7D66" w:rsidRPr="003D2E48">
        <w:rPr>
          <w:rFonts w:cstheme="minorHAnsi"/>
        </w:rPr>
        <w:t xml:space="preserve">today announced the </w:t>
      </w:r>
      <w:r w:rsidR="00C54251" w:rsidRPr="003D2E48">
        <w:rPr>
          <w:rFonts w:cstheme="minorHAnsi"/>
        </w:rPr>
        <w:t xml:space="preserve">closing of its </w:t>
      </w:r>
      <w:r w:rsidR="00EF7D66" w:rsidRPr="003D2E48">
        <w:rPr>
          <w:rFonts w:cstheme="minorHAnsi"/>
        </w:rPr>
        <w:t>initial public offering of 1,020,000 shares of common stock at a price</w:t>
      </w:r>
      <w:r w:rsidR="0061541D" w:rsidRPr="003D2E48">
        <w:rPr>
          <w:rFonts w:cstheme="minorHAnsi"/>
        </w:rPr>
        <w:t xml:space="preserve"> to the public</w:t>
      </w:r>
      <w:r w:rsidR="00EF7D66" w:rsidRPr="003D2E48">
        <w:rPr>
          <w:rFonts w:cstheme="minorHAnsi"/>
        </w:rPr>
        <w:t xml:space="preserve"> of $5.00 per share</w:t>
      </w:r>
      <w:r w:rsidR="00262C96" w:rsidRPr="003D2E48">
        <w:rPr>
          <w:rFonts w:cstheme="minorHAnsi"/>
        </w:rPr>
        <w:t>, raising gross proceeds of $</w:t>
      </w:r>
      <w:r w:rsidR="002B7A55" w:rsidRPr="003D2E48">
        <w:rPr>
          <w:rFonts w:cstheme="minorHAnsi"/>
        </w:rPr>
        <w:t>5.1</w:t>
      </w:r>
      <w:r w:rsidR="00262C96" w:rsidRPr="003D2E48">
        <w:rPr>
          <w:rFonts w:cstheme="minorHAnsi"/>
        </w:rPr>
        <w:t xml:space="preserve"> million</w:t>
      </w:r>
      <w:r w:rsidR="0061541D" w:rsidRPr="003D2E48">
        <w:rPr>
          <w:rFonts w:cstheme="minorHAnsi"/>
        </w:rPr>
        <w:t>, before deducting underwriting discounts and offering expenses</w:t>
      </w:r>
      <w:r w:rsidR="00EF7D66" w:rsidRPr="003D2E48">
        <w:rPr>
          <w:rFonts w:cstheme="minorHAnsi"/>
        </w:rPr>
        <w:t xml:space="preserve">. The shares </w:t>
      </w:r>
      <w:r w:rsidR="00C54251" w:rsidRPr="003D2E48">
        <w:rPr>
          <w:rFonts w:cstheme="minorHAnsi"/>
        </w:rPr>
        <w:t xml:space="preserve">commenced </w:t>
      </w:r>
      <w:r w:rsidR="00EF7D66" w:rsidRPr="003D2E48">
        <w:rPr>
          <w:rFonts w:cstheme="minorHAnsi"/>
        </w:rPr>
        <w:t xml:space="preserve">trading on the Nasdaq Capital Market under the ticker symbol “SPAI” </w:t>
      </w:r>
      <w:r w:rsidR="00C54251" w:rsidRPr="003D2E48">
        <w:rPr>
          <w:rFonts w:cstheme="minorHAnsi"/>
        </w:rPr>
        <w:t xml:space="preserve">on </w:t>
      </w:r>
      <w:r w:rsidR="00EF7D66" w:rsidRPr="003D2E48">
        <w:rPr>
          <w:rFonts w:cstheme="minorHAnsi"/>
        </w:rPr>
        <w:t xml:space="preserve">August </w:t>
      </w:r>
      <w:r w:rsidR="002B7A55" w:rsidRPr="003D2E48">
        <w:rPr>
          <w:rFonts w:cstheme="minorHAnsi"/>
        </w:rPr>
        <w:t>28</w:t>
      </w:r>
      <w:r w:rsidR="00EF7D66" w:rsidRPr="003D2E48">
        <w:rPr>
          <w:rFonts w:cstheme="minorHAnsi"/>
        </w:rPr>
        <w:t xml:space="preserve">, 2024. </w:t>
      </w:r>
    </w:p>
    <w:p w14:paraId="427ADB42" w14:textId="77777777" w:rsidR="00C54251" w:rsidRPr="003D2E48" w:rsidRDefault="00C54251" w:rsidP="00EF7D66">
      <w:pPr>
        <w:spacing w:after="0" w:line="240" w:lineRule="auto"/>
        <w:jc w:val="both"/>
        <w:textAlignment w:val="baseline"/>
        <w:rPr>
          <w:rFonts w:cstheme="minorHAnsi"/>
        </w:rPr>
      </w:pPr>
    </w:p>
    <w:p w14:paraId="268A36CD" w14:textId="777A8B46" w:rsidR="00EF7D66" w:rsidRPr="003D2E48" w:rsidRDefault="00ED0D78" w:rsidP="00EF7D66">
      <w:pPr>
        <w:spacing w:after="0" w:line="240" w:lineRule="auto"/>
        <w:jc w:val="both"/>
        <w:textAlignment w:val="baseline"/>
        <w:rPr>
          <w:rFonts w:cstheme="minorHAnsi"/>
        </w:rPr>
      </w:pPr>
      <w:r w:rsidRPr="003D2E48">
        <w:rPr>
          <w:rFonts w:cstheme="minorHAnsi"/>
        </w:rPr>
        <w:t xml:space="preserve">The Company has granted the underwriters a 45-day option to purchase up to </w:t>
      </w:r>
      <w:r w:rsidR="002B7A55" w:rsidRPr="003D2E48">
        <w:rPr>
          <w:rFonts w:cstheme="minorHAnsi"/>
        </w:rPr>
        <w:t>153,000</w:t>
      </w:r>
      <w:r w:rsidRPr="003D2E48">
        <w:rPr>
          <w:rFonts w:cstheme="minorHAnsi"/>
        </w:rPr>
        <w:t xml:space="preserve"> additional </w:t>
      </w:r>
      <w:r w:rsidR="0061541D" w:rsidRPr="003D2E48">
        <w:rPr>
          <w:rFonts w:cstheme="minorHAnsi"/>
        </w:rPr>
        <w:t xml:space="preserve">shares of </w:t>
      </w:r>
      <w:r w:rsidRPr="003D2E48">
        <w:rPr>
          <w:rFonts w:cstheme="minorHAnsi"/>
        </w:rPr>
        <w:t>common s</w:t>
      </w:r>
      <w:r w:rsidR="0061541D" w:rsidRPr="003D2E48">
        <w:rPr>
          <w:rFonts w:cstheme="minorHAnsi"/>
        </w:rPr>
        <w:t>tock</w:t>
      </w:r>
      <w:r w:rsidRPr="003D2E48">
        <w:rPr>
          <w:rFonts w:cstheme="minorHAnsi"/>
        </w:rPr>
        <w:t xml:space="preserve"> at the initial public offering price to cover over-allotments, if any</w:t>
      </w:r>
      <w:r w:rsidR="0061541D" w:rsidRPr="003D2E48">
        <w:rPr>
          <w:rFonts w:cstheme="minorHAnsi"/>
        </w:rPr>
        <w:t>, less the underwriting discount</w:t>
      </w:r>
      <w:r w:rsidRPr="003D2E48">
        <w:rPr>
          <w:rFonts w:cstheme="minorHAnsi"/>
        </w:rPr>
        <w:t xml:space="preserve">. </w:t>
      </w:r>
    </w:p>
    <w:p w14:paraId="5B49084F" w14:textId="77777777" w:rsidR="00EF7D66" w:rsidRPr="003D2E48" w:rsidRDefault="00EF7D66" w:rsidP="00EF7D66">
      <w:pPr>
        <w:spacing w:after="0" w:line="240" w:lineRule="auto"/>
        <w:jc w:val="both"/>
        <w:textAlignment w:val="baseline"/>
        <w:rPr>
          <w:rFonts w:cstheme="minorHAnsi"/>
        </w:rPr>
      </w:pPr>
    </w:p>
    <w:p w14:paraId="1BD09F49" w14:textId="52386A7B" w:rsidR="00EF7D66" w:rsidRPr="003D2E48" w:rsidRDefault="008C47F0" w:rsidP="00EF7D66">
      <w:pPr>
        <w:spacing w:after="0" w:line="240" w:lineRule="auto"/>
        <w:jc w:val="both"/>
        <w:textAlignment w:val="baseline"/>
        <w:rPr>
          <w:rFonts w:cstheme="minorHAnsi"/>
        </w:rPr>
      </w:pPr>
      <w:r w:rsidRPr="003D2E48">
        <w:rPr>
          <w:rFonts w:cstheme="minorHAnsi"/>
        </w:rPr>
        <w:t xml:space="preserve">Dawson James Securities, Inc. </w:t>
      </w:r>
      <w:r w:rsidR="00EF7D66" w:rsidRPr="003D2E48">
        <w:rPr>
          <w:rFonts w:cstheme="minorHAnsi"/>
        </w:rPr>
        <w:t>act</w:t>
      </w:r>
      <w:r w:rsidR="00C54251" w:rsidRPr="003D2E48">
        <w:rPr>
          <w:rFonts w:cstheme="minorHAnsi"/>
        </w:rPr>
        <w:t>ed</w:t>
      </w:r>
      <w:r w:rsidR="00EF7D66" w:rsidRPr="003D2E48">
        <w:rPr>
          <w:rFonts w:cstheme="minorHAnsi"/>
        </w:rPr>
        <w:t xml:space="preserve"> as</w:t>
      </w:r>
      <w:r w:rsidR="0061541D" w:rsidRPr="003D2E48">
        <w:rPr>
          <w:rFonts w:cstheme="minorHAnsi"/>
        </w:rPr>
        <w:t xml:space="preserve"> lead</w:t>
      </w:r>
      <w:r w:rsidR="00EF7D66" w:rsidRPr="003D2E48">
        <w:rPr>
          <w:rFonts w:cstheme="minorHAnsi"/>
        </w:rPr>
        <w:t xml:space="preserve"> book-running manager</w:t>
      </w:r>
      <w:r w:rsidR="0061541D" w:rsidRPr="003D2E48">
        <w:rPr>
          <w:rFonts w:cstheme="minorHAnsi"/>
        </w:rPr>
        <w:t xml:space="preserve"> for the offering</w:t>
      </w:r>
      <w:r w:rsidR="00EF7D66" w:rsidRPr="003D2E48">
        <w:rPr>
          <w:rFonts w:cstheme="minorHAnsi"/>
        </w:rPr>
        <w:t>.</w:t>
      </w:r>
      <w:r w:rsidR="0061541D" w:rsidRPr="003D2E48">
        <w:rPr>
          <w:rFonts w:cstheme="minorHAnsi"/>
        </w:rPr>
        <w:t xml:space="preserve"> Spartan Capital Securities LLC act</w:t>
      </w:r>
      <w:r w:rsidR="00C54251" w:rsidRPr="003D2E48">
        <w:rPr>
          <w:rFonts w:cstheme="minorHAnsi"/>
        </w:rPr>
        <w:t>ed</w:t>
      </w:r>
      <w:r w:rsidR="0061541D" w:rsidRPr="003D2E48">
        <w:rPr>
          <w:rFonts w:cstheme="minorHAnsi"/>
        </w:rPr>
        <w:t xml:space="preserve"> as co-manager for the offering.</w:t>
      </w:r>
      <w:r w:rsidR="00EF7D66" w:rsidRPr="003D2E48">
        <w:rPr>
          <w:rFonts w:cstheme="minorHAnsi"/>
        </w:rPr>
        <w:t xml:space="preserve"> </w:t>
      </w:r>
    </w:p>
    <w:p w14:paraId="716F34FA" w14:textId="77777777" w:rsidR="00EF7D66" w:rsidRPr="000151F8" w:rsidRDefault="00EF7D66" w:rsidP="00EF7D66">
      <w:pPr>
        <w:spacing w:after="0" w:line="240" w:lineRule="auto"/>
        <w:jc w:val="both"/>
        <w:textAlignment w:val="baseline"/>
        <w:rPr>
          <w:rFonts w:cstheme="minorHAnsi"/>
        </w:rPr>
      </w:pPr>
    </w:p>
    <w:p w14:paraId="22DC8058" w14:textId="01F171A6" w:rsidR="000151F8" w:rsidRPr="00EF7D66" w:rsidRDefault="00EF7D66" w:rsidP="000151F8">
      <w:pPr>
        <w:spacing w:after="0" w:line="240" w:lineRule="auto"/>
        <w:jc w:val="both"/>
        <w:textAlignment w:val="baseline"/>
        <w:rPr>
          <w:rFonts w:cstheme="minorHAnsi"/>
        </w:rPr>
      </w:pPr>
      <w:r w:rsidRPr="000151F8">
        <w:rPr>
          <w:rFonts w:cstheme="minorHAnsi"/>
        </w:rPr>
        <w:t>A registration statement</w:t>
      </w:r>
      <w:r w:rsidR="00262C96" w:rsidRPr="000151F8">
        <w:rPr>
          <w:rFonts w:cstheme="minorHAnsi"/>
        </w:rPr>
        <w:t xml:space="preserve"> on Form S-1</w:t>
      </w:r>
      <w:r w:rsidRPr="000151F8">
        <w:rPr>
          <w:rFonts w:cstheme="minorHAnsi"/>
        </w:rPr>
        <w:t xml:space="preserve"> </w:t>
      </w:r>
      <w:r w:rsidR="00262C96" w:rsidRPr="000151F8">
        <w:rPr>
          <w:rFonts w:cstheme="minorHAnsi"/>
        </w:rPr>
        <w:t>(File No.</w:t>
      </w:r>
      <w:r w:rsidR="00262C96">
        <w:rPr>
          <w:rFonts w:cstheme="minorHAnsi"/>
        </w:rPr>
        <w:t xml:space="preserve"> </w:t>
      </w:r>
      <w:r w:rsidR="00262C96" w:rsidRPr="00262C96">
        <w:rPr>
          <w:rFonts w:cstheme="minorHAnsi"/>
        </w:rPr>
        <w:t>333-280599</w:t>
      </w:r>
      <w:r w:rsidR="00262C96">
        <w:rPr>
          <w:rFonts w:cstheme="minorHAnsi"/>
        </w:rPr>
        <w:t xml:space="preserve">) </w:t>
      </w:r>
      <w:r w:rsidRPr="00EF7D66">
        <w:rPr>
          <w:rFonts w:cstheme="minorHAnsi"/>
        </w:rPr>
        <w:t xml:space="preserve">relating to the securities </w:t>
      </w:r>
      <w:r w:rsidR="00C54251">
        <w:rPr>
          <w:rFonts w:cstheme="minorHAnsi"/>
        </w:rPr>
        <w:t xml:space="preserve">was declared </w:t>
      </w:r>
      <w:r w:rsidRPr="00EF7D66">
        <w:rPr>
          <w:rFonts w:cstheme="minorHAnsi"/>
        </w:rPr>
        <w:t xml:space="preserve">effective on </w:t>
      </w:r>
      <w:r w:rsidRPr="002B7A55">
        <w:rPr>
          <w:rFonts w:cstheme="minorHAnsi"/>
        </w:rPr>
        <w:t xml:space="preserve">August </w:t>
      </w:r>
      <w:r w:rsidR="008C47F0" w:rsidRPr="002B7A55">
        <w:rPr>
          <w:rFonts w:cstheme="minorHAnsi"/>
        </w:rPr>
        <w:t>12</w:t>
      </w:r>
      <w:r w:rsidRPr="002B7A55">
        <w:rPr>
          <w:rFonts w:cstheme="minorHAnsi"/>
        </w:rPr>
        <w:t>, 2024</w:t>
      </w:r>
      <w:r w:rsidRPr="00EF7D66">
        <w:rPr>
          <w:rFonts w:cstheme="minorHAnsi"/>
        </w:rPr>
        <w:t xml:space="preserve">. </w:t>
      </w:r>
      <w:r w:rsidR="000151F8" w:rsidRPr="00EF7D66">
        <w:rPr>
          <w:rFonts w:cstheme="minorHAnsi"/>
        </w:rPr>
        <w:t xml:space="preserve">The public offering </w:t>
      </w:r>
      <w:r w:rsidR="00C54251">
        <w:rPr>
          <w:rFonts w:cstheme="minorHAnsi"/>
        </w:rPr>
        <w:t>was</w:t>
      </w:r>
      <w:r w:rsidR="000151F8" w:rsidRPr="00EF7D66">
        <w:rPr>
          <w:rFonts w:cstheme="minorHAnsi"/>
        </w:rPr>
        <w:t xml:space="preserve"> made by means of a prospectus</w:t>
      </w:r>
      <w:r w:rsidR="0061541D">
        <w:rPr>
          <w:rFonts w:cstheme="minorHAnsi"/>
        </w:rPr>
        <w:t xml:space="preserve"> forming part of the effective registration statement</w:t>
      </w:r>
      <w:r w:rsidR="000151F8" w:rsidRPr="00EF7D66">
        <w:rPr>
          <w:rFonts w:cstheme="minorHAnsi"/>
        </w:rPr>
        <w:t xml:space="preserve">. </w:t>
      </w:r>
      <w:r w:rsidR="00C54251">
        <w:rPr>
          <w:rFonts w:cstheme="minorHAnsi"/>
        </w:rPr>
        <w:t>C</w:t>
      </w:r>
      <w:r w:rsidR="000151F8" w:rsidRPr="00EF7D66">
        <w:rPr>
          <w:rFonts w:cstheme="minorHAnsi"/>
        </w:rPr>
        <w:t xml:space="preserve">opies of the </w:t>
      </w:r>
      <w:r w:rsidR="0061541D">
        <w:rPr>
          <w:rFonts w:cstheme="minorHAnsi"/>
        </w:rPr>
        <w:t xml:space="preserve">final </w:t>
      </w:r>
      <w:r w:rsidR="000151F8" w:rsidRPr="00EF7D66">
        <w:rPr>
          <w:rFonts w:cstheme="minorHAnsi"/>
        </w:rPr>
        <w:t xml:space="preserve">prospectus relating to the offering may be obtained from </w:t>
      </w:r>
      <w:r w:rsidR="000151F8">
        <w:rPr>
          <w:rFonts w:cstheme="minorHAnsi"/>
        </w:rPr>
        <w:t>Dawson James Securities</w:t>
      </w:r>
      <w:r w:rsidR="000151F8" w:rsidRPr="00EF7D66">
        <w:rPr>
          <w:rFonts w:cstheme="minorHAnsi"/>
        </w:rPr>
        <w:t>,</w:t>
      </w:r>
      <w:r w:rsidR="000151F8">
        <w:rPr>
          <w:rFonts w:cstheme="minorHAnsi"/>
        </w:rPr>
        <w:t xml:space="preserve"> Inc.</w:t>
      </w:r>
      <w:r w:rsidR="002B7A55">
        <w:rPr>
          <w:rFonts w:cstheme="minorHAnsi"/>
        </w:rPr>
        <w:t xml:space="preserve"> at </w:t>
      </w:r>
      <w:r w:rsidR="002B7A55" w:rsidRPr="002B7A55">
        <w:rPr>
          <w:rFonts w:cstheme="minorHAnsi"/>
        </w:rPr>
        <w:t>101 North Federal Highway, Suite 600, Boca Raton, FL 33432</w:t>
      </w:r>
      <w:r w:rsidR="002B7A55">
        <w:rPr>
          <w:rFonts w:cstheme="minorHAnsi"/>
        </w:rPr>
        <w:t>,</w:t>
      </w:r>
      <w:r w:rsidR="002B7A55" w:rsidRPr="002B7A55">
        <w:rPr>
          <w:rFonts w:cstheme="minorHAnsi"/>
        </w:rPr>
        <w:t xml:space="preserve"> by telephone at (561) 391-5555, or by email at investmentbanking@dawsonjames.com</w:t>
      </w:r>
      <w:r w:rsidR="000151F8" w:rsidRPr="00EF7D66">
        <w:rPr>
          <w:rFonts w:cstheme="minorHAnsi"/>
        </w:rPr>
        <w:t>.</w:t>
      </w:r>
      <w:r w:rsidR="000151F8">
        <w:rPr>
          <w:rFonts w:cstheme="minorHAnsi"/>
        </w:rPr>
        <w:t xml:space="preserve"> </w:t>
      </w:r>
      <w:r w:rsidR="000151F8" w:rsidRPr="000151F8">
        <w:rPr>
          <w:rFonts w:cstheme="minorHAnsi"/>
        </w:rPr>
        <w:t xml:space="preserve">In addition, a copy of the final prospectus relating to this offering may </w:t>
      </w:r>
      <w:r w:rsidR="00BB7A61">
        <w:rPr>
          <w:rFonts w:cstheme="minorHAnsi"/>
        </w:rPr>
        <w:t xml:space="preserve">also </w:t>
      </w:r>
      <w:r w:rsidR="000151F8" w:rsidRPr="000151F8">
        <w:rPr>
          <w:rFonts w:cstheme="minorHAnsi"/>
        </w:rPr>
        <w:t>be obtained from the SEC’s website at www.sec.gov.</w:t>
      </w:r>
    </w:p>
    <w:p w14:paraId="514A6401" w14:textId="77777777" w:rsidR="00262C96" w:rsidRDefault="00262C96" w:rsidP="00EF7D66">
      <w:pPr>
        <w:spacing w:after="0" w:line="240" w:lineRule="auto"/>
        <w:jc w:val="both"/>
        <w:textAlignment w:val="baseline"/>
        <w:rPr>
          <w:rFonts w:cstheme="minorHAnsi"/>
        </w:rPr>
      </w:pPr>
    </w:p>
    <w:p w14:paraId="36A017D5" w14:textId="0D675C3E" w:rsidR="00EF7D66" w:rsidRDefault="00EF7D66" w:rsidP="00EF7D66">
      <w:pPr>
        <w:spacing w:after="0" w:line="240" w:lineRule="auto"/>
        <w:jc w:val="both"/>
        <w:textAlignment w:val="baseline"/>
        <w:rPr>
          <w:rFonts w:cstheme="minorHAnsi"/>
        </w:rPr>
      </w:pPr>
      <w:r w:rsidRPr="00EF7D66">
        <w:rPr>
          <w:rFonts w:cstheme="minorHAnsi"/>
        </w:rPr>
        <w:t>This press release shall not constitute an offer to sell or the solicitation of an offer to buy, nor shall there be any sale of these securities in any state or jurisdiction in which such offer, solicitation, or sale would be unlawful prior to registration or qualification under the securities laws of any such state or jurisdiction.</w:t>
      </w:r>
    </w:p>
    <w:p w14:paraId="355E2C3B" w14:textId="77777777" w:rsidR="0029161A" w:rsidRPr="00430C3C" w:rsidRDefault="0029161A" w:rsidP="0029161A">
      <w:pPr>
        <w:spacing w:after="0" w:line="240" w:lineRule="auto"/>
        <w:jc w:val="both"/>
        <w:rPr>
          <w:rFonts w:cstheme="minorHAnsi"/>
          <w:bCs/>
        </w:rPr>
      </w:pPr>
    </w:p>
    <w:p w14:paraId="78D3A3C1" w14:textId="77777777" w:rsidR="0029161A" w:rsidRPr="00430C3C" w:rsidRDefault="0029161A" w:rsidP="0029161A">
      <w:pPr>
        <w:spacing w:after="0" w:line="240" w:lineRule="auto"/>
        <w:jc w:val="both"/>
        <w:rPr>
          <w:rFonts w:cstheme="minorHAnsi"/>
          <w:b/>
        </w:rPr>
      </w:pPr>
      <w:r>
        <w:rPr>
          <w:rFonts w:cstheme="minorHAnsi"/>
          <w:b/>
        </w:rPr>
        <w:t>About Safe Pro Group Inc.</w:t>
      </w:r>
    </w:p>
    <w:p w14:paraId="0303443D" w14:textId="3AA64578" w:rsidR="0098363C" w:rsidRDefault="0098363C" w:rsidP="0098363C">
      <w:pPr>
        <w:jc w:val="both"/>
      </w:pPr>
      <w:r w:rsidRPr="00990AD5">
        <w:t>Safe Pro Group</w:t>
      </w:r>
      <w:r w:rsidRPr="00FC12E0">
        <w:t xml:space="preserve"> is a premier </w:t>
      </w:r>
      <w:r w:rsidR="00990AD5">
        <w:t>provider</w:t>
      </w:r>
      <w:r w:rsidRPr="00FC12E0">
        <w:t xml:space="preserve"> </w:t>
      </w:r>
      <w:r w:rsidR="00990AD5">
        <w:t>of</w:t>
      </w:r>
      <w:r w:rsidR="00BC781D">
        <w:t xml:space="preserve"> </w:t>
      </w:r>
      <w:r w:rsidRPr="00FC12E0">
        <w:t>artificial intelligence (AI)</w:t>
      </w:r>
      <w:r>
        <w:t xml:space="preserve"> solutions specializing in</w:t>
      </w:r>
      <w:r w:rsidRPr="00FC12E0">
        <w:t xml:space="preserve"> drone imagery processing for humanitarian mine</w:t>
      </w:r>
      <w:r>
        <w:t>-</w:t>
      </w:r>
      <w:r w:rsidRPr="00FC12E0">
        <w:t xml:space="preserve">clearing </w:t>
      </w:r>
      <w:r>
        <w:t>efforts</w:t>
      </w:r>
      <w:r w:rsidRPr="00FC12E0">
        <w:t xml:space="preserve">. </w:t>
      </w:r>
      <w:r>
        <w:t>The Company</w:t>
      </w:r>
      <w:r w:rsidRPr="00FC12E0">
        <w:t xml:space="preserve"> </w:t>
      </w:r>
      <w:r>
        <w:t>leverages</w:t>
      </w:r>
      <w:r w:rsidRPr="00FC12E0">
        <w:t xml:space="preserve"> </w:t>
      </w:r>
      <w:r w:rsidR="00747DF6">
        <w:t xml:space="preserve">commercially available </w:t>
      </w:r>
      <w:r w:rsidR="00990AD5">
        <w:t xml:space="preserve">“off the shelf” </w:t>
      </w:r>
      <w:r w:rsidR="00747DF6">
        <w:t xml:space="preserve">drones with </w:t>
      </w:r>
      <w:r>
        <w:t>its proprietary machine learning and computer vision technology to rapidly identify</w:t>
      </w:r>
      <w:r w:rsidRPr="00FC12E0">
        <w:t xml:space="preserve"> explosive threats</w:t>
      </w:r>
      <w:r w:rsidR="00747DF6">
        <w:t xml:space="preserve"> which provides a much</w:t>
      </w:r>
      <w:r>
        <w:t xml:space="preserve"> safer and more efficient alternative to traditional</w:t>
      </w:r>
      <w:r w:rsidRPr="00FC12E0">
        <w:t xml:space="preserve"> human</w:t>
      </w:r>
      <w:r>
        <w:t>-</w:t>
      </w:r>
      <w:r w:rsidRPr="00FC12E0">
        <w:t>based methods</w:t>
      </w:r>
      <w:r w:rsidR="00747DF6">
        <w:t xml:space="preserve"> to analyze minefields</w:t>
      </w:r>
      <w:r>
        <w:t>.</w:t>
      </w:r>
      <w:r w:rsidRPr="00FC12E0">
        <w:t xml:space="preserve"> </w:t>
      </w:r>
      <w:r>
        <w:t>B</w:t>
      </w:r>
      <w:r w:rsidRPr="00FC12E0">
        <w:t>uilt on a cloud-based ecosystem powered by Amazon Web Services (AWS)</w:t>
      </w:r>
      <w:r>
        <w:t xml:space="preserve">, </w:t>
      </w:r>
      <w:r w:rsidRPr="00FC12E0">
        <w:t>Safe Pro Group</w:t>
      </w:r>
      <w:r>
        <w:t>’s scalable platform is targeting multiple markets that include</w:t>
      </w:r>
      <w:r w:rsidRPr="00FC12E0">
        <w:t xml:space="preserve"> government</w:t>
      </w:r>
      <w:r>
        <w:t>, humanitarian aid,</w:t>
      </w:r>
      <w:r w:rsidRPr="00FC12E0">
        <w:t xml:space="preserve"> law enforceme</w:t>
      </w:r>
      <w:r>
        <w:t>nt</w:t>
      </w:r>
      <w:r w:rsidR="001C4E55">
        <w:t>, military</w:t>
      </w:r>
      <w:r>
        <w:t xml:space="preserve"> </w:t>
      </w:r>
      <w:r w:rsidRPr="00FC12E0">
        <w:t xml:space="preserve">and </w:t>
      </w:r>
      <w:r>
        <w:t xml:space="preserve">commercial </w:t>
      </w:r>
      <w:r w:rsidRPr="00FC12E0">
        <w:t>sectors </w:t>
      </w:r>
      <w:r>
        <w:t xml:space="preserve">where its AI, protective gear, and </w:t>
      </w:r>
      <w:r w:rsidRPr="00FC12E0">
        <w:t xml:space="preserve">drone-based services can </w:t>
      </w:r>
      <w:r>
        <w:t>work in synergy to</w:t>
      </w:r>
      <w:r w:rsidRPr="00FC12E0">
        <w:t xml:space="preserve"> </w:t>
      </w:r>
      <w:r>
        <w:t xml:space="preserve">deliver safety and operational efficiency. </w:t>
      </w:r>
      <w:r w:rsidR="001E6952">
        <w:t xml:space="preserve"> </w:t>
      </w:r>
      <w:r w:rsidRPr="00D45C66">
        <w:t xml:space="preserve">Safe Pro Group's AI-driven solutions </w:t>
      </w:r>
      <w:r>
        <w:t>and</w:t>
      </w:r>
      <w:r w:rsidRPr="00D45C66">
        <w:t xml:space="preserve"> automated processing of </w:t>
      </w:r>
      <w:r>
        <w:t>drone</w:t>
      </w:r>
      <w:r w:rsidRPr="00D45C66">
        <w:t xml:space="preserve"> imagery detect and map explosive threats </w:t>
      </w:r>
      <w:r>
        <w:t xml:space="preserve">which </w:t>
      </w:r>
      <w:r w:rsidRPr="00D45C66">
        <w:t xml:space="preserve">address significant demining challenges in regions like Ukraine, where over 165,000 km² may be contaminated with landmines and unexploded ordnance. By offering comprehensive cloud-based datasets and advanced protective gear, </w:t>
      </w:r>
      <w:r w:rsidR="00990AD5">
        <w:t>t</w:t>
      </w:r>
      <w:r>
        <w:t>he Company has the ability to</w:t>
      </w:r>
      <w:r w:rsidRPr="00D45C66">
        <w:t xml:space="preserve"> significantly </w:t>
      </w:r>
      <w:r>
        <w:t>improve</w:t>
      </w:r>
      <w:r w:rsidRPr="00D45C66">
        <w:t xml:space="preserve"> the </w:t>
      </w:r>
      <w:r>
        <w:t xml:space="preserve">safety, </w:t>
      </w:r>
      <w:r w:rsidRPr="00D45C66">
        <w:t xml:space="preserve">efficiency, </w:t>
      </w:r>
      <w:r>
        <w:t xml:space="preserve">and </w:t>
      </w:r>
      <w:r w:rsidRPr="00D45C66">
        <w:t xml:space="preserve">speed of demining operations, delivering actionable intelligence and comprehensive </w:t>
      </w:r>
      <w:r w:rsidRPr="00D45C66">
        <w:lastRenderedPageBreak/>
        <w:t>solutions for the remediation of hazardous remnants of war.</w:t>
      </w:r>
      <w:r w:rsidR="00F72F5A">
        <w:t xml:space="preserve"> </w:t>
      </w:r>
      <w:r>
        <w:t xml:space="preserve">For more information on Safe Pro Group Inc., please visit </w:t>
      </w:r>
      <w:hyperlink r:id="rId9" w:history="1">
        <w:r>
          <w:rPr>
            <w:rStyle w:val="Hyperlink"/>
          </w:rPr>
          <w:t>https://safeprogroup.com/</w:t>
        </w:r>
      </w:hyperlink>
      <w:r>
        <w:t>.</w:t>
      </w:r>
    </w:p>
    <w:p w14:paraId="6F49F2D4" w14:textId="77777777" w:rsidR="0098363C" w:rsidRDefault="0098363C" w:rsidP="0029161A">
      <w:pPr>
        <w:spacing w:after="0" w:line="240" w:lineRule="auto"/>
        <w:jc w:val="both"/>
      </w:pPr>
    </w:p>
    <w:p w14:paraId="32501DB3" w14:textId="77777777" w:rsidR="0029161A" w:rsidRPr="0032708C" w:rsidRDefault="0029161A" w:rsidP="0029161A">
      <w:pPr>
        <w:spacing w:after="0" w:line="240" w:lineRule="auto"/>
        <w:jc w:val="both"/>
        <w:rPr>
          <w:b/>
          <w:bCs/>
        </w:rPr>
      </w:pPr>
      <w:r>
        <w:rPr>
          <w:b/>
          <w:bCs/>
        </w:rPr>
        <w:t>Forward-Looking Statements</w:t>
      </w:r>
    </w:p>
    <w:p w14:paraId="25EAF1C3" w14:textId="28F8EE76" w:rsidR="0029161A" w:rsidRPr="00954481" w:rsidRDefault="0029161A" w:rsidP="0029161A">
      <w:pPr>
        <w:spacing w:after="0" w:line="240" w:lineRule="auto"/>
        <w:jc w:val="both"/>
      </w:pPr>
      <w:r>
        <w:t xml:space="preserve">Some of the statements in this press release are forward-looking statements, which involve risks and uncertainties. Forward-looking statements relate to future events, future expectations, plans and prospects. Although Safe Pro Group believes the expectations reflected in such forward-looking statements are reasonable as of the date made, expectations may prove to have been materially different from the results expressed or implied by such forward-looking statements. Safe Pro Group has attempted to identify forward-looking statements by terminology including ''believes,'' ''estimates,'' ''anticipates,'' ''expects,'' ''plans,'' ''projects,'' ''intends,'' ''potential,'' ''may,'' ''could,'' ''might,'' ''will,'' ''should,'' ''approximately'' or other words that convey uncertainty of future events or outcomes to identify these forward-looking statements. These statements are only predictions and involve known and unknown risks, uncertainties and other factors, including market and other conditions. </w:t>
      </w:r>
      <w:r w:rsidR="00223F12" w:rsidRPr="00223F12">
        <w:t xml:space="preserve">Applicable risks also include those identified under the heading “Risk Factors” in </w:t>
      </w:r>
      <w:r w:rsidR="00223F12">
        <w:t>Safe Pro’s</w:t>
      </w:r>
      <w:r w:rsidR="00223F12" w:rsidRPr="00223F12">
        <w:t xml:space="preserve"> registration statement on Form S-1. </w:t>
      </w:r>
      <w:r>
        <w:t>Any forward-looking statements contained in this press release speak only as of its date. Safe Pro Group undertakes no obligation to update any forward-looking statements contained in this press release to reflect events or circumstances occurring after its date or to reflect the occurrence of unanticipated events, except as required by law.</w:t>
      </w:r>
    </w:p>
    <w:p w14:paraId="3CDF31A8" w14:textId="77777777" w:rsidR="0029161A" w:rsidRPr="000D748F" w:rsidRDefault="0029161A" w:rsidP="0029161A">
      <w:pPr>
        <w:spacing w:after="0" w:line="240" w:lineRule="auto"/>
        <w:jc w:val="both"/>
        <w:rPr>
          <w:rFonts w:cstheme="minorHAnsi"/>
        </w:rPr>
      </w:pPr>
    </w:p>
    <w:p w14:paraId="5980C7CE" w14:textId="4E427E1F" w:rsidR="0029161A" w:rsidRDefault="0029161A" w:rsidP="0029161A">
      <w:pPr>
        <w:spacing w:after="0" w:line="240" w:lineRule="auto"/>
        <w:jc w:val="both"/>
        <w:rPr>
          <w:rFonts w:cstheme="minorHAnsi"/>
        </w:rPr>
      </w:pPr>
      <w:r>
        <w:rPr>
          <w:rFonts w:cstheme="minorHAnsi"/>
        </w:rPr>
        <w:t>Media Relations for Safe Pro Group Inc.:</w:t>
      </w:r>
    </w:p>
    <w:p w14:paraId="7029E9EE" w14:textId="4A18024C" w:rsidR="00C131D2" w:rsidRDefault="00140480" w:rsidP="0029161A">
      <w:pPr>
        <w:spacing w:after="0" w:line="240" w:lineRule="auto"/>
        <w:jc w:val="both"/>
        <w:rPr>
          <w:rFonts w:cstheme="minorHAnsi"/>
        </w:rPr>
      </w:pPr>
      <w:hyperlink r:id="rId10" w:history="1">
        <w:r w:rsidR="00C131D2" w:rsidRPr="00277ADE">
          <w:rPr>
            <w:rStyle w:val="Hyperlink"/>
            <w:rFonts w:cstheme="minorHAnsi"/>
          </w:rPr>
          <w:t>Media@safeprogroup.com</w:t>
        </w:r>
      </w:hyperlink>
      <w:r w:rsidR="00D47A26">
        <w:rPr>
          <w:rStyle w:val="Hyperlink"/>
          <w:rFonts w:cstheme="minorHAnsi"/>
        </w:rPr>
        <w:t xml:space="preserve"> </w:t>
      </w:r>
    </w:p>
    <w:p w14:paraId="15F0B3A4" w14:textId="77777777" w:rsidR="00C131D2" w:rsidRDefault="00C131D2" w:rsidP="0029161A">
      <w:pPr>
        <w:spacing w:after="0" w:line="240" w:lineRule="auto"/>
        <w:jc w:val="both"/>
        <w:rPr>
          <w:rFonts w:cstheme="minorHAnsi"/>
        </w:rPr>
      </w:pPr>
    </w:p>
    <w:p w14:paraId="3494DB48" w14:textId="1B771E8F" w:rsidR="00D47A26" w:rsidRDefault="00D47A26" w:rsidP="0029161A">
      <w:pPr>
        <w:spacing w:after="0" w:line="240" w:lineRule="auto"/>
        <w:jc w:val="both"/>
        <w:rPr>
          <w:rFonts w:cstheme="minorHAnsi"/>
        </w:rPr>
      </w:pPr>
      <w:r>
        <w:rPr>
          <w:rFonts w:cstheme="minorHAnsi"/>
        </w:rPr>
        <w:t>Investor Relations for Safe Pro Group Inc.:</w:t>
      </w:r>
    </w:p>
    <w:p w14:paraId="5ED22F1A" w14:textId="77777777" w:rsidR="00745320" w:rsidRDefault="00C131D2" w:rsidP="005F6180">
      <w:pPr>
        <w:spacing w:after="0" w:line="240" w:lineRule="auto"/>
        <w:rPr>
          <w:rStyle w:val="Hyperlink"/>
          <w:rFonts w:cstheme="minorHAnsi"/>
          <w:u w:val="none"/>
        </w:rPr>
      </w:pPr>
      <w:r>
        <w:t>investors</w:t>
      </w:r>
      <w:hyperlink r:id="rId11" w:history="1">
        <w:r w:rsidR="0029161A" w:rsidRPr="00D47A26">
          <w:rPr>
            <w:rStyle w:val="Hyperlink"/>
            <w:rFonts w:cstheme="minorHAnsi"/>
            <w:u w:val="none"/>
          </w:rPr>
          <w:t>@safeprogroup.com</w:t>
        </w:r>
      </w:hyperlink>
    </w:p>
    <w:p w14:paraId="76C39845" w14:textId="0C0EC74F" w:rsidR="00054068" w:rsidRDefault="00054068">
      <w:pPr>
        <w:pStyle w:val="MacPacTrailer"/>
      </w:pPr>
    </w:p>
    <w:sectPr w:rsidR="00054068" w:rsidSect="00AB276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1FB627" w14:textId="77777777" w:rsidR="00E0361E" w:rsidRDefault="00E0361E" w:rsidP="006A52AD">
      <w:pPr>
        <w:spacing w:after="0" w:line="240" w:lineRule="auto"/>
      </w:pPr>
      <w:r>
        <w:separator/>
      </w:r>
    </w:p>
  </w:endnote>
  <w:endnote w:type="continuationSeparator" w:id="0">
    <w:p w14:paraId="7BFD8918" w14:textId="77777777" w:rsidR="00E0361E" w:rsidRDefault="00E0361E" w:rsidP="006A5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swiss"/>
    <w:pitch w:val="variable"/>
    <w:sig w:usb0="E1000AEF" w:usb1="5000A1FF" w:usb2="00000000" w:usb3="00000000" w:csb0="000001B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78F80A" w14:textId="77777777" w:rsidR="00E0361E" w:rsidRDefault="00E0361E" w:rsidP="006A52AD">
      <w:pPr>
        <w:spacing w:after="0" w:line="240" w:lineRule="auto"/>
      </w:pPr>
      <w:r>
        <w:separator/>
      </w:r>
    </w:p>
  </w:footnote>
  <w:footnote w:type="continuationSeparator" w:id="0">
    <w:p w14:paraId="4E024515" w14:textId="77777777" w:rsidR="00E0361E" w:rsidRDefault="00E0361E" w:rsidP="006A52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943551"/>
    <w:multiLevelType w:val="hybridMultilevel"/>
    <w:tmpl w:val="3F9A54DA"/>
    <w:lvl w:ilvl="0" w:tplc="A6F82634">
      <w:start w:val="1"/>
      <w:numFmt w:val="bullet"/>
      <w:lvlText w:val=""/>
      <w:lvlJc w:val="left"/>
      <w:pPr>
        <w:tabs>
          <w:tab w:val="num" w:pos="720"/>
        </w:tabs>
        <w:ind w:left="720" w:hanging="360"/>
      </w:pPr>
      <w:rPr>
        <w:rFonts w:ascii="Symbol" w:hAnsi="Symbol" w:hint="default"/>
      </w:rPr>
    </w:lvl>
    <w:lvl w:ilvl="1" w:tplc="046E4E14" w:tentative="1">
      <w:start w:val="1"/>
      <w:numFmt w:val="bullet"/>
      <w:lvlText w:val=""/>
      <w:lvlJc w:val="left"/>
      <w:pPr>
        <w:tabs>
          <w:tab w:val="num" w:pos="1440"/>
        </w:tabs>
        <w:ind w:left="1440" w:hanging="360"/>
      </w:pPr>
      <w:rPr>
        <w:rFonts w:ascii="Symbol" w:hAnsi="Symbol" w:hint="default"/>
      </w:rPr>
    </w:lvl>
    <w:lvl w:ilvl="2" w:tplc="E3F239AE" w:tentative="1">
      <w:start w:val="1"/>
      <w:numFmt w:val="bullet"/>
      <w:lvlText w:val=""/>
      <w:lvlJc w:val="left"/>
      <w:pPr>
        <w:tabs>
          <w:tab w:val="num" w:pos="2160"/>
        </w:tabs>
        <w:ind w:left="2160" w:hanging="360"/>
      </w:pPr>
      <w:rPr>
        <w:rFonts w:ascii="Symbol" w:hAnsi="Symbol" w:hint="default"/>
      </w:rPr>
    </w:lvl>
    <w:lvl w:ilvl="3" w:tplc="368E7142" w:tentative="1">
      <w:start w:val="1"/>
      <w:numFmt w:val="bullet"/>
      <w:lvlText w:val=""/>
      <w:lvlJc w:val="left"/>
      <w:pPr>
        <w:tabs>
          <w:tab w:val="num" w:pos="2880"/>
        </w:tabs>
        <w:ind w:left="2880" w:hanging="360"/>
      </w:pPr>
      <w:rPr>
        <w:rFonts w:ascii="Symbol" w:hAnsi="Symbol" w:hint="default"/>
      </w:rPr>
    </w:lvl>
    <w:lvl w:ilvl="4" w:tplc="739A7F7E" w:tentative="1">
      <w:start w:val="1"/>
      <w:numFmt w:val="bullet"/>
      <w:lvlText w:val=""/>
      <w:lvlJc w:val="left"/>
      <w:pPr>
        <w:tabs>
          <w:tab w:val="num" w:pos="3600"/>
        </w:tabs>
        <w:ind w:left="3600" w:hanging="360"/>
      </w:pPr>
      <w:rPr>
        <w:rFonts w:ascii="Symbol" w:hAnsi="Symbol" w:hint="default"/>
      </w:rPr>
    </w:lvl>
    <w:lvl w:ilvl="5" w:tplc="618EDEE2" w:tentative="1">
      <w:start w:val="1"/>
      <w:numFmt w:val="bullet"/>
      <w:lvlText w:val=""/>
      <w:lvlJc w:val="left"/>
      <w:pPr>
        <w:tabs>
          <w:tab w:val="num" w:pos="4320"/>
        </w:tabs>
        <w:ind w:left="4320" w:hanging="360"/>
      </w:pPr>
      <w:rPr>
        <w:rFonts w:ascii="Symbol" w:hAnsi="Symbol" w:hint="default"/>
      </w:rPr>
    </w:lvl>
    <w:lvl w:ilvl="6" w:tplc="38744582" w:tentative="1">
      <w:start w:val="1"/>
      <w:numFmt w:val="bullet"/>
      <w:lvlText w:val=""/>
      <w:lvlJc w:val="left"/>
      <w:pPr>
        <w:tabs>
          <w:tab w:val="num" w:pos="5040"/>
        </w:tabs>
        <w:ind w:left="5040" w:hanging="360"/>
      </w:pPr>
      <w:rPr>
        <w:rFonts w:ascii="Symbol" w:hAnsi="Symbol" w:hint="default"/>
      </w:rPr>
    </w:lvl>
    <w:lvl w:ilvl="7" w:tplc="F12CD1B2" w:tentative="1">
      <w:start w:val="1"/>
      <w:numFmt w:val="bullet"/>
      <w:lvlText w:val=""/>
      <w:lvlJc w:val="left"/>
      <w:pPr>
        <w:tabs>
          <w:tab w:val="num" w:pos="5760"/>
        </w:tabs>
        <w:ind w:left="5760" w:hanging="360"/>
      </w:pPr>
      <w:rPr>
        <w:rFonts w:ascii="Symbol" w:hAnsi="Symbol" w:hint="default"/>
      </w:rPr>
    </w:lvl>
    <w:lvl w:ilvl="8" w:tplc="1C9C152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10507BC"/>
    <w:multiLevelType w:val="hybridMultilevel"/>
    <w:tmpl w:val="B07AC4D0"/>
    <w:lvl w:ilvl="0" w:tplc="EB76B728">
      <w:start w:val="1"/>
      <w:numFmt w:val="bullet"/>
      <w:lvlText w:val=""/>
      <w:lvlJc w:val="left"/>
      <w:pPr>
        <w:tabs>
          <w:tab w:val="num" w:pos="720"/>
        </w:tabs>
        <w:ind w:left="720" w:hanging="360"/>
      </w:pPr>
      <w:rPr>
        <w:rFonts w:ascii="Symbol" w:hAnsi="Symbol" w:hint="default"/>
      </w:rPr>
    </w:lvl>
    <w:lvl w:ilvl="1" w:tplc="072C67FC" w:tentative="1">
      <w:start w:val="1"/>
      <w:numFmt w:val="bullet"/>
      <w:lvlText w:val=""/>
      <w:lvlJc w:val="left"/>
      <w:pPr>
        <w:tabs>
          <w:tab w:val="num" w:pos="1440"/>
        </w:tabs>
        <w:ind w:left="1440" w:hanging="360"/>
      </w:pPr>
      <w:rPr>
        <w:rFonts w:ascii="Symbol" w:hAnsi="Symbol" w:hint="default"/>
      </w:rPr>
    </w:lvl>
    <w:lvl w:ilvl="2" w:tplc="B15E0F4E" w:tentative="1">
      <w:start w:val="1"/>
      <w:numFmt w:val="bullet"/>
      <w:lvlText w:val=""/>
      <w:lvlJc w:val="left"/>
      <w:pPr>
        <w:tabs>
          <w:tab w:val="num" w:pos="2160"/>
        </w:tabs>
        <w:ind w:left="2160" w:hanging="360"/>
      </w:pPr>
      <w:rPr>
        <w:rFonts w:ascii="Symbol" w:hAnsi="Symbol" w:hint="default"/>
      </w:rPr>
    </w:lvl>
    <w:lvl w:ilvl="3" w:tplc="A104B510" w:tentative="1">
      <w:start w:val="1"/>
      <w:numFmt w:val="bullet"/>
      <w:lvlText w:val=""/>
      <w:lvlJc w:val="left"/>
      <w:pPr>
        <w:tabs>
          <w:tab w:val="num" w:pos="2880"/>
        </w:tabs>
        <w:ind w:left="2880" w:hanging="360"/>
      </w:pPr>
      <w:rPr>
        <w:rFonts w:ascii="Symbol" w:hAnsi="Symbol" w:hint="default"/>
      </w:rPr>
    </w:lvl>
    <w:lvl w:ilvl="4" w:tplc="DEC4BBFA" w:tentative="1">
      <w:start w:val="1"/>
      <w:numFmt w:val="bullet"/>
      <w:lvlText w:val=""/>
      <w:lvlJc w:val="left"/>
      <w:pPr>
        <w:tabs>
          <w:tab w:val="num" w:pos="3600"/>
        </w:tabs>
        <w:ind w:left="3600" w:hanging="360"/>
      </w:pPr>
      <w:rPr>
        <w:rFonts w:ascii="Symbol" w:hAnsi="Symbol" w:hint="default"/>
      </w:rPr>
    </w:lvl>
    <w:lvl w:ilvl="5" w:tplc="1E5891F6" w:tentative="1">
      <w:start w:val="1"/>
      <w:numFmt w:val="bullet"/>
      <w:lvlText w:val=""/>
      <w:lvlJc w:val="left"/>
      <w:pPr>
        <w:tabs>
          <w:tab w:val="num" w:pos="4320"/>
        </w:tabs>
        <w:ind w:left="4320" w:hanging="360"/>
      </w:pPr>
      <w:rPr>
        <w:rFonts w:ascii="Symbol" w:hAnsi="Symbol" w:hint="default"/>
      </w:rPr>
    </w:lvl>
    <w:lvl w:ilvl="6" w:tplc="FBE65AFE" w:tentative="1">
      <w:start w:val="1"/>
      <w:numFmt w:val="bullet"/>
      <w:lvlText w:val=""/>
      <w:lvlJc w:val="left"/>
      <w:pPr>
        <w:tabs>
          <w:tab w:val="num" w:pos="5040"/>
        </w:tabs>
        <w:ind w:left="5040" w:hanging="360"/>
      </w:pPr>
      <w:rPr>
        <w:rFonts w:ascii="Symbol" w:hAnsi="Symbol" w:hint="default"/>
      </w:rPr>
    </w:lvl>
    <w:lvl w:ilvl="7" w:tplc="151AF7B6" w:tentative="1">
      <w:start w:val="1"/>
      <w:numFmt w:val="bullet"/>
      <w:lvlText w:val=""/>
      <w:lvlJc w:val="left"/>
      <w:pPr>
        <w:tabs>
          <w:tab w:val="num" w:pos="5760"/>
        </w:tabs>
        <w:ind w:left="5760" w:hanging="360"/>
      </w:pPr>
      <w:rPr>
        <w:rFonts w:ascii="Symbol" w:hAnsi="Symbol" w:hint="default"/>
      </w:rPr>
    </w:lvl>
    <w:lvl w:ilvl="8" w:tplc="C114AC6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302C420D"/>
    <w:multiLevelType w:val="hybridMultilevel"/>
    <w:tmpl w:val="77BC06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71EB24F3"/>
    <w:multiLevelType w:val="hybridMultilevel"/>
    <w:tmpl w:val="611E1E4A"/>
    <w:lvl w:ilvl="0" w:tplc="62BAFC1A">
      <w:start w:val="1"/>
      <w:numFmt w:val="bullet"/>
      <w:lvlText w:val=""/>
      <w:lvlJc w:val="left"/>
      <w:pPr>
        <w:tabs>
          <w:tab w:val="num" w:pos="720"/>
        </w:tabs>
        <w:ind w:left="720" w:hanging="360"/>
      </w:pPr>
      <w:rPr>
        <w:rFonts w:ascii="Symbol" w:hAnsi="Symbol" w:hint="default"/>
      </w:rPr>
    </w:lvl>
    <w:lvl w:ilvl="1" w:tplc="213AFE20">
      <w:numFmt w:val="bullet"/>
      <w:lvlText w:val="‒"/>
      <w:lvlJc w:val="left"/>
      <w:pPr>
        <w:tabs>
          <w:tab w:val="num" w:pos="1440"/>
        </w:tabs>
        <w:ind w:left="1440" w:hanging="360"/>
      </w:pPr>
      <w:rPr>
        <w:rFonts w:ascii="Times New Roman" w:hAnsi="Times New Roman" w:hint="default"/>
      </w:rPr>
    </w:lvl>
    <w:lvl w:ilvl="2" w:tplc="C678932A" w:tentative="1">
      <w:start w:val="1"/>
      <w:numFmt w:val="bullet"/>
      <w:lvlText w:val=""/>
      <w:lvlJc w:val="left"/>
      <w:pPr>
        <w:tabs>
          <w:tab w:val="num" w:pos="2160"/>
        </w:tabs>
        <w:ind w:left="2160" w:hanging="360"/>
      </w:pPr>
      <w:rPr>
        <w:rFonts w:ascii="Symbol" w:hAnsi="Symbol" w:hint="default"/>
      </w:rPr>
    </w:lvl>
    <w:lvl w:ilvl="3" w:tplc="4D88E6E4" w:tentative="1">
      <w:start w:val="1"/>
      <w:numFmt w:val="bullet"/>
      <w:lvlText w:val=""/>
      <w:lvlJc w:val="left"/>
      <w:pPr>
        <w:tabs>
          <w:tab w:val="num" w:pos="2880"/>
        </w:tabs>
        <w:ind w:left="2880" w:hanging="360"/>
      </w:pPr>
      <w:rPr>
        <w:rFonts w:ascii="Symbol" w:hAnsi="Symbol" w:hint="default"/>
      </w:rPr>
    </w:lvl>
    <w:lvl w:ilvl="4" w:tplc="6DE8ED9C" w:tentative="1">
      <w:start w:val="1"/>
      <w:numFmt w:val="bullet"/>
      <w:lvlText w:val=""/>
      <w:lvlJc w:val="left"/>
      <w:pPr>
        <w:tabs>
          <w:tab w:val="num" w:pos="3600"/>
        </w:tabs>
        <w:ind w:left="3600" w:hanging="360"/>
      </w:pPr>
      <w:rPr>
        <w:rFonts w:ascii="Symbol" w:hAnsi="Symbol" w:hint="default"/>
      </w:rPr>
    </w:lvl>
    <w:lvl w:ilvl="5" w:tplc="17D21CC0" w:tentative="1">
      <w:start w:val="1"/>
      <w:numFmt w:val="bullet"/>
      <w:lvlText w:val=""/>
      <w:lvlJc w:val="left"/>
      <w:pPr>
        <w:tabs>
          <w:tab w:val="num" w:pos="4320"/>
        </w:tabs>
        <w:ind w:left="4320" w:hanging="360"/>
      </w:pPr>
      <w:rPr>
        <w:rFonts w:ascii="Symbol" w:hAnsi="Symbol" w:hint="default"/>
      </w:rPr>
    </w:lvl>
    <w:lvl w:ilvl="6" w:tplc="4E00C4BC" w:tentative="1">
      <w:start w:val="1"/>
      <w:numFmt w:val="bullet"/>
      <w:lvlText w:val=""/>
      <w:lvlJc w:val="left"/>
      <w:pPr>
        <w:tabs>
          <w:tab w:val="num" w:pos="5040"/>
        </w:tabs>
        <w:ind w:left="5040" w:hanging="360"/>
      </w:pPr>
      <w:rPr>
        <w:rFonts w:ascii="Symbol" w:hAnsi="Symbol" w:hint="default"/>
      </w:rPr>
    </w:lvl>
    <w:lvl w:ilvl="7" w:tplc="DDA460F0" w:tentative="1">
      <w:start w:val="1"/>
      <w:numFmt w:val="bullet"/>
      <w:lvlText w:val=""/>
      <w:lvlJc w:val="left"/>
      <w:pPr>
        <w:tabs>
          <w:tab w:val="num" w:pos="5760"/>
        </w:tabs>
        <w:ind w:left="5760" w:hanging="360"/>
      </w:pPr>
      <w:rPr>
        <w:rFonts w:ascii="Symbol" w:hAnsi="Symbol" w:hint="default"/>
      </w:rPr>
    </w:lvl>
    <w:lvl w:ilvl="8" w:tplc="507E8C14" w:tentative="1">
      <w:start w:val="1"/>
      <w:numFmt w:val="bullet"/>
      <w:lvlText w:val=""/>
      <w:lvlJc w:val="left"/>
      <w:pPr>
        <w:tabs>
          <w:tab w:val="num" w:pos="6480"/>
        </w:tabs>
        <w:ind w:left="6480" w:hanging="360"/>
      </w:pPr>
      <w:rPr>
        <w:rFonts w:ascii="Symbol" w:hAnsi="Symbol" w:hint="default"/>
      </w:rPr>
    </w:lvl>
  </w:abstractNum>
  <w:num w:numId="1" w16cid:durableId="1863589239">
    <w:abstractNumId w:val="0"/>
  </w:num>
  <w:num w:numId="2" w16cid:durableId="217473588">
    <w:abstractNumId w:val="1"/>
  </w:num>
  <w:num w:numId="3" w16cid:durableId="757215125">
    <w:abstractNumId w:val="3"/>
  </w:num>
  <w:num w:numId="4" w16cid:durableId="6257406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MS_Work10" w:val="0~SHDOCS||1~221267737||2~1||3~SPAI Closing PR.2 SFG edits||5~CPAVRI||6~CPAVRI||7~WORDX||8~DOC||10~8/30/2024 1:49:37 AM||11~8/30/2024 1:49:37 AM||13~63518||14~False||17~public||18~CPAVRI||19~CPAVRI||21~True||22~True||23~False||25~455318||26~00000||32~SEC||60~Safe Pro Group Inc.||61~IPO||67~Securities - Corporate||74~Pavri, Cavas S.||75~Pavri, Cavas S.||76~WORD 2007/2010||77~Document||82~docx||85~8/30/2024 1:49:43 AM||99~1/1/0001 12:00:00 AM||106~C:\Users\cpavri\AppData\Roaming\iManage\Work\Recent\455318-00000 SHDOCS_ Safe Pro Group Inc.--IPO\SPAI Closing PR.2 SFG edits(221267737.1).docx||107~1/1/0001 12:00:00 AM||109~8/30/2024 1:49:38 AM||113~8/30/2024 1:49:37 AM||114~8/30/2024 1:49:37 AM||124~False||"/>
    <w:docVar w:name="ForteTempFile" w:val="C:\Users\mjulseth\AppData\Local\Temp\8221e717-4e80-451f-8905-cb1c20ffd18b.docx"/>
    <w:docVar w:name="zzmp10LastTrailerInserted" w:val="^`~#mp!@I⌗_#:┖┭78=zŜmZ⌑“Y⌗GØWpàä₱fJ×i⌟W!Ú!…oI×&quot;9DÎÙ¼c@PI*ˋ⌌&quot;‥»&lt;Ř}jW&gt;hm±JŜ6Æ¹¬çUÈƔũ⌝Ŧ/&amp;*⌛ƃæ³‥½à⌞Á][.SX7)·á⌂;ƗìýTßc⌙tò_¬ŪÑÞ±⌍°Þ|⌜æ⌄˞þFò′ªeiÿV¼ùÐ»‫ßMÈÓZáL‵}⌗tÛÑ7⌆PNb79&lt;011"/>
    <w:docVar w:name="zzmp10LastTrailerInserted_1079" w:val="^`~#mp!@I⌗_#:┖┭78=zŜmZ⌑“Y⌗GØWpàä₱fJ×i⌟W!Ú!…oI×&quot;9DÎÙ¼c@PI*ˋ⌌&quot;‥»&lt;Ř}jW&gt;hm±JŜ6Æ¹¬çUÈƔũ⌝Ŧ/&amp;*⌛ƃæ³‥½à⌞Á][.SX7)·á⌂;ƗìýTßc⌙tò_¬ŪÑÞ±⌍°Þ|⌜æ⌄˞þFò′ªeiÿV¼ùÐ»‫ßMÈÓZáL‵}⌗tÛÑ7⌆PNb79&lt;011"/>
    <w:docVar w:name="zzmp10mSEGsValidated" w:val="1"/>
    <w:docVar w:name="zzmpCompatibilityMode" w:val="15"/>
  </w:docVars>
  <w:rsids>
    <w:rsidRoot w:val="00F971E2"/>
    <w:rsid w:val="000004AD"/>
    <w:rsid w:val="0000123D"/>
    <w:rsid w:val="0000326B"/>
    <w:rsid w:val="000044D6"/>
    <w:rsid w:val="00005DB4"/>
    <w:rsid w:val="00006CB2"/>
    <w:rsid w:val="00007672"/>
    <w:rsid w:val="00013FFD"/>
    <w:rsid w:val="000151F8"/>
    <w:rsid w:val="000163C8"/>
    <w:rsid w:val="00016DE2"/>
    <w:rsid w:val="00016F53"/>
    <w:rsid w:val="00022B7E"/>
    <w:rsid w:val="00023FE2"/>
    <w:rsid w:val="0002668D"/>
    <w:rsid w:val="000305A1"/>
    <w:rsid w:val="00030AD6"/>
    <w:rsid w:val="00033882"/>
    <w:rsid w:val="0003416F"/>
    <w:rsid w:val="0003486C"/>
    <w:rsid w:val="0003741A"/>
    <w:rsid w:val="00037A2F"/>
    <w:rsid w:val="00037EFA"/>
    <w:rsid w:val="00044D5E"/>
    <w:rsid w:val="000500D7"/>
    <w:rsid w:val="000508AB"/>
    <w:rsid w:val="000517F4"/>
    <w:rsid w:val="00051917"/>
    <w:rsid w:val="00054068"/>
    <w:rsid w:val="0005472D"/>
    <w:rsid w:val="0005494A"/>
    <w:rsid w:val="00057B38"/>
    <w:rsid w:val="00060956"/>
    <w:rsid w:val="00061A9B"/>
    <w:rsid w:val="00062BB4"/>
    <w:rsid w:val="00062C0D"/>
    <w:rsid w:val="0006305D"/>
    <w:rsid w:val="00070C9B"/>
    <w:rsid w:val="00072A36"/>
    <w:rsid w:val="0007745B"/>
    <w:rsid w:val="00092684"/>
    <w:rsid w:val="00092B2C"/>
    <w:rsid w:val="00093068"/>
    <w:rsid w:val="000973B9"/>
    <w:rsid w:val="000A0637"/>
    <w:rsid w:val="000A2DA7"/>
    <w:rsid w:val="000A4E9A"/>
    <w:rsid w:val="000A5FD4"/>
    <w:rsid w:val="000A7132"/>
    <w:rsid w:val="000A747B"/>
    <w:rsid w:val="000C1A5A"/>
    <w:rsid w:val="000C3DCE"/>
    <w:rsid w:val="000C45A7"/>
    <w:rsid w:val="000C6A35"/>
    <w:rsid w:val="000D595B"/>
    <w:rsid w:val="000D6464"/>
    <w:rsid w:val="000D64B4"/>
    <w:rsid w:val="000D6AFC"/>
    <w:rsid w:val="000D6E0D"/>
    <w:rsid w:val="000E06F2"/>
    <w:rsid w:val="000E323B"/>
    <w:rsid w:val="000E41FA"/>
    <w:rsid w:val="000E5B02"/>
    <w:rsid w:val="000E6065"/>
    <w:rsid w:val="000F0DFC"/>
    <w:rsid w:val="000F3843"/>
    <w:rsid w:val="000F6C3B"/>
    <w:rsid w:val="001033F5"/>
    <w:rsid w:val="0010362E"/>
    <w:rsid w:val="00105D14"/>
    <w:rsid w:val="00111BA2"/>
    <w:rsid w:val="00113364"/>
    <w:rsid w:val="001176B6"/>
    <w:rsid w:val="00120EEA"/>
    <w:rsid w:val="001228C8"/>
    <w:rsid w:val="0012480A"/>
    <w:rsid w:val="001264FC"/>
    <w:rsid w:val="00126DEE"/>
    <w:rsid w:val="00130C36"/>
    <w:rsid w:val="00135076"/>
    <w:rsid w:val="00135425"/>
    <w:rsid w:val="00135F2A"/>
    <w:rsid w:val="00140480"/>
    <w:rsid w:val="001406F2"/>
    <w:rsid w:val="00140E18"/>
    <w:rsid w:val="00140E4A"/>
    <w:rsid w:val="00146612"/>
    <w:rsid w:val="001466FD"/>
    <w:rsid w:val="00146ECD"/>
    <w:rsid w:val="001527B9"/>
    <w:rsid w:val="001527F7"/>
    <w:rsid w:val="00153289"/>
    <w:rsid w:val="001536B5"/>
    <w:rsid w:val="00155623"/>
    <w:rsid w:val="00155CCC"/>
    <w:rsid w:val="001578A7"/>
    <w:rsid w:val="0016266A"/>
    <w:rsid w:val="001714C0"/>
    <w:rsid w:val="00173953"/>
    <w:rsid w:val="00173EF4"/>
    <w:rsid w:val="00181BDD"/>
    <w:rsid w:val="0018202C"/>
    <w:rsid w:val="00186CAD"/>
    <w:rsid w:val="00190A70"/>
    <w:rsid w:val="00197DB1"/>
    <w:rsid w:val="001A0F95"/>
    <w:rsid w:val="001A1059"/>
    <w:rsid w:val="001A174F"/>
    <w:rsid w:val="001A5782"/>
    <w:rsid w:val="001A7B71"/>
    <w:rsid w:val="001B4F08"/>
    <w:rsid w:val="001B7F74"/>
    <w:rsid w:val="001C0C75"/>
    <w:rsid w:val="001C15AF"/>
    <w:rsid w:val="001C4E55"/>
    <w:rsid w:val="001C577C"/>
    <w:rsid w:val="001C69D5"/>
    <w:rsid w:val="001D288E"/>
    <w:rsid w:val="001D2B66"/>
    <w:rsid w:val="001D2C30"/>
    <w:rsid w:val="001E1DB6"/>
    <w:rsid w:val="001E3401"/>
    <w:rsid w:val="001E6952"/>
    <w:rsid w:val="001E78D3"/>
    <w:rsid w:val="001F44A3"/>
    <w:rsid w:val="001F4B99"/>
    <w:rsid w:val="001F79E3"/>
    <w:rsid w:val="002000C8"/>
    <w:rsid w:val="002058B2"/>
    <w:rsid w:val="00205F75"/>
    <w:rsid w:val="0021065D"/>
    <w:rsid w:val="00210784"/>
    <w:rsid w:val="00210C97"/>
    <w:rsid w:val="00212D54"/>
    <w:rsid w:val="00213DD1"/>
    <w:rsid w:val="00215C06"/>
    <w:rsid w:val="00220CDC"/>
    <w:rsid w:val="0022113B"/>
    <w:rsid w:val="00221521"/>
    <w:rsid w:val="00222362"/>
    <w:rsid w:val="00223F12"/>
    <w:rsid w:val="00224D60"/>
    <w:rsid w:val="00227D2A"/>
    <w:rsid w:val="00231F6D"/>
    <w:rsid w:val="00235B17"/>
    <w:rsid w:val="00243033"/>
    <w:rsid w:val="00243559"/>
    <w:rsid w:val="00244944"/>
    <w:rsid w:val="002454E2"/>
    <w:rsid w:val="0024759F"/>
    <w:rsid w:val="002504CB"/>
    <w:rsid w:val="00250C3F"/>
    <w:rsid w:val="00250F67"/>
    <w:rsid w:val="0025100C"/>
    <w:rsid w:val="002609B4"/>
    <w:rsid w:val="00262C96"/>
    <w:rsid w:val="00263321"/>
    <w:rsid w:val="00270C2A"/>
    <w:rsid w:val="002808BE"/>
    <w:rsid w:val="002814AD"/>
    <w:rsid w:val="00282F7F"/>
    <w:rsid w:val="002847A3"/>
    <w:rsid w:val="00285006"/>
    <w:rsid w:val="0029161A"/>
    <w:rsid w:val="00294935"/>
    <w:rsid w:val="00295B10"/>
    <w:rsid w:val="00296A97"/>
    <w:rsid w:val="002A21E6"/>
    <w:rsid w:val="002A34C0"/>
    <w:rsid w:val="002A396D"/>
    <w:rsid w:val="002A5377"/>
    <w:rsid w:val="002B08A0"/>
    <w:rsid w:val="002B2CC9"/>
    <w:rsid w:val="002B5822"/>
    <w:rsid w:val="002B7A55"/>
    <w:rsid w:val="002B7B4A"/>
    <w:rsid w:val="002B7DF4"/>
    <w:rsid w:val="002C06E1"/>
    <w:rsid w:val="002C100F"/>
    <w:rsid w:val="002C3D5E"/>
    <w:rsid w:val="002C4CC3"/>
    <w:rsid w:val="002C4FBC"/>
    <w:rsid w:val="002C5211"/>
    <w:rsid w:val="002D2E3F"/>
    <w:rsid w:val="002D53FD"/>
    <w:rsid w:val="002D6647"/>
    <w:rsid w:val="002E352D"/>
    <w:rsid w:val="002E7125"/>
    <w:rsid w:val="002E7393"/>
    <w:rsid w:val="003018A5"/>
    <w:rsid w:val="00301E75"/>
    <w:rsid w:val="003022D5"/>
    <w:rsid w:val="00312EE0"/>
    <w:rsid w:val="00315589"/>
    <w:rsid w:val="00322C90"/>
    <w:rsid w:val="00324470"/>
    <w:rsid w:val="00324AB8"/>
    <w:rsid w:val="0032500A"/>
    <w:rsid w:val="00325EA1"/>
    <w:rsid w:val="00331366"/>
    <w:rsid w:val="00333D3B"/>
    <w:rsid w:val="003412F5"/>
    <w:rsid w:val="00350132"/>
    <w:rsid w:val="00351F02"/>
    <w:rsid w:val="0035450C"/>
    <w:rsid w:val="00355E7C"/>
    <w:rsid w:val="00357BAC"/>
    <w:rsid w:val="0036199A"/>
    <w:rsid w:val="00362875"/>
    <w:rsid w:val="00362923"/>
    <w:rsid w:val="0036531D"/>
    <w:rsid w:val="003673EA"/>
    <w:rsid w:val="00370D3B"/>
    <w:rsid w:val="0037391D"/>
    <w:rsid w:val="00376FAA"/>
    <w:rsid w:val="00381517"/>
    <w:rsid w:val="00383C85"/>
    <w:rsid w:val="00384D25"/>
    <w:rsid w:val="00384DE5"/>
    <w:rsid w:val="00385887"/>
    <w:rsid w:val="00387388"/>
    <w:rsid w:val="0039045A"/>
    <w:rsid w:val="00392660"/>
    <w:rsid w:val="003977F7"/>
    <w:rsid w:val="00397AF5"/>
    <w:rsid w:val="00397FF1"/>
    <w:rsid w:val="003A0190"/>
    <w:rsid w:val="003A140F"/>
    <w:rsid w:val="003A4051"/>
    <w:rsid w:val="003A5F84"/>
    <w:rsid w:val="003B0425"/>
    <w:rsid w:val="003B33D6"/>
    <w:rsid w:val="003B3439"/>
    <w:rsid w:val="003B6D87"/>
    <w:rsid w:val="003B7ADD"/>
    <w:rsid w:val="003C1587"/>
    <w:rsid w:val="003C3A25"/>
    <w:rsid w:val="003C49E4"/>
    <w:rsid w:val="003D1BE4"/>
    <w:rsid w:val="003D1C76"/>
    <w:rsid w:val="003D2012"/>
    <w:rsid w:val="003D2E48"/>
    <w:rsid w:val="003D3495"/>
    <w:rsid w:val="003D4451"/>
    <w:rsid w:val="003D50ED"/>
    <w:rsid w:val="003D5D2D"/>
    <w:rsid w:val="003D5D4A"/>
    <w:rsid w:val="003E253A"/>
    <w:rsid w:val="003E3CC8"/>
    <w:rsid w:val="003E4E70"/>
    <w:rsid w:val="003F08CD"/>
    <w:rsid w:val="003F3D3D"/>
    <w:rsid w:val="00404285"/>
    <w:rsid w:val="004069B3"/>
    <w:rsid w:val="00410360"/>
    <w:rsid w:val="00412DEB"/>
    <w:rsid w:val="00412E94"/>
    <w:rsid w:val="00413807"/>
    <w:rsid w:val="00416F9E"/>
    <w:rsid w:val="00417648"/>
    <w:rsid w:val="00417E16"/>
    <w:rsid w:val="00422DC9"/>
    <w:rsid w:val="00423FD2"/>
    <w:rsid w:val="00424E79"/>
    <w:rsid w:val="0042571C"/>
    <w:rsid w:val="00425B83"/>
    <w:rsid w:val="00425C58"/>
    <w:rsid w:val="00430C3C"/>
    <w:rsid w:val="00432A27"/>
    <w:rsid w:val="004336CC"/>
    <w:rsid w:val="00433DF0"/>
    <w:rsid w:val="00435237"/>
    <w:rsid w:val="0043745A"/>
    <w:rsid w:val="00441C71"/>
    <w:rsid w:val="00447400"/>
    <w:rsid w:val="00450246"/>
    <w:rsid w:val="00454CAB"/>
    <w:rsid w:val="00454FD0"/>
    <w:rsid w:val="004554A9"/>
    <w:rsid w:val="00456ABD"/>
    <w:rsid w:val="00462CBE"/>
    <w:rsid w:val="00463D3B"/>
    <w:rsid w:val="00465BC7"/>
    <w:rsid w:val="004670F8"/>
    <w:rsid w:val="004743ED"/>
    <w:rsid w:val="00476C0C"/>
    <w:rsid w:val="004776DB"/>
    <w:rsid w:val="0047794A"/>
    <w:rsid w:val="0048132E"/>
    <w:rsid w:val="00482667"/>
    <w:rsid w:val="00492D83"/>
    <w:rsid w:val="00493D8D"/>
    <w:rsid w:val="004A0A00"/>
    <w:rsid w:val="004A2B62"/>
    <w:rsid w:val="004A3C5B"/>
    <w:rsid w:val="004A4DCC"/>
    <w:rsid w:val="004A5AA0"/>
    <w:rsid w:val="004B6320"/>
    <w:rsid w:val="004B6564"/>
    <w:rsid w:val="004C6D80"/>
    <w:rsid w:val="004C7CAD"/>
    <w:rsid w:val="004D0974"/>
    <w:rsid w:val="004D642C"/>
    <w:rsid w:val="004D6531"/>
    <w:rsid w:val="004D7044"/>
    <w:rsid w:val="004D72AD"/>
    <w:rsid w:val="004E3F25"/>
    <w:rsid w:val="004E7642"/>
    <w:rsid w:val="004E7D49"/>
    <w:rsid w:val="004F0A04"/>
    <w:rsid w:val="004F0AE7"/>
    <w:rsid w:val="004F4180"/>
    <w:rsid w:val="004F59AF"/>
    <w:rsid w:val="004F7AD0"/>
    <w:rsid w:val="00503F29"/>
    <w:rsid w:val="0050461D"/>
    <w:rsid w:val="00506F75"/>
    <w:rsid w:val="00507629"/>
    <w:rsid w:val="00507C56"/>
    <w:rsid w:val="00511795"/>
    <w:rsid w:val="00511CF8"/>
    <w:rsid w:val="005124F2"/>
    <w:rsid w:val="00512FF4"/>
    <w:rsid w:val="005156C1"/>
    <w:rsid w:val="005158F2"/>
    <w:rsid w:val="00515A09"/>
    <w:rsid w:val="00517BAA"/>
    <w:rsid w:val="005208A3"/>
    <w:rsid w:val="00521B1F"/>
    <w:rsid w:val="0052363C"/>
    <w:rsid w:val="00525A51"/>
    <w:rsid w:val="00525AC8"/>
    <w:rsid w:val="0052623A"/>
    <w:rsid w:val="00530AA4"/>
    <w:rsid w:val="00530F95"/>
    <w:rsid w:val="00533B0C"/>
    <w:rsid w:val="00533D92"/>
    <w:rsid w:val="00534583"/>
    <w:rsid w:val="00536BA5"/>
    <w:rsid w:val="00537BA0"/>
    <w:rsid w:val="005412DF"/>
    <w:rsid w:val="00542F90"/>
    <w:rsid w:val="0054607D"/>
    <w:rsid w:val="00546B60"/>
    <w:rsid w:val="00551352"/>
    <w:rsid w:val="00555810"/>
    <w:rsid w:val="00556F91"/>
    <w:rsid w:val="00557662"/>
    <w:rsid w:val="00562111"/>
    <w:rsid w:val="005653C4"/>
    <w:rsid w:val="00565FCB"/>
    <w:rsid w:val="00572E67"/>
    <w:rsid w:val="00573EBF"/>
    <w:rsid w:val="00575708"/>
    <w:rsid w:val="005778B6"/>
    <w:rsid w:val="00580C80"/>
    <w:rsid w:val="005840D7"/>
    <w:rsid w:val="00591A6D"/>
    <w:rsid w:val="005926A4"/>
    <w:rsid w:val="00592F11"/>
    <w:rsid w:val="00592F17"/>
    <w:rsid w:val="0059332E"/>
    <w:rsid w:val="005957C5"/>
    <w:rsid w:val="005A0A22"/>
    <w:rsid w:val="005A1899"/>
    <w:rsid w:val="005A1B20"/>
    <w:rsid w:val="005A3759"/>
    <w:rsid w:val="005A74D7"/>
    <w:rsid w:val="005B0EA0"/>
    <w:rsid w:val="005B3815"/>
    <w:rsid w:val="005C00FF"/>
    <w:rsid w:val="005C1728"/>
    <w:rsid w:val="005C6177"/>
    <w:rsid w:val="005C65B6"/>
    <w:rsid w:val="005D036E"/>
    <w:rsid w:val="005D18BA"/>
    <w:rsid w:val="005D3817"/>
    <w:rsid w:val="005D5EA7"/>
    <w:rsid w:val="005D65BC"/>
    <w:rsid w:val="005E44B2"/>
    <w:rsid w:val="005F3919"/>
    <w:rsid w:val="005F465B"/>
    <w:rsid w:val="005F565A"/>
    <w:rsid w:val="005F6180"/>
    <w:rsid w:val="0060187F"/>
    <w:rsid w:val="00601F97"/>
    <w:rsid w:val="00602C9A"/>
    <w:rsid w:val="00603AD6"/>
    <w:rsid w:val="0060533B"/>
    <w:rsid w:val="00611F90"/>
    <w:rsid w:val="0061541D"/>
    <w:rsid w:val="00616020"/>
    <w:rsid w:val="0062416C"/>
    <w:rsid w:val="00625D93"/>
    <w:rsid w:val="006300E5"/>
    <w:rsid w:val="00630B22"/>
    <w:rsid w:val="00632CFF"/>
    <w:rsid w:val="00635189"/>
    <w:rsid w:val="006354FC"/>
    <w:rsid w:val="0064561B"/>
    <w:rsid w:val="00650E28"/>
    <w:rsid w:val="00653AE6"/>
    <w:rsid w:val="00654808"/>
    <w:rsid w:val="0065556D"/>
    <w:rsid w:val="00657327"/>
    <w:rsid w:val="0066049D"/>
    <w:rsid w:val="006645B7"/>
    <w:rsid w:val="006666AE"/>
    <w:rsid w:val="00670756"/>
    <w:rsid w:val="00671C44"/>
    <w:rsid w:val="006755EC"/>
    <w:rsid w:val="00675CC0"/>
    <w:rsid w:val="006803F5"/>
    <w:rsid w:val="006809A3"/>
    <w:rsid w:val="00681B84"/>
    <w:rsid w:val="0069080A"/>
    <w:rsid w:val="00691385"/>
    <w:rsid w:val="00693BF5"/>
    <w:rsid w:val="0069473B"/>
    <w:rsid w:val="00695A50"/>
    <w:rsid w:val="00697123"/>
    <w:rsid w:val="006A0135"/>
    <w:rsid w:val="006A2E19"/>
    <w:rsid w:val="006A3962"/>
    <w:rsid w:val="006A52AD"/>
    <w:rsid w:val="006B13A6"/>
    <w:rsid w:val="006B2E9D"/>
    <w:rsid w:val="006B31DA"/>
    <w:rsid w:val="006B3C90"/>
    <w:rsid w:val="006B5290"/>
    <w:rsid w:val="006B5836"/>
    <w:rsid w:val="006C153B"/>
    <w:rsid w:val="006C465B"/>
    <w:rsid w:val="006C569D"/>
    <w:rsid w:val="006C5B09"/>
    <w:rsid w:val="006C71F2"/>
    <w:rsid w:val="006D198B"/>
    <w:rsid w:val="006D1EA4"/>
    <w:rsid w:val="006D3347"/>
    <w:rsid w:val="006D62EB"/>
    <w:rsid w:val="006E31E8"/>
    <w:rsid w:val="006E43EA"/>
    <w:rsid w:val="006E779A"/>
    <w:rsid w:val="006F06E0"/>
    <w:rsid w:val="006F457D"/>
    <w:rsid w:val="006F4744"/>
    <w:rsid w:val="006F4D02"/>
    <w:rsid w:val="006F6B2B"/>
    <w:rsid w:val="00701C17"/>
    <w:rsid w:val="00702767"/>
    <w:rsid w:val="00703B72"/>
    <w:rsid w:val="007044C1"/>
    <w:rsid w:val="007061C2"/>
    <w:rsid w:val="00710875"/>
    <w:rsid w:val="00716403"/>
    <w:rsid w:val="0071799F"/>
    <w:rsid w:val="007211F8"/>
    <w:rsid w:val="007219AB"/>
    <w:rsid w:val="00722C56"/>
    <w:rsid w:val="00726A87"/>
    <w:rsid w:val="00735210"/>
    <w:rsid w:val="0073791F"/>
    <w:rsid w:val="0074222B"/>
    <w:rsid w:val="00745320"/>
    <w:rsid w:val="00745F37"/>
    <w:rsid w:val="00746B62"/>
    <w:rsid w:val="00747DF6"/>
    <w:rsid w:val="00750042"/>
    <w:rsid w:val="00750527"/>
    <w:rsid w:val="00761F3A"/>
    <w:rsid w:val="00763D16"/>
    <w:rsid w:val="00770EF4"/>
    <w:rsid w:val="00770F7D"/>
    <w:rsid w:val="00771EA0"/>
    <w:rsid w:val="00773B65"/>
    <w:rsid w:val="00774C63"/>
    <w:rsid w:val="007805EB"/>
    <w:rsid w:val="00780914"/>
    <w:rsid w:val="00781D46"/>
    <w:rsid w:val="007840DA"/>
    <w:rsid w:val="00784B50"/>
    <w:rsid w:val="0078769C"/>
    <w:rsid w:val="00793B87"/>
    <w:rsid w:val="00797ACE"/>
    <w:rsid w:val="007A0DA5"/>
    <w:rsid w:val="007A46E9"/>
    <w:rsid w:val="007A7B5F"/>
    <w:rsid w:val="007B1105"/>
    <w:rsid w:val="007B179F"/>
    <w:rsid w:val="007B2C01"/>
    <w:rsid w:val="007B3A52"/>
    <w:rsid w:val="007C25E0"/>
    <w:rsid w:val="007C347B"/>
    <w:rsid w:val="007C356C"/>
    <w:rsid w:val="007C4B4F"/>
    <w:rsid w:val="007C55CD"/>
    <w:rsid w:val="007C5B62"/>
    <w:rsid w:val="007C62B5"/>
    <w:rsid w:val="007C6782"/>
    <w:rsid w:val="007D14BB"/>
    <w:rsid w:val="007D5592"/>
    <w:rsid w:val="007E0A94"/>
    <w:rsid w:val="007E300C"/>
    <w:rsid w:val="007E69EA"/>
    <w:rsid w:val="007F14B8"/>
    <w:rsid w:val="007F47BA"/>
    <w:rsid w:val="007F52E6"/>
    <w:rsid w:val="007F631D"/>
    <w:rsid w:val="007F75F2"/>
    <w:rsid w:val="00801CE6"/>
    <w:rsid w:val="00803C41"/>
    <w:rsid w:val="00806256"/>
    <w:rsid w:val="008151BA"/>
    <w:rsid w:val="00816069"/>
    <w:rsid w:val="00816859"/>
    <w:rsid w:val="00827A49"/>
    <w:rsid w:val="00827BEF"/>
    <w:rsid w:val="00831B7F"/>
    <w:rsid w:val="00836F4B"/>
    <w:rsid w:val="008441F1"/>
    <w:rsid w:val="00844C81"/>
    <w:rsid w:val="008528E4"/>
    <w:rsid w:val="00852F62"/>
    <w:rsid w:val="008536E3"/>
    <w:rsid w:val="0085451E"/>
    <w:rsid w:val="00863311"/>
    <w:rsid w:val="008645C7"/>
    <w:rsid w:val="00866561"/>
    <w:rsid w:val="008723E1"/>
    <w:rsid w:val="008730FE"/>
    <w:rsid w:val="008827ED"/>
    <w:rsid w:val="00883B65"/>
    <w:rsid w:val="00885586"/>
    <w:rsid w:val="00885AC0"/>
    <w:rsid w:val="008903B4"/>
    <w:rsid w:val="0089061E"/>
    <w:rsid w:val="00893106"/>
    <w:rsid w:val="00894E88"/>
    <w:rsid w:val="008A1E41"/>
    <w:rsid w:val="008A3773"/>
    <w:rsid w:val="008A4CFF"/>
    <w:rsid w:val="008B0023"/>
    <w:rsid w:val="008B09C9"/>
    <w:rsid w:val="008B52DE"/>
    <w:rsid w:val="008C2971"/>
    <w:rsid w:val="008C2E35"/>
    <w:rsid w:val="008C47F0"/>
    <w:rsid w:val="008C7451"/>
    <w:rsid w:val="008D07BE"/>
    <w:rsid w:val="008D3848"/>
    <w:rsid w:val="008D3A34"/>
    <w:rsid w:val="008D5189"/>
    <w:rsid w:val="008D6831"/>
    <w:rsid w:val="008E4AB8"/>
    <w:rsid w:val="008E6F7E"/>
    <w:rsid w:val="008F11CA"/>
    <w:rsid w:val="008F3ECC"/>
    <w:rsid w:val="008F5282"/>
    <w:rsid w:val="008F5457"/>
    <w:rsid w:val="008F7FEA"/>
    <w:rsid w:val="00901466"/>
    <w:rsid w:val="0090719E"/>
    <w:rsid w:val="00907845"/>
    <w:rsid w:val="00911DE5"/>
    <w:rsid w:val="00915E17"/>
    <w:rsid w:val="00916543"/>
    <w:rsid w:val="00916C9F"/>
    <w:rsid w:val="00917E53"/>
    <w:rsid w:val="00924F48"/>
    <w:rsid w:val="00926A8F"/>
    <w:rsid w:val="00930D18"/>
    <w:rsid w:val="009312E4"/>
    <w:rsid w:val="00931AC6"/>
    <w:rsid w:val="00937F61"/>
    <w:rsid w:val="00941122"/>
    <w:rsid w:val="009415B1"/>
    <w:rsid w:val="00943C5C"/>
    <w:rsid w:val="00945935"/>
    <w:rsid w:val="00945ACF"/>
    <w:rsid w:val="00946F5F"/>
    <w:rsid w:val="009511A7"/>
    <w:rsid w:val="00952ED2"/>
    <w:rsid w:val="00953094"/>
    <w:rsid w:val="00954481"/>
    <w:rsid w:val="00956133"/>
    <w:rsid w:val="0095786F"/>
    <w:rsid w:val="0096532C"/>
    <w:rsid w:val="009661B0"/>
    <w:rsid w:val="00967CB4"/>
    <w:rsid w:val="00981553"/>
    <w:rsid w:val="009831D9"/>
    <w:rsid w:val="0098363C"/>
    <w:rsid w:val="00983828"/>
    <w:rsid w:val="0098398D"/>
    <w:rsid w:val="00985B1C"/>
    <w:rsid w:val="00990AD5"/>
    <w:rsid w:val="00991BC8"/>
    <w:rsid w:val="009923D8"/>
    <w:rsid w:val="00996D49"/>
    <w:rsid w:val="00997B76"/>
    <w:rsid w:val="009A021E"/>
    <w:rsid w:val="009A0397"/>
    <w:rsid w:val="009A14DD"/>
    <w:rsid w:val="009A5718"/>
    <w:rsid w:val="009B0AFE"/>
    <w:rsid w:val="009B0B16"/>
    <w:rsid w:val="009B15BD"/>
    <w:rsid w:val="009B3239"/>
    <w:rsid w:val="009B39D0"/>
    <w:rsid w:val="009C502B"/>
    <w:rsid w:val="009D36FE"/>
    <w:rsid w:val="009D547E"/>
    <w:rsid w:val="009D738F"/>
    <w:rsid w:val="009E051C"/>
    <w:rsid w:val="009E0689"/>
    <w:rsid w:val="009E2ADC"/>
    <w:rsid w:val="009F044E"/>
    <w:rsid w:val="009F4D84"/>
    <w:rsid w:val="009F71D1"/>
    <w:rsid w:val="00A12411"/>
    <w:rsid w:val="00A12512"/>
    <w:rsid w:val="00A131A4"/>
    <w:rsid w:val="00A16BE7"/>
    <w:rsid w:val="00A17DE2"/>
    <w:rsid w:val="00A21F0C"/>
    <w:rsid w:val="00A22F69"/>
    <w:rsid w:val="00A235A8"/>
    <w:rsid w:val="00A23963"/>
    <w:rsid w:val="00A2412F"/>
    <w:rsid w:val="00A27256"/>
    <w:rsid w:val="00A273B7"/>
    <w:rsid w:val="00A27C94"/>
    <w:rsid w:val="00A335D9"/>
    <w:rsid w:val="00A34BF6"/>
    <w:rsid w:val="00A36E25"/>
    <w:rsid w:val="00A40D5B"/>
    <w:rsid w:val="00A44356"/>
    <w:rsid w:val="00A44FEF"/>
    <w:rsid w:val="00A4542D"/>
    <w:rsid w:val="00A4751D"/>
    <w:rsid w:val="00A526B7"/>
    <w:rsid w:val="00A52AAD"/>
    <w:rsid w:val="00A5310B"/>
    <w:rsid w:val="00A541F4"/>
    <w:rsid w:val="00A63921"/>
    <w:rsid w:val="00A65953"/>
    <w:rsid w:val="00A66A9E"/>
    <w:rsid w:val="00A7195E"/>
    <w:rsid w:val="00A77AF7"/>
    <w:rsid w:val="00A77D4E"/>
    <w:rsid w:val="00A81E8A"/>
    <w:rsid w:val="00A82E8D"/>
    <w:rsid w:val="00A84891"/>
    <w:rsid w:val="00A8728A"/>
    <w:rsid w:val="00A93060"/>
    <w:rsid w:val="00A93A2C"/>
    <w:rsid w:val="00A95AF0"/>
    <w:rsid w:val="00A97724"/>
    <w:rsid w:val="00A97F56"/>
    <w:rsid w:val="00AA022B"/>
    <w:rsid w:val="00AA375A"/>
    <w:rsid w:val="00AA5399"/>
    <w:rsid w:val="00AA61A8"/>
    <w:rsid w:val="00AB1288"/>
    <w:rsid w:val="00AB175A"/>
    <w:rsid w:val="00AB2761"/>
    <w:rsid w:val="00AB6B69"/>
    <w:rsid w:val="00AC25FF"/>
    <w:rsid w:val="00AC2D93"/>
    <w:rsid w:val="00AC4280"/>
    <w:rsid w:val="00AC561A"/>
    <w:rsid w:val="00AC6367"/>
    <w:rsid w:val="00AD327E"/>
    <w:rsid w:val="00AD70E6"/>
    <w:rsid w:val="00AE1932"/>
    <w:rsid w:val="00AE547A"/>
    <w:rsid w:val="00AE58BF"/>
    <w:rsid w:val="00AE5F09"/>
    <w:rsid w:val="00AE752A"/>
    <w:rsid w:val="00AF0D02"/>
    <w:rsid w:val="00AF113B"/>
    <w:rsid w:val="00AF5626"/>
    <w:rsid w:val="00AF5CF7"/>
    <w:rsid w:val="00AF69BE"/>
    <w:rsid w:val="00B00717"/>
    <w:rsid w:val="00B04ED1"/>
    <w:rsid w:val="00B05D62"/>
    <w:rsid w:val="00B108CF"/>
    <w:rsid w:val="00B109A1"/>
    <w:rsid w:val="00B12484"/>
    <w:rsid w:val="00B21DB9"/>
    <w:rsid w:val="00B26B31"/>
    <w:rsid w:val="00B30865"/>
    <w:rsid w:val="00B335BA"/>
    <w:rsid w:val="00B4359C"/>
    <w:rsid w:val="00B468B5"/>
    <w:rsid w:val="00B47FD8"/>
    <w:rsid w:val="00B52BBD"/>
    <w:rsid w:val="00B53B1D"/>
    <w:rsid w:val="00B57368"/>
    <w:rsid w:val="00B6273F"/>
    <w:rsid w:val="00B706C5"/>
    <w:rsid w:val="00B73D36"/>
    <w:rsid w:val="00B75CF7"/>
    <w:rsid w:val="00B80800"/>
    <w:rsid w:val="00B87F17"/>
    <w:rsid w:val="00B948EC"/>
    <w:rsid w:val="00B9565E"/>
    <w:rsid w:val="00B96F1D"/>
    <w:rsid w:val="00B96F83"/>
    <w:rsid w:val="00BA0B63"/>
    <w:rsid w:val="00BA20A9"/>
    <w:rsid w:val="00BB069D"/>
    <w:rsid w:val="00BB1A9E"/>
    <w:rsid w:val="00BB2DC4"/>
    <w:rsid w:val="00BB49C7"/>
    <w:rsid w:val="00BB5018"/>
    <w:rsid w:val="00BB7A61"/>
    <w:rsid w:val="00BC010E"/>
    <w:rsid w:val="00BC0DC5"/>
    <w:rsid w:val="00BC66CC"/>
    <w:rsid w:val="00BC781D"/>
    <w:rsid w:val="00BD0326"/>
    <w:rsid w:val="00BD04FD"/>
    <w:rsid w:val="00BD068A"/>
    <w:rsid w:val="00BD074A"/>
    <w:rsid w:val="00BD4E88"/>
    <w:rsid w:val="00BD522E"/>
    <w:rsid w:val="00BD6398"/>
    <w:rsid w:val="00BE30E8"/>
    <w:rsid w:val="00BE710E"/>
    <w:rsid w:val="00BE7F9D"/>
    <w:rsid w:val="00BF0439"/>
    <w:rsid w:val="00BF2C28"/>
    <w:rsid w:val="00BF5EC0"/>
    <w:rsid w:val="00C00BB4"/>
    <w:rsid w:val="00C028C1"/>
    <w:rsid w:val="00C02A71"/>
    <w:rsid w:val="00C056AD"/>
    <w:rsid w:val="00C07BAD"/>
    <w:rsid w:val="00C07D3A"/>
    <w:rsid w:val="00C131D2"/>
    <w:rsid w:val="00C14C09"/>
    <w:rsid w:val="00C157CB"/>
    <w:rsid w:val="00C15D2E"/>
    <w:rsid w:val="00C215C8"/>
    <w:rsid w:val="00C302AD"/>
    <w:rsid w:val="00C41B49"/>
    <w:rsid w:val="00C42747"/>
    <w:rsid w:val="00C45FB4"/>
    <w:rsid w:val="00C52C85"/>
    <w:rsid w:val="00C54251"/>
    <w:rsid w:val="00C543AB"/>
    <w:rsid w:val="00C57F72"/>
    <w:rsid w:val="00C63B38"/>
    <w:rsid w:val="00C64C3C"/>
    <w:rsid w:val="00C6777A"/>
    <w:rsid w:val="00C67AB7"/>
    <w:rsid w:val="00C70A98"/>
    <w:rsid w:val="00C7270E"/>
    <w:rsid w:val="00C75FB8"/>
    <w:rsid w:val="00C800D8"/>
    <w:rsid w:val="00C837D1"/>
    <w:rsid w:val="00C83C0D"/>
    <w:rsid w:val="00C9082A"/>
    <w:rsid w:val="00C91CD2"/>
    <w:rsid w:val="00C92C53"/>
    <w:rsid w:val="00C93526"/>
    <w:rsid w:val="00C96CE3"/>
    <w:rsid w:val="00CA0616"/>
    <w:rsid w:val="00CA2E4B"/>
    <w:rsid w:val="00CA3857"/>
    <w:rsid w:val="00CA4108"/>
    <w:rsid w:val="00CA5356"/>
    <w:rsid w:val="00CA68B8"/>
    <w:rsid w:val="00CA78A8"/>
    <w:rsid w:val="00CB0ABA"/>
    <w:rsid w:val="00CB247B"/>
    <w:rsid w:val="00CC090C"/>
    <w:rsid w:val="00CC1A8F"/>
    <w:rsid w:val="00CC2E5C"/>
    <w:rsid w:val="00CC41D9"/>
    <w:rsid w:val="00CC4973"/>
    <w:rsid w:val="00CC6994"/>
    <w:rsid w:val="00CD111B"/>
    <w:rsid w:val="00CD264A"/>
    <w:rsid w:val="00CD349D"/>
    <w:rsid w:val="00CD3548"/>
    <w:rsid w:val="00CD5126"/>
    <w:rsid w:val="00CD6895"/>
    <w:rsid w:val="00CE3D32"/>
    <w:rsid w:val="00CE4405"/>
    <w:rsid w:val="00CF053A"/>
    <w:rsid w:val="00CF08B1"/>
    <w:rsid w:val="00CF6BA0"/>
    <w:rsid w:val="00D008AF"/>
    <w:rsid w:val="00D014D9"/>
    <w:rsid w:val="00D07DD8"/>
    <w:rsid w:val="00D11784"/>
    <w:rsid w:val="00D216A5"/>
    <w:rsid w:val="00D26D7A"/>
    <w:rsid w:val="00D35578"/>
    <w:rsid w:val="00D400C5"/>
    <w:rsid w:val="00D4152F"/>
    <w:rsid w:val="00D47995"/>
    <w:rsid w:val="00D47A26"/>
    <w:rsid w:val="00D47E7A"/>
    <w:rsid w:val="00D50861"/>
    <w:rsid w:val="00D540A9"/>
    <w:rsid w:val="00D55276"/>
    <w:rsid w:val="00D56F30"/>
    <w:rsid w:val="00D57508"/>
    <w:rsid w:val="00D623A8"/>
    <w:rsid w:val="00D629C8"/>
    <w:rsid w:val="00D62E0B"/>
    <w:rsid w:val="00D65BB5"/>
    <w:rsid w:val="00D6603D"/>
    <w:rsid w:val="00D66A7D"/>
    <w:rsid w:val="00D711B0"/>
    <w:rsid w:val="00D74239"/>
    <w:rsid w:val="00D7714A"/>
    <w:rsid w:val="00D81985"/>
    <w:rsid w:val="00D82A74"/>
    <w:rsid w:val="00D9038E"/>
    <w:rsid w:val="00D928C4"/>
    <w:rsid w:val="00D945A6"/>
    <w:rsid w:val="00D94B1A"/>
    <w:rsid w:val="00DA0408"/>
    <w:rsid w:val="00DA0D92"/>
    <w:rsid w:val="00DA1DEE"/>
    <w:rsid w:val="00DA207F"/>
    <w:rsid w:val="00DA5CC4"/>
    <w:rsid w:val="00DA76EC"/>
    <w:rsid w:val="00DB0806"/>
    <w:rsid w:val="00DB4BF0"/>
    <w:rsid w:val="00DB5AF6"/>
    <w:rsid w:val="00DB5EF2"/>
    <w:rsid w:val="00DC1511"/>
    <w:rsid w:val="00DC26E7"/>
    <w:rsid w:val="00DC3F87"/>
    <w:rsid w:val="00DC3FFA"/>
    <w:rsid w:val="00DD03DC"/>
    <w:rsid w:val="00DD7090"/>
    <w:rsid w:val="00DE1A3B"/>
    <w:rsid w:val="00DE7129"/>
    <w:rsid w:val="00DF1DA5"/>
    <w:rsid w:val="00DF2563"/>
    <w:rsid w:val="00DF30C2"/>
    <w:rsid w:val="00DF529A"/>
    <w:rsid w:val="00DF6936"/>
    <w:rsid w:val="00DF71AB"/>
    <w:rsid w:val="00DF79D9"/>
    <w:rsid w:val="00E0361E"/>
    <w:rsid w:val="00E03944"/>
    <w:rsid w:val="00E05A21"/>
    <w:rsid w:val="00E05BA0"/>
    <w:rsid w:val="00E0712C"/>
    <w:rsid w:val="00E11B8E"/>
    <w:rsid w:val="00E11E10"/>
    <w:rsid w:val="00E142CD"/>
    <w:rsid w:val="00E147F8"/>
    <w:rsid w:val="00E1531A"/>
    <w:rsid w:val="00E16CF6"/>
    <w:rsid w:val="00E17CED"/>
    <w:rsid w:val="00E3454E"/>
    <w:rsid w:val="00E37720"/>
    <w:rsid w:val="00E40B3E"/>
    <w:rsid w:val="00E4681D"/>
    <w:rsid w:val="00E46976"/>
    <w:rsid w:val="00E53B74"/>
    <w:rsid w:val="00E55C0F"/>
    <w:rsid w:val="00E55CB6"/>
    <w:rsid w:val="00E573D4"/>
    <w:rsid w:val="00E60DF3"/>
    <w:rsid w:val="00E63104"/>
    <w:rsid w:val="00E66235"/>
    <w:rsid w:val="00E71395"/>
    <w:rsid w:val="00E71479"/>
    <w:rsid w:val="00E715C4"/>
    <w:rsid w:val="00E81891"/>
    <w:rsid w:val="00E901B2"/>
    <w:rsid w:val="00E901FF"/>
    <w:rsid w:val="00E9186D"/>
    <w:rsid w:val="00E92536"/>
    <w:rsid w:val="00E93E44"/>
    <w:rsid w:val="00E950EC"/>
    <w:rsid w:val="00EA7D2F"/>
    <w:rsid w:val="00EB1F29"/>
    <w:rsid w:val="00EB4B15"/>
    <w:rsid w:val="00EB5F99"/>
    <w:rsid w:val="00EB7938"/>
    <w:rsid w:val="00EC053B"/>
    <w:rsid w:val="00EC1C25"/>
    <w:rsid w:val="00EC41A8"/>
    <w:rsid w:val="00EC4C39"/>
    <w:rsid w:val="00EC5D66"/>
    <w:rsid w:val="00EC5FF6"/>
    <w:rsid w:val="00ED0D78"/>
    <w:rsid w:val="00ED2582"/>
    <w:rsid w:val="00ED33AC"/>
    <w:rsid w:val="00ED527E"/>
    <w:rsid w:val="00ED5A25"/>
    <w:rsid w:val="00EE0398"/>
    <w:rsid w:val="00EE0AFF"/>
    <w:rsid w:val="00EE29B7"/>
    <w:rsid w:val="00EE470F"/>
    <w:rsid w:val="00EE7B84"/>
    <w:rsid w:val="00EF0154"/>
    <w:rsid w:val="00EF2505"/>
    <w:rsid w:val="00EF5E90"/>
    <w:rsid w:val="00EF5F46"/>
    <w:rsid w:val="00EF7987"/>
    <w:rsid w:val="00EF7D66"/>
    <w:rsid w:val="00EF7EFD"/>
    <w:rsid w:val="00F01785"/>
    <w:rsid w:val="00F0386A"/>
    <w:rsid w:val="00F06C77"/>
    <w:rsid w:val="00F122D4"/>
    <w:rsid w:val="00F134BF"/>
    <w:rsid w:val="00F13894"/>
    <w:rsid w:val="00F14DD6"/>
    <w:rsid w:val="00F17F36"/>
    <w:rsid w:val="00F2005E"/>
    <w:rsid w:val="00F219F8"/>
    <w:rsid w:val="00F21CD7"/>
    <w:rsid w:val="00F30209"/>
    <w:rsid w:val="00F30C3D"/>
    <w:rsid w:val="00F32089"/>
    <w:rsid w:val="00F328BC"/>
    <w:rsid w:val="00F34948"/>
    <w:rsid w:val="00F3657D"/>
    <w:rsid w:val="00F36E76"/>
    <w:rsid w:val="00F40866"/>
    <w:rsid w:val="00F417F2"/>
    <w:rsid w:val="00F41999"/>
    <w:rsid w:val="00F4405C"/>
    <w:rsid w:val="00F45335"/>
    <w:rsid w:val="00F46245"/>
    <w:rsid w:val="00F47D47"/>
    <w:rsid w:val="00F52AA0"/>
    <w:rsid w:val="00F53E92"/>
    <w:rsid w:val="00F5488C"/>
    <w:rsid w:val="00F63DC6"/>
    <w:rsid w:val="00F6492C"/>
    <w:rsid w:val="00F659DE"/>
    <w:rsid w:val="00F72F5A"/>
    <w:rsid w:val="00F736C0"/>
    <w:rsid w:val="00F739D4"/>
    <w:rsid w:val="00F82CE7"/>
    <w:rsid w:val="00F838A6"/>
    <w:rsid w:val="00F83D3A"/>
    <w:rsid w:val="00F85652"/>
    <w:rsid w:val="00F85FF7"/>
    <w:rsid w:val="00F86056"/>
    <w:rsid w:val="00F86114"/>
    <w:rsid w:val="00F862E3"/>
    <w:rsid w:val="00F94BE4"/>
    <w:rsid w:val="00F9560D"/>
    <w:rsid w:val="00F971E2"/>
    <w:rsid w:val="00FA00D8"/>
    <w:rsid w:val="00FB268B"/>
    <w:rsid w:val="00FC2CBD"/>
    <w:rsid w:val="00FC39F8"/>
    <w:rsid w:val="00FC7509"/>
    <w:rsid w:val="00FD0A00"/>
    <w:rsid w:val="00FD0E7D"/>
    <w:rsid w:val="00FD0EFB"/>
    <w:rsid w:val="00FD409C"/>
    <w:rsid w:val="00FD6B5F"/>
    <w:rsid w:val="00FD72E7"/>
    <w:rsid w:val="00FE3D01"/>
    <w:rsid w:val="00FE6E94"/>
    <w:rsid w:val="00FF0759"/>
    <w:rsid w:val="00FF150F"/>
    <w:rsid w:val="00FF407A"/>
    <w:rsid w:val="00FF57AD"/>
    <w:rsid w:val="00FF65DE"/>
    <w:rsid w:val="00FF74A5"/>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2"/>
    </o:shapelayout>
  </w:shapeDefaults>
  <w:decimalSymbol w:val="."/>
  <w:listSeparator w:val=","/>
  <w14:docId w14:val="25743A2B"/>
  <w15:docId w15:val="{BC05DC31-F9A1-1F46-A0C4-7BD5E9599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71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F971E2"/>
    <w:rPr>
      <w:u w:val="single"/>
    </w:rPr>
  </w:style>
  <w:style w:type="character" w:styleId="FollowedHyperlink">
    <w:name w:val="FollowedHyperlink"/>
    <w:basedOn w:val="DefaultParagraphFont"/>
    <w:uiPriority w:val="99"/>
    <w:semiHidden/>
    <w:unhideWhenUsed/>
    <w:rsid w:val="00E53B74"/>
    <w:rPr>
      <w:color w:val="954F72" w:themeColor="followedHyperlink"/>
      <w:u w:val="single"/>
    </w:rPr>
  </w:style>
  <w:style w:type="paragraph" w:styleId="BalloonText">
    <w:name w:val="Balloon Text"/>
    <w:basedOn w:val="Normal"/>
    <w:link w:val="BalloonTextChar"/>
    <w:uiPriority w:val="99"/>
    <w:semiHidden/>
    <w:unhideWhenUsed/>
    <w:rsid w:val="006B529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B5290"/>
    <w:rPr>
      <w:rFonts w:ascii="Lucida Grande" w:hAnsi="Lucida Grande" w:cs="Lucida Grande"/>
      <w:sz w:val="18"/>
      <w:szCs w:val="18"/>
    </w:rPr>
  </w:style>
  <w:style w:type="character" w:styleId="UnresolvedMention">
    <w:name w:val="Unresolved Mention"/>
    <w:basedOn w:val="DefaultParagraphFont"/>
    <w:uiPriority w:val="99"/>
    <w:semiHidden/>
    <w:unhideWhenUsed/>
    <w:rsid w:val="00542F90"/>
    <w:rPr>
      <w:color w:val="605E5C"/>
      <w:shd w:val="clear" w:color="auto" w:fill="E1DFDD"/>
    </w:rPr>
  </w:style>
  <w:style w:type="paragraph" w:styleId="Revision">
    <w:name w:val="Revision"/>
    <w:hidden/>
    <w:uiPriority w:val="99"/>
    <w:semiHidden/>
    <w:rsid w:val="005C00FF"/>
    <w:pPr>
      <w:spacing w:after="0" w:line="240" w:lineRule="auto"/>
    </w:pPr>
  </w:style>
  <w:style w:type="character" w:styleId="CommentReference">
    <w:name w:val="annotation reference"/>
    <w:basedOn w:val="DefaultParagraphFont"/>
    <w:uiPriority w:val="99"/>
    <w:semiHidden/>
    <w:unhideWhenUsed/>
    <w:rsid w:val="00301E75"/>
    <w:rPr>
      <w:sz w:val="16"/>
      <w:szCs w:val="16"/>
    </w:rPr>
  </w:style>
  <w:style w:type="paragraph" w:styleId="CommentText">
    <w:name w:val="annotation text"/>
    <w:basedOn w:val="Normal"/>
    <w:link w:val="CommentTextChar"/>
    <w:uiPriority w:val="99"/>
    <w:unhideWhenUsed/>
    <w:rsid w:val="00301E75"/>
    <w:pPr>
      <w:spacing w:line="240" w:lineRule="auto"/>
    </w:pPr>
    <w:rPr>
      <w:sz w:val="20"/>
      <w:szCs w:val="20"/>
    </w:rPr>
  </w:style>
  <w:style w:type="character" w:customStyle="1" w:styleId="CommentTextChar">
    <w:name w:val="Comment Text Char"/>
    <w:basedOn w:val="DefaultParagraphFont"/>
    <w:link w:val="CommentText"/>
    <w:uiPriority w:val="99"/>
    <w:rsid w:val="00301E75"/>
    <w:rPr>
      <w:sz w:val="20"/>
      <w:szCs w:val="20"/>
    </w:rPr>
  </w:style>
  <w:style w:type="paragraph" w:styleId="CommentSubject">
    <w:name w:val="annotation subject"/>
    <w:basedOn w:val="CommentText"/>
    <w:next w:val="CommentText"/>
    <w:link w:val="CommentSubjectChar"/>
    <w:uiPriority w:val="99"/>
    <w:semiHidden/>
    <w:unhideWhenUsed/>
    <w:rsid w:val="00301E75"/>
    <w:rPr>
      <w:b/>
      <w:bCs/>
    </w:rPr>
  </w:style>
  <w:style w:type="character" w:customStyle="1" w:styleId="CommentSubjectChar">
    <w:name w:val="Comment Subject Char"/>
    <w:basedOn w:val="CommentTextChar"/>
    <w:link w:val="CommentSubject"/>
    <w:uiPriority w:val="99"/>
    <w:semiHidden/>
    <w:rsid w:val="00301E75"/>
    <w:rPr>
      <w:b/>
      <w:bCs/>
      <w:sz w:val="20"/>
      <w:szCs w:val="20"/>
    </w:rPr>
  </w:style>
  <w:style w:type="paragraph" w:styleId="FootnoteText">
    <w:name w:val="footnote text"/>
    <w:basedOn w:val="Normal"/>
    <w:link w:val="FootnoteTextChar"/>
    <w:uiPriority w:val="99"/>
    <w:semiHidden/>
    <w:unhideWhenUsed/>
    <w:rsid w:val="006A52A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A52AD"/>
    <w:rPr>
      <w:sz w:val="20"/>
      <w:szCs w:val="20"/>
    </w:rPr>
  </w:style>
  <w:style w:type="character" w:styleId="FootnoteReference">
    <w:name w:val="footnote reference"/>
    <w:basedOn w:val="DefaultParagraphFont"/>
    <w:uiPriority w:val="99"/>
    <w:semiHidden/>
    <w:unhideWhenUsed/>
    <w:rsid w:val="006A52AD"/>
    <w:rPr>
      <w:vertAlign w:val="superscript"/>
    </w:rPr>
  </w:style>
  <w:style w:type="character" w:customStyle="1" w:styleId="js-about-item-abstr">
    <w:name w:val="js-about-item-abstr"/>
    <w:basedOn w:val="DefaultParagraphFont"/>
    <w:rsid w:val="008528E4"/>
  </w:style>
  <w:style w:type="character" w:customStyle="1" w:styleId="contentpasted1">
    <w:name w:val="contentpasted1"/>
    <w:basedOn w:val="DefaultParagraphFont"/>
    <w:rsid w:val="00946F5F"/>
  </w:style>
  <w:style w:type="paragraph" w:styleId="Header">
    <w:name w:val="header"/>
    <w:basedOn w:val="Normal"/>
    <w:link w:val="HeaderChar"/>
    <w:uiPriority w:val="99"/>
    <w:unhideWhenUsed/>
    <w:rsid w:val="009D36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36FE"/>
  </w:style>
  <w:style w:type="paragraph" w:styleId="Footer">
    <w:name w:val="footer"/>
    <w:basedOn w:val="Normal"/>
    <w:link w:val="FooterChar"/>
    <w:uiPriority w:val="99"/>
    <w:unhideWhenUsed/>
    <w:rsid w:val="009D36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36FE"/>
  </w:style>
  <w:style w:type="paragraph" w:customStyle="1" w:styleId="MacPacTrailer">
    <w:name w:val="MacPac Trailer"/>
    <w:rsid w:val="00054068"/>
    <w:pPr>
      <w:widowControl w:val="0"/>
      <w:spacing w:after="0" w:line="200" w:lineRule="exact"/>
    </w:pPr>
    <w:rPr>
      <w:rFonts w:ascii="Times New Roman" w:eastAsia="Times New Roman" w:hAnsi="Times New Roman" w:cs="Times New Roman"/>
      <w:sz w:val="14"/>
    </w:rPr>
  </w:style>
  <w:style w:type="character" w:styleId="PlaceholderText">
    <w:name w:val="Placeholder Text"/>
    <w:basedOn w:val="DefaultParagraphFont"/>
    <w:uiPriority w:val="99"/>
    <w:semiHidden/>
    <w:rsid w:val="009D36FE"/>
    <w:rPr>
      <w:color w:val="808080"/>
    </w:rPr>
  </w:style>
  <w:style w:type="paragraph" w:styleId="ListParagraph">
    <w:name w:val="List Paragraph"/>
    <w:basedOn w:val="Normal"/>
    <w:uiPriority w:val="34"/>
    <w:qFormat/>
    <w:rsid w:val="000E60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246036">
      <w:bodyDiv w:val="1"/>
      <w:marLeft w:val="0"/>
      <w:marRight w:val="0"/>
      <w:marTop w:val="0"/>
      <w:marBottom w:val="0"/>
      <w:divBdr>
        <w:top w:val="none" w:sz="0" w:space="0" w:color="auto"/>
        <w:left w:val="none" w:sz="0" w:space="0" w:color="auto"/>
        <w:bottom w:val="none" w:sz="0" w:space="0" w:color="auto"/>
        <w:right w:val="none" w:sz="0" w:space="0" w:color="auto"/>
      </w:divBdr>
    </w:div>
    <w:div w:id="81074607">
      <w:bodyDiv w:val="1"/>
      <w:marLeft w:val="0"/>
      <w:marRight w:val="0"/>
      <w:marTop w:val="0"/>
      <w:marBottom w:val="0"/>
      <w:divBdr>
        <w:top w:val="none" w:sz="0" w:space="0" w:color="auto"/>
        <w:left w:val="none" w:sz="0" w:space="0" w:color="auto"/>
        <w:bottom w:val="none" w:sz="0" w:space="0" w:color="auto"/>
        <w:right w:val="none" w:sz="0" w:space="0" w:color="auto"/>
      </w:divBdr>
      <w:divsChild>
        <w:div w:id="552621793">
          <w:marLeft w:val="0"/>
          <w:marRight w:val="0"/>
          <w:marTop w:val="0"/>
          <w:marBottom w:val="0"/>
          <w:divBdr>
            <w:top w:val="none" w:sz="0" w:space="0" w:color="auto"/>
            <w:left w:val="none" w:sz="0" w:space="0" w:color="auto"/>
            <w:bottom w:val="none" w:sz="0" w:space="0" w:color="auto"/>
            <w:right w:val="none" w:sz="0" w:space="0" w:color="auto"/>
          </w:divBdr>
        </w:div>
      </w:divsChild>
    </w:div>
    <w:div w:id="109209944">
      <w:bodyDiv w:val="1"/>
      <w:marLeft w:val="0"/>
      <w:marRight w:val="0"/>
      <w:marTop w:val="0"/>
      <w:marBottom w:val="0"/>
      <w:divBdr>
        <w:top w:val="none" w:sz="0" w:space="0" w:color="auto"/>
        <w:left w:val="none" w:sz="0" w:space="0" w:color="auto"/>
        <w:bottom w:val="none" w:sz="0" w:space="0" w:color="auto"/>
        <w:right w:val="none" w:sz="0" w:space="0" w:color="auto"/>
      </w:divBdr>
    </w:div>
    <w:div w:id="258760438">
      <w:bodyDiv w:val="1"/>
      <w:marLeft w:val="0"/>
      <w:marRight w:val="0"/>
      <w:marTop w:val="0"/>
      <w:marBottom w:val="0"/>
      <w:divBdr>
        <w:top w:val="none" w:sz="0" w:space="0" w:color="auto"/>
        <w:left w:val="none" w:sz="0" w:space="0" w:color="auto"/>
        <w:bottom w:val="none" w:sz="0" w:space="0" w:color="auto"/>
        <w:right w:val="none" w:sz="0" w:space="0" w:color="auto"/>
      </w:divBdr>
    </w:div>
    <w:div w:id="411198557">
      <w:bodyDiv w:val="1"/>
      <w:marLeft w:val="0"/>
      <w:marRight w:val="0"/>
      <w:marTop w:val="0"/>
      <w:marBottom w:val="0"/>
      <w:divBdr>
        <w:top w:val="none" w:sz="0" w:space="0" w:color="auto"/>
        <w:left w:val="none" w:sz="0" w:space="0" w:color="auto"/>
        <w:bottom w:val="none" w:sz="0" w:space="0" w:color="auto"/>
        <w:right w:val="none" w:sz="0" w:space="0" w:color="auto"/>
      </w:divBdr>
    </w:div>
    <w:div w:id="419376902">
      <w:bodyDiv w:val="1"/>
      <w:marLeft w:val="0"/>
      <w:marRight w:val="0"/>
      <w:marTop w:val="0"/>
      <w:marBottom w:val="0"/>
      <w:divBdr>
        <w:top w:val="none" w:sz="0" w:space="0" w:color="auto"/>
        <w:left w:val="none" w:sz="0" w:space="0" w:color="auto"/>
        <w:bottom w:val="none" w:sz="0" w:space="0" w:color="auto"/>
        <w:right w:val="none" w:sz="0" w:space="0" w:color="auto"/>
      </w:divBdr>
    </w:div>
    <w:div w:id="461118318">
      <w:bodyDiv w:val="1"/>
      <w:marLeft w:val="0"/>
      <w:marRight w:val="0"/>
      <w:marTop w:val="0"/>
      <w:marBottom w:val="0"/>
      <w:divBdr>
        <w:top w:val="none" w:sz="0" w:space="0" w:color="auto"/>
        <w:left w:val="none" w:sz="0" w:space="0" w:color="auto"/>
        <w:bottom w:val="none" w:sz="0" w:space="0" w:color="auto"/>
        <w:right w:val="none" w:sz="0" w:space="0" w:color="auto"/>
      </w:divBdr>
      <w:divsChild>
        <w:div w:id="865607387">
          <w:marLeft w:val="907"/>
          <w:marRight w:val="0"/>
          <w:marTop w:val="0"/>
          <w:marBottom w:val="0"/>
          <w:divBdr>
            <w:top w:val="none" w:sz="0" w:space="0" w:color="auto"/>
            <w:left w:val="none" w:sz="0" w:space="0" w:color="auto"/>
            <w:bottom w:val="none" w:sz="0" w:space="0" w:color="auto"/>
            <w:right w:val="none" w:sz="0" w:space="0" w:color="auto"/>
          </w:divBdr>
        </w:div>
        <w:div w:id="1453204423">
          <w:marLeft w:val="907"/>
          <w:marRight w:val="0"/>
          <w:marTop w:val="0"/>
          <w:marBottom w:val="0"/>
          <w:divBdr>
            <w:top w:val="none" w:sz="0" w:space="0" w:color="auto"/>
            <w:left w:val="none" w:sz="0" w:space="0" w:color="auto"/>
            <w:bottom w:val="none" w:sz="0" w:space="0" w:color="auto"/>
            <w:right w:val="none" w:sz="0" w:space="0" w:color="auto"/>
          </w:divBdr>
        </w:div>
      </w:divsChild>
    </w:div>
    <w:div w:id="465392850">
      <w:bodyDiv w:val="1"/>
      <w:marLeft w:val="0"/>
      <w:marRight w:val="0"/>
      <w:marTop w:val="0"/>
      <w:marBottom w:val="0"/>
      <w:divBdr>
        <w:top w:val="none" w:sz="0" w:space="0" w:color="auto"/>
        <w:left w:val="none" w:sz="0" w:space="0" w:color="auto"/>
        <w:bottom w:val="none" w:sz="0" w:space="0" w:color="auto"/>
        <w:right w:val="none" w:sz="0" w:space="0" w:color="auto"/>
      </w:divBdr>
      <w:divsChild>
        <w:div w:id="455833149">
          <w:marLeft w:val="475"/>
          <w:marRight w:val="0"/>
          <w:marTop w:val="0"/>
          <w:marBottom w:val="0"/>
          <w:divBdr>
            <w:top w:val="none" w:sz="0" w:space="0" w:color="auto"/>
            <w:left w:val="none" w:sz="0" w:space="0" w:color="auto"/>
            <w:bottom w:val="none" w:sz="0" w:space="0" w:color="auto"/>
            <w:right w:val="none" w:sz="0" w:space="0" w:color="auto"/>
          </w:divBdr>
        </w:div>
        <w:div w:id="450055754">
          <w:marLeft w:val="907"/>
          <w:marRight w:val="0"/>
          <w:marTop w:val="0"/>
          <w:marBottom w:val="0"/>
          <w:divBdr>
            <w:top w:val="none" w:sz="0" w:space="0" w:color="auto"/>
            <w:left w:val="none" w:sz="0" w:space="0" w:color="auto"/>
            <w:bottom w:val="none" w:sz="0" w:space="0" w:color="auto"/>
            <w:right w:val="none" w:sz="0" w:space="0" w:color="auto"/>
          </w:divBdr>
        </w:div>
        <w:div w:id="554778472">
          <w:marLeft w:val="907"/>
          <w:marRight w:val="0"/>
          <w:marTop w:val="0"/>
          <w:marBottom w:val="0"/>
          <w:divBdr>
            <w:top w:val="none" w:sz="0" w:space="0" w:color="auto"/>
            <w:left w:val="none" w:sz="0" w:space="0" w:color="auto"/>
            <w:bottom w:val="none" w:sz="0" w:space="0" w:color="auto"/>
            <w:right w:val="none" w:sz="0" w:space="0" w:color="auto"/>
          </w:divBdr>
        </w:div>
        <w:div w:id="1087730256">
          <w:marLeft w:val="1181"/>
          <w:marRight w:val="0"/>
          <w:marTop w:val="0"/>
          <w:marBottom w:val="0"/>
          <w:divBdr>
            <w:top w:val="none" w:sz="0" w:space="0" w:color="auto"/>
            <w:left w:val="none" w:sz="0" w:space="0" w:color="auto"/>
            <w:bottom w:val="none" w:sz="0" w:space="0" w:color="auto"/>
            <w:right w:val="none" w:sz="0" w:space="0" w:color="auto"/>
          </w:divBdr>
        </w:div>
      </w:divsChild>
    </w:div>
    <w:div w:id="468787692">
      <w:bodyDiv w:val="1"/>
      <w:marLeft w:val="0"/>
      <w:marRight w:val="0"/>
      <w:marTop w:val="0"/>
      <w:marBottom w:val="0"/>
      <w:divBdr>
        <w:top w:val="none" w:sz="0" w:space="0" w:color="auto"/>
        <w:left w:val="none" w:sz="0" w:space="0" w:color="auto"/>
        <w:bottom w:val="none" w:sz="0" w:space="0" w:color="auto"/>
        <w:right w:val="none" w:sz="0" w:space="0" w:color="auto"/>
      </w:divBdr>
    </w:div>
    <w:div w:id="564998893">
      <w:bodyDiv w:val="1"/>
      <w:marLeft w:val="0"/>
      <w:marRight w:val="0"/>
      <w:marTop w:val="0"/>
      <w:marBottom w:val="0"/>
      <w:divBdr>
        <w:top w:val="none" w:sz="0" w:space="0" w:color="auto"/>
        <w:left w:val="none" w:sz="0" w:space="0" w:color="auto"/>
        <w:bottom w:val="none" w:sz="0" w:space="0" w:color="auto"/>
        <w:right w:val="none" w:sz="0" w:space="0" w:color="auto"/>
      </w:divBdr>
    </w:div>
    <w:div w:id="574319421">
      <w:bodyDiv w:val="1"/>
      <w:marLeft w:val="0"/>
      <w:marRight w:val="0"/>
      <w:marTop w:val="0"/>
      <w:marBottom w:val="0"/>
      <w:divBdr>
        <w:top w:val="none" w:sz="0" w:space="0" w:color="auto"/>
        <w:left w:val="none" w:sz="0" w:space="0" w:color="auto"/>
        <w:bottom w:val="none" w:sz="0" w:space="0" w:color="auto"/>
        <w:right w:val="none" w:sz="0" w:space="0" w:color="auto"/>
      </w:divBdr>
    </w:div>
    <w:div w:id="578251580">
      <w:bodyDiv w:val="1"/>
      <w:marLeft w:val="0"/>
      <w:marRight w:val="0"/>
      <w:marTop w:val="0"/>
      <w:marBottom w:val="0"/>
      <w:divBdr>
        <w:top w:val="none" w:sz="0" w:space="0" w:color="auto"/>
        <w:left w:val="none" w:sz="0" w:space="0" w:color="auto"/>
        <w:bottom w:val="none" w:sz="0" w:space="0" w:color="auto"/>
        <w:right w:val="none" w:sz="0" w:space="0" w:color="auto"/>
      </w:divBdr>
      <w:divsChild>
        <w:div w:id="732390019">
          <w:marLeft w:val="1800"/>
          <w:marRight w:val="0"/>
          <w:marTop w:val="0"/>
          <w:marBottom w:val="0"/>
          <w:divBdr>
            <w:top w:val="none" w:sz="0" w:space="0" w:color="auto"/>
            <w:left w:val="none" w:sz="0" w:space="0" w:color="auto"/>
            <w:bottom w:val="none" w:sz="0" w:space="0" w:color="auto"/>
            <w:right w:val="none" w:sz="0" w:space="0" w:color="auto"/>
          </w:divBdr>
        </w:div>
        <w:div w:id="346911883">
          <w:marLeft w:val="1800"/>
          <w:marRight w:val="0"/>
          <w:marTop w:val="0"/>
          <w:marBottom w:val="0"/>
          <w:divBdr>
            <w:top w:val="none" w:sz="0" w:space="0" w:color="auto"/>
            <w:left w:val="none" w:sz="0" w:space="0" w:color="auto"/>
            <w:bottom w:val="none" w:sz="0" w:space="0" w:color="auto"/>
            <w:right w:val="none" w:sz="0" w:space="0" w:color="auto"/>
          </w:divBdr>
        </w:div>
        <w:div w:id="1934901066">
          <w:marLeft w:val="1800"/>
          <w:marRight w:val="0"/>
          <w:marTop w:val="0"/>
          <w:marBottom w:val="0"/>
          <w:divBdr>
            <w:top w:val="none" w:sz="0" w:space="0" w:color="auto"/>
            <w:left w:val="none" w:sz="0" w:space="0" w:color="auto"/>
            <w:bottom w:val="none" w:sz="0" w:space="0" w:color="auto"/>
            <w:right w:val="none" w:sz="0" w:space="0" w:color="auto"/>
          </w:divBdr>
        </w:div>
      </w:divsChild>
    </w:div>
    <w:div w:id="591477457">
      <w:bodyDiv w:val="1"/>
      <w:marLeft w:val="0"/>
      <w:marRight w:val="0"/>
      <w:marTop w:val="0"/>
      <w:marBottom w:val="0"/>
      <w:divBdr>
        <w:top w:val="none" w:sz="0" w:space="0" w:color="auto"/>
        <w:left w:val="none" w:sz="0" w:space="0" w:color="auto"/>
        <w:bottom w:val="none" w:sz="0" w:space="0" w:color="auto"/>
        <w:right w:val="none" w:sz="0" w:space="0" w:color="auto"/>
      </w:divBdr>
    </w:div>
    <w:div w:id="601257392">
      <w:bodyDiv w:val="1"/>
      <w:marLeft w:val="0"/>
      <w:marRight w:val="0"/>
      <w:marTop w:val="0"/>
      <w:marBottom w:val="0"/>
      <w:divBdr>
        <w:top w:val="none" w:sz="0" w:space="0" w:color="auto"/>
        <w:left w:val="none" w:sz="0" w:space="0" w:color="auto"/>
        <w:bottom w:val="none" w:sz="0" w:space="0" w:color="auto"/>
        <w:right w:val="none" w:sz="0" w:space="0" w:color="auto"/>
      </w:divBdr>
    </w:div>
    <w:div w:id="657340154">
      <w:bodyDiv w:val="1"/>
      <w:marLeft w:val="0"/>
      <w:marRight w:val="0"/>
      <w:marTop w:val="0"/>
      <w:marBottom w:val="0"/>
      <w:divBdr>
        <w:top w:val="none" w:sz="0" w:space="0" w:color="auto"/>
        <w:left w:val="none" w:sz="0" w:space="0" w:color="auto"/>
        <w:bottom w:val="none" w:sz="0" w:space="0" w:color="auto"/>
        <w:right w:val="none" w:sz="0" w:space="0" w:color="auto"/>
      </w:divBdr>
    </w:div>
    <w:div w:id="687567580">
      <w:bodyDiv w:val="1"/>
      <w:marLeft w:val="0"/>
      <w:marRight w:val="0"/>
      <w:marTop w:val="0"/>
      <w:marBottom w:val="0"/>
      <w:divBdr>
        <w:top w:val="none" w:sz="0" w:space="0" w:color="auto"/>
        <w:left w:val="none" w:sz="0" w:space="0" w:color="auto"/>
        <w:bottom w:val="none" w:sz="0" w:space="0" w:color="auto"/>
        <w:right w:val="none" w:sz="0" w:space="0" w:color="auto"/>
      </w:divBdr>
      <w:divsChild>
        <w:div w:id="223150833">
          <w:marLeft w:val="994"/>
          <w:marRight w:val="0"/>
          <w:marTop w:val="0"/>
          <w:marBottom w:val="0"/>
          <w:divBdr>
            <w:top w:val="none" w:sz="0" w:space="0" w:color="auto"/>
            <w:left w:val="none" w:sz="0" w:space="0" w:color="auto"/>
            <w:bottom w:val="none" w:sz="0" w:space="0" w:color="auto"/>
            <w:right w:val="none" w:sz="0" w:space="0" w:color="auto"/>
          </w:divBdr>
        </w:div>
        <w:div w:id="1088964826">
          <w:marLeft w:val="1714"/>
          <w:marRight w:val="0"/>
          <w:marTop w:val="0"/>
          <w:marBottom w:val="0"/>
          <w:divBdr>
            <w:top w:val="none" w:sz="0" w:space="0" w:color="auto"/>
            <w:left w:val="none" w:sz="0" w:space="0" w:color="auto"/>
            <w:bottom w:val="none" w:sz="0" w:space="0" w:color="auto"/>
            <w:right w:val="none" w:sz="0" w:space="0" w:color="auto"/>
          </w:divBdr>
        </w:div>
        <w:div w:id="1669752547">
          <w:marLeft w:val="1714"/>
          <w:marRight w:val="0"/>
          <w:marTop w:val="0"/>
          <w:marBottom w:val="0"/>
          <w:divBdr>
            <w:top w:val="none" w:sz="0" w:space="0" w:color="auto"/>
            <w:left w:val="none" w:sz="0" w:space="0" w:color="auto"/>
            <w:bottom w:val="none" w:sz="0" w:space="0" w:color="auto"/>
            <w:right w:val="none" w:sz="0" w:space="0" w:color="auto"/>
          </w:divBdr>
        </w:div>
      </w:divsChild>
    </w:div>
    <w:div w:id="693263834">
      <w:bodyDiv w:val="1"/>
      <w:marLeft w:val="0"/>
      <w:marRight w:val="0"/>
      <w:marTop w:val="0"/>
      <w:marBottom w:val="0"/>
      <w:divBdr>
        <w:top w:val="none" w:sz="0" w:space="0" w:color="auto"/>
        <w:left w:val="none" w:sz="0" w:space="0" w:color="auto"/>
        <w:bottom w:val="none" w:sz="0" w:space="0" w:color="auto"/>
        <w:right w:val="none" w:sz="0" w:space="0" w:color="auto"/>
      </w:divBdr>
      <w:divsChild>
        <w:div w:id="1006594780">
          <w:marLeft w:val="994"/>
          <w:marRight w:val="0"/>
          <w:marTop w:val="0"/>
          <w:marBottom w:val="0"/>
          <w:divBdr>
            <w:top w:val="none" w:sz="0" w:space="0" w:color="auto"/>
            <w:left w:val="none" w:sz="0" w:space="0" w:color="auto"/>
            <w:bottom w:val="none" w:sz="0" w:space="0" w:color="auto"/>
            <w:right w:val="none" w:sz="0" w:space="0" w:color="auto"/>
          </w:divBdr>
        </w:div>
      </w:divsChild>
    </w:div>
    <w:div w:id="701831382">
      <w:bodyDiv w:val="1"/>
      <w:marLeft w:val="0"/>
      <w:marRight w:val="0"/>
      <w:marTop w:val="0"/>
      <w:marBottom w:val="0"/>
      <w:divBdr>
        <w:top w:val="none" w:sz="0" w:space="0" w:color="auto"/>
        <w:left w:val="none" w:sz="0" w:space="0" w:color="auto"/>
        <w:bottom w:val="none" w:sz="0" w:space="0" w:color="auto"/>
        <w:right w:val="none" w:sz="0" w:space="0" w:color="auto"/>
      </w:divBdr>
    </w:div>
    <w:div w:id="707603533">
      <w:bodyDiv w:val="1"/>
      <w:marLeft w:val="0"/>
      <w:marRight w:val="0"/>
      <w:marTop w:val="0"/>
      <w:marBottom w:val="0"/>
      <w:divBdr>
        <w:top w:val="none" w:sz="0" w:space="0" w:color="auto"/>
        <w:left w:val="none" w:sz="0" w:space="0" w:color="auto"/>
        <w:bottom w:val="none" w:sz="0" w:space="0" w:color="auto"/>
        <w:right w:val="none" w:sz="0" w:space="0" w:color="auto"/>
      </w:divBdr>
    </w:div>
    <w:div w:id="811211379">
      <w:bodyDiv w:val="1"/>
      <w:marLeft w:val="0"/>
      <w:marRight w:val="0"/>
      <w:marTop w:val="0"/>
      <w:marBottom w:val="0"/>
      <w:divBdr>
        <w:top w:val="none" w:sz="0" w:space="0" w:color="auto"/>
        <w:left w:val="none" w:sz="0" w:space="0" w:color="auto"/>
        <w:bottom w:val="none" w:sz="0" w:space="0" w:color="auto"/>
        <w:right w:val="none" w:sz="0" w:space="0" w:color="auto"/>
      </w:divBdr>
      <w:divsChild>
        <w:div w:id="1898855112">
          <w:marLeft w:val="475"/>
          <w:marRight w:val="0"/>
          <w:marTop w:val="0"/>
          <w:marBottom w:val="0"/>
          <w:divBdr>
            <w:top w:val="none" w:sz="0" w:space="0" w:color="auto"/>
            <w:left w:val="none" w:sz="0" w:space="0" w:color="auto"/>
            <w:bottom w:val="none" w:sz="0" w:space="0" w:color="auto"/>
            <w:right w:val="none" w:sz="0" w:space="0" w:color="auto"/>
          </w:divBdr>
        </w:div>
        <w:div w:id="697466255">
          <w:marLeft w:val="475"/>
          <w:marRight w:val="0"/>
          <w:marTop w:val="0"/>
          <w:marBottom w:val="0"/>
          <w:divBdr>
            <w:top w:val="none" w:sz="0" w:space="0" w:color="auto"/>
            <w:left w:val="none" w:sz="0" w:space="0" w:color="auto"/>
            <w:bottom w:val="none" w:sz="0" w:space="0" w:color="auto"/>
            <w:right w:val="none" w:sz="0" w:space="0" w:color="auto"/>
          </w:divBdr>
        </w:div>
        <w:div w:id="849371098">
          <w:marLeft w:val="475"/>
          <w:marRight w:val="0"/>
          <w:marTop w:val="0"/>
          <w:marBottom w:val="0"/>
          <w:divBdr>
            <w:top w:val="none" w:sz="0" w:space="0" w:color="auto"/>
            <w:left w:val="none" w:sz="0" w:space="0" w:color="auto"/>
            <w:bottom w:val="none" w:sz="0" w:space="0" w:color="auto"/>
            <w:right w:val="none" w:sz="0" w:space="0" w:color="auto"/>
          </w:divBdr>
        </w:div>
        <w:div w:id="1439569060">
          <w:marLeft w:val="1440"/>
          <w:marRight w:val="0"/>
          <w:marTop w:val="0"/>
          <w:marBottom w:val="0"/>
          <w:divBdr>
            <w:top w:val="none" w:sz="0" w:space="0" w:color="auto"/>
            <w:left w:val="none" w:sz="0" w:space="0" w:color="auto"/>
            <w:bottom w:val="none" w:sz="0" w:space="0" w:color="auto"/>
            <w:right w:val="none" w:sz="0" w:space="0" w:color="auto"/>
          </w:divBdr>
        </w:div>
        <w:div w:id="1635480368">
          <w:marLeft w:val="1440"/>
          <w:marRight w:val="0"/>
          <w:marTop w:val="0"/>
          <w:marBottom w:val="0"/>
          <w:divBdr>
            <w:top w:val="none" w:sz="0" w:space="0" w:color="auto"/>
            <w:left w:val="none" w:sz="0" w:space="0" w:color="auto"/>
            <w:bottom w:val="none" w:sz="0" w:space="0" w:color="auto"/>
            <w:right w:val="none" w:sz="0" w:space="0" w:color="auto"/>
          </w:divBdr>
        </w:div>
      </w:divsChild>
    </w:div>
    <w:div w:id="836388197">
      <w:bodyDiv w:val="1"/>
      <w:marLeft w:val="0"/>
      <w:marRight w:val="0"/>
      <w:marTop w:val="0"/>
      <w:marBottom w:val="0"/>
      <w:divBdr>
        <w:top w:val="none" w:sz="0" w:space="0" w:color="auto"/>
        <w:left w:val="none" w:sz="0" w:space="0" w:color="auto"/>
        <w:bottom w:val="none" w:sz="0" w:space="0" w:color="auto"/>
        <w:right w:val="none" w:sz="0" w:space="0" w:color="auto"/>
      </w:divBdr>
    </w:div>
    <w:div w:id="845437969">
      <w:bodyDiv w:val="1"/>
      <w:marLeft w:val="0"/>
      <w:marRight w:val="0"/>
      <w:marTop w:val="0"/>
      <w:marBottom w:val="0"/>
      <w:divBdr>
        <w:top w:val="none" w:sz="0" w:space="0" w:color="auto"/>
        <w:left w:val="none" w:sz="0" w:space="0" w:color="auto"/>
        <w:bottom w:val="none" w:sz="0" w:space="0" w:color="auto"/>
        <w:right w:val="none" w:sz="0" w:space="0" w:color="auto"/>
      </w:divBdr>
    </w:div>
    <w:div w:id="845750988">
      <w:bodyDiv w:val="1"/>
      <w:marLeft w:val="0"/>
      <w:marRight w:val="0"/>
      <w:marTop w:val="0"/>
      <w:marBottom w:val="0"/>
      <w:divBdr>
        <w:top w:val="none" w:sz="0" w:space="0" w:color="auto"/>
        <w:left w:val="none" w:sz="0" w:space="0" w:color="auto"/>
        <w:bottom w:val="none" w:sz="0" w:space="0" w:color="auto"/>
        <w:right w:val="none" w:sz="0" w:space="0" w:color="auto"/>
      </w:divBdr>
    </w:div>
    <w:div w:id="848450370">
      <w:bodyDiv w:val="1"/>
      <w:marLeft w:val="0"/>
      <w:marRight w:val="0"/>
      <w:marTop w:val="0"/>
      <w:marBottom w:val="0"/>
      <w:divBdr>
        <w:top w:val="none" w:sz="0" w:space="0" w:color="auto"/>
        <w:left w:val="none" w:sz="0" w:space="0" w:color="auto"/>
        <w:bottom w:val="none" w:sz="0" w:space="0" w:color="auto"/>
        <w:right w:val="none" w:sz="0" w:space="0" w:color="auto"/>
      </w:divBdr>
      <w:divsChild>
        <w:div w:id="964384969">
          <w:marLeft w:val="1800"/>
          <w:marRight w:val="0"/>
          <w:marTop w:val="0"/>
          <w:marBottom w:val="0"/>
          <w:divBdr>
            <w:top w:val="none" w:sz="0" w:space="0" w:color="auto"/>
            <w:left w:val="none" w:sz="0" w:space="0" w:color="auto"/>
            <w:bottom w:val="none" w:sz="0" w:space="0" w:color="auto"/>
            <w:right w:val="none" w:sz="0" w:space="0" w:color="auto"/>
          </w:divBdr>
        </w:div>
      </w:divsChild>
    </w:div>
    <w:div w:id="909654291">
      <w:bodyDiv w:val="1"/>
      <w:marLeft w:val="0"/>
      <w:marRight w:val="0"/>
      <w:marTop w:val="0"/>
      <w:marBottom w:val="0"/>
      <w:divBdr>
        <w:top w:val="none" w:sz="0" w:space="0" w:color="auto"/>
        <w:left w:val="none" w:sz="0" w:space="0" w:color="auto"/>
        <w:bottom w:val="none" w:sz="0" w:space="0" w:color="auto"/>
        <w:right w:val="none" w:sz="0" w:space="0" w:color="auto"/>
      </w:divBdr>
    </w:div>
    <w:div w:id="956915003">
      <w:bodyDiv w:val="1"/>
      <w:marLeft w:val="0"/>
      <w:marRight w:val="0"/>
      <w:marTop w:val="0"/>
      <w:marBottom w:val="0"/>
      <w:divBdr>
        <w:top w:val="none" w:sz="0" w:space="0" w:color="auto"/>
        <w:left w:val="none" w:sz="0" w:space="0" w:color="auto"/>
        <w:bottom w:val="none" w:sz="0" w:space="0" w:color="auto"/>
        <w:right w:val="none" w:sz="0" w:space="0" w:color="auto"/>
      </w:divBdr>
    </w:div>
    <w:div w:id="1088968302">
      <w:bodyDiv w:val="1"/>
      <w:marLeft w:val="0"/>
      <w:marRight w:val="0"/>
      <w:marTop w:val="0"/>
      <w:marBottom w:val="0"/>
      <w:divBdr>
        <w:top w:val="none" w:sz="0" w:space="0" w:color="auto"/>
        <w:left w:val="none" w:sz="0" w:space="0" w:color="auto"/>
        <w:bottom w:val="none" w:sz="0" w:space="0" w:color="auto"/>
        <w:right w:val="none" w:sz="0" w:space="0" w:color="auto"/>
      </w:divBdr>
      <w:divsChild>
        <w:div w:id="353195923">
          <w:marLeft w:val="0"/>
          <w:marRight w:val="0"/>
          <w:marTop w:val="150"/>
          <w:marBottom w:val="300"/>
          <w:divBdr>
            <w:top w:val="none" w:sz="0" w:space="0" w:color="auto"/>
            <w:left w:val="none" w:sz="0" w:space="0" w:color="auto"/>
            <w:bottom w:val="none" w:sz="0" w:space="0" w:color="auto"/>
            <w:right w:val="none" w:sz="0" w:space="0" w:color="auto"/>
          </w:divBdr>
        </w:div>
      </w:divsChild>
    </w:div>
    <w:div w:id="1245072035">
      <w:bodyDiv w:val="1"/>
      <w:marLeft w:val="0"/>
      <w:marRight w:val="0"/>
      <w:marTop w:val="0"/>
      <w:marBottom w:val="0"/>
      <w:divBdr>
        <w:top w:val="none" w:sz="0" w:space="0" w:color="auto"/>
        <w:left w:val="none" w:sz="0" w:space="0" w:color="auto"/>
        <w:bottom w:val="none" w:sz="0" w:space="0" w:color="auto"/>
        <w:right w:val="none" w:sz="0" w:space="0" w:color="auto"/>
      </w:divBdr>
    </w:div>
    <w:div w:id="1303731765">
      <w:bodyDiv w:val="1"/>
      <w:marLeft w:val="0"/>
      <w:marRight w:val="0"/>
      <w:marTop w:val="0"/>
      <w:marBottom w:val="0"/>
      <w:divBdr>
        <w:top w:val="none" w:sz="0" w:space="0" w:color="auto"/>
        <w:left w:val="none" w:sz="0" w:space="0" w:color="auto"/>
        <w:bottom w:val="none" w:sz="0" w:space="0" w:color="auto"/>
        <w:right w:val="none" w:sz="0" w:space="0" w:color="auto"/>
      </w:divBdr>
    </w:div>
    <w:div w:id="1307665809">
      <w:bodyDiv w:val="1"/>
      <w:marLeft w:val="0"/>
      <w:marRight w:val="0"/>
      <w:marTop w:val="0"/>
      <w:marBottom w:val="0"/>
      <w:divBdr>
        <w:top w:val="none" w:sz="0" w:space="0" w:color="auto"/>
        <w:left w:val="none" w:sz="0" w:space="0" w:color="auto"/>
        <w:bottom w:val="none" w:sz="0" w:space="0" w:color="auto"/>
        <w:right w:val="none" w:sz="0" w:space="0" w:color="auto"/>
      </w:divBdr>
    </w:div>
    <w:div w:id="1314605851">
      <w:bodyDiv w:val="1"/>
      <w:marLeft w:val="0"/>
      <w:marRight w:val="0"/>
      <w:marTop w:val="0"/>
      <w:marBottom w:val="0"/>
      <w:divBdr>
        <w:top w:val="none" w:sz="0" w:space="0" w:color="auto"/>
        <w:left w:val="none" w:sz="0" w:space="0" w:color="auto"/>
        <w:bottom w:val="none" w:sz="0" w:space="0" w:color="auto"/>
        <w:right w:val="none" w:sz="0" w:space="0" w:color="auto"/>
      </w:divBdr>
    </w:div>
    <w:div w:id="1386566350">
      <w:bodyDiv w:val="1"/>
      <w:marLeft w:val="0"/>
      <w:marRight w:val="0"/>
      <w:marTop w:val="0"/>
      <w:marBottom w:val="0"/>
      <w:divBdr>
        <w:top w:val="none" w:sz="0" w:space="0" w:color="auto"/>
        <w:left w:val="none" w:sz="0" w:space="0" w:color="auto"/>
        <w:bottom w:val="none" w:sz="0" w:space="0" w:color="auto"/>
        <w:right w:val="none" w:sz="0" w:space="0" w:color="auto"/>
      </w:divBdr>
    </w:div>
    <w:div w:id="1404596327">
      <w:bodyDiv w:val="1"/>
      <w:marLeft w:val="0"/>
      <w:marRight w:val="0"/>
      <w:marTop w:val="0"/>
      <w:marBottom w:val="0"/>
      <w:divBdr>
        <w:top w:val="none" w:sz="0" w:space="0" w:color="auto"/>
        <w:left w:val="none" w:sz="0" w:space="0" w:color="auto"/>
        <w:bottom w:val="none" w:sz="0" w:space="0" w:color="auto"/>
        <w:right w:val="none" w:sz="0" w:space="0" w:color="auto"/>
      </w:divBdr>
    </w:div>
    <w:div w:id="1429962392">
      <w:bodyDiv w:val="1"/>
      <w:marLeft w:val="0"/>
      <w:marRight w:val="0"/>
      <w:marTop w:val="0"/>
      <w:marBottom w:val="0"/>
      <w:divBdr>
        <w:top w:val="none" w:sz="0" w:space="0" w:color="auto"/>
        <w:left w:val="none" w:sz="0" w:space="0" w:color="auto"/>
        <w:bottom w:val="none" w:sz="0" w:space="0" w:color="auto"/>
        <w:right w:val="none" w:sz="0" w:space="0" w:color="auto"/>
      </w:divBdr>
    </w:div>
    <w:div w:id="1473643054">
      <w:bodyDiv w:val="1"/>
      <w:marLeft w:val="0"/>
      <w:marRight w:val="0"/>
      <w:marTop w:val="0"/>
      <w:marBottom w:val="0"/>
      <w:divBdr>
        <w:top w:val="none" w:sz="0" w:space="0" w:color="auto"/>
        <w:left w:val="none" w:sz="0" w:space="0" w:color="auto"/>
        <w:bottom w:val="none" w:sz="0" w:space="0" w:color="auto"/>
        <w:right w:val="none" w:sz="0" w:space="0" w:color="auto"/>
      </w:divBdr>
    </w:div>
    <w:div w:id="1474256572">
      <w:bodyDiv w:val="1"/>
      <w:marLeft w:val="0"/>
      <w:marRight w:val="0"/>
      <w:marTop w:val="0"/>
      <w:marBottom w:val="0"/>
      <w:divBdr>
        <w:top w:val="none" w:sz="0" w:space="0" w:color="auto"/>
        <w:left w:val="none" w:sz="0" w:space="0" w:color="auto"/>
        <w:bottom w:val="none" w:sz="0" w:space="0" w:color="auto"/>
        <w:right w:val="none" w:sz="0" w:space="0" w:color="auto"/>
      </w:divBdr>
      <w:divsChild>
        <w:div w:id="378936191">
          <w:marLeft w:val="0"/>
          <w:marRight w:val="0"/>
          <w:marTop w:val="0"/>
          <w:marBottom w:val="0"/>
          <w:divBdr>
            <w:top w:val="none" w:sz="0" w:space="0" w:color="auto"/>
            <w:left w:val="none" w:sz="0" w:space="0" w:color="auto"/>
            <w:bottom w:val="none" w:sz="0" w:space="0" w:color="auto"/>
            <w:right w:val="none" w:sz="0" w:space="0" w:color="auto"/>
          </w:divBdr>
          <w:divsChild>
            <w:div w:id="66840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540656">
      <w:bodyDiv w:val="1"/>
      <w:marLeft w:val="0"/>
      <w:marRight w:val="0"/>
      <w:marTop w:val="0"/>
      <w:marBottom w:val="0"/>
      <w:divBdr>
        <w:top w:val="none" w:sz="0" w:space="0" w:color="auto"/>
        <w:left w:val="none" w:sz="0" w:space="0" w:color="auto"/>
        <w:bottom w:val="none" w:sz="0" w:space="0" w:color="auto"/>
        <w:right w:val="none" w:sz="0" w:space="0" w:color="auto"/>
      </w:divBdr>
    </w:div>
    <w:div w:id="1612929185">
      <w:bodyDiv w:val="1"/>
      <w:marLeft w:val="0"/>
      <w:marRight w:val="0"/>
      <w:marTop w:val="0"/>
      <w:marBottom w:val="0"/>
      <w:divBdr>
        <w:top w:val="none" w:sz="0" w:space="0" w:color="auto"/>
        <w:left w:val="none" w:sz="0" w:space="0" w:color="auto"/>
        <w:bottom w:val="none" w:sz="0" w:space="0" w:color="auto"/>
        <w:right w:val="none" w:sz="0" w:space="0" w:color="auto"/>
      </w:divBdr>
      <w:divsChild>
        <w:div w:id="979070866">
          <w:marLeft w:val="0"/>
          <w:marRight w:val="0"/>
          <w:marTop w:val="150"/>
          <w:marBottom w:val="300"/>
          <w:divBdr>
            <w:top w:val="none" w:sz="0" w:space="0" w:color="auto"/>
            <w:left w:val="none" w:sz="0" w:space="0" w:color="auto"/>
            <w:bottom w:val="none" w:sz="0" w:space="0" w:color="auto"/>
            <w:right w:val="none" w:sz="0" w:space="0" w:color="auto"/>
          </w:divBdr>
        </w:div>
      </w:divsChild>
    </w:div>
    <w:div w:id="1779565866">
      <w:bodyDiv w:val="1"/>
      <w:marLeft w:val="0"/>
      <w:marRight w:val="0"/>
      <w:marTop w:val="0"/>
      <w:marBottom w:val="0"/>
      <w:divBdr>
        <w:top w:val="none" w:sz="0" w:space="0" w:color="auto"/>
        <w:left w:val="none" w:sz="0" w:space="0" w:color="auto"/>
        <w:bottom w:val="none" w:sz="0" w:space="0" w:color="auto"/>
        <w:right w:val="none" w:sz="0" w:space="0" w:color="auto"/>
      </w:divBdr>
    </w:div>
    <w:div w:id="1845970959">
      <w:bodyDiv w:val="1"/>
      <w:marLeft w:val="0"/>
      <w:marRight w:val="0"/>
      <w:marTop w:val="0"/>
      <w:marBottom w:val="0"/>
      <w:divBdr>
        <w:top w:val="none" w:sz="0" w:space="0" w:color="auto"/>
        <w:left w:val="none" w:sz="0" w:space="0" w:color="auto"/>
        <w:bottom w:val="none" w:sz="0" w:space="0" w:color="auto"/>
        <w:right w:val="none" w:sz="0" w:space="0" w:color="auto"/>
      </w:divBdr>
    </w:div>
    <w:div w:id="1878852794">
      <w:bodyDiv w:val="1"/>
      <w:marLeft w:val="0"/>
      <w:marRight w:val="0"/>
      <w:marTop w:val="0"/>
      <w:marBottom w:val="0"/>
      <w:divBdr>
        <w:top w:val="none" w:sz="0" w:space="0" w:color="auto"/>
        <w:left w:val="none" w:sz="0" w:space="0" w:color="auto"/>
        <w:bottom w:val="none" w:sz="0" w:space="0" w:color="auto"/>
        <w:right w:val="none" w:sz="0" w:space="0" w:color="auto"/>
      </w:divBdr>
    </w:div>
    <w:div w:id="1899970437">
      <w:bodyDiv w:val="1"/>
      <w:marLeft w:val="0"/>
      <w:marRight w:val="0"/>
      <w:marTop w:val="0"/>
      <w:marBottom w:val="0"/>
      <w:divBdr>
        <w:top w:val="none" w:sz="0" w:space="0" w:color="auto"/>
        <w:left w:val="none" w:sz="0" w:space="0" w:color="auto"/>
        <w:bottom w:val="none" w:sz="0" w:space="0" w:color="auto"/>
        <w:right w:val="none" w:sz="0" w:space="0" w:color="auto"/>
      </w:divBdr>
    </w:div>
    <w:div w:id="1977099658">
      <w:bodyDiv w:val="1"/>
      <w:marLeft w:val="0"/>
      <w:marRight w:val="0"/>
      <w:marTop w:val="0"/>
      <w:marBottom w:val="0"/>
      <w:divBdr>
        <w:top w:val="none" w:sz="0" w:space="0" w:color="auto"/>
        <w:left w:val="none" w:sz="0" w:space="0" w:color="auto"/>
        <w:bottom w:val="none" w:sz="0" w:space="0" w:color="auto"/>
        <w:right w:val="none" w:sz="0" w:space="0" w:color="auto"/>
      </w:divBdr>
    </w:div>
    <w:div w:id="1989940578">
      <w:bodyDiv w:val="1"/>
      <w:marLeft w:val="0"/>
      <w:marRight w:val="0"/>
      <w:marTop w:val="0"/>
      <w:marBottom w:val="0"/>
      <w:divBdr>
        <w:top w:val="none" w:sz="0" w:space="0" w:color="auto"/>
        <w:left w:val="none" w:sz="0" w:space="0" w:color="auto"/>
        <w:bottom w:val="none" w:sz="0" w:space="0" w:color="auto"/>
        <w:right w:val="none" w:sz="0" w:space="0" w:color="auto"/>
      </w:divBdr>
    </w:div>
    <w:div w:id="2068141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glickman@safeprogroup.com" TargetMode="External"/><Relationship Id="rId5" Type="http://schemas.openxmlformats.org/officeDocument/2006/relationships/webSettings" Target="webSettings.xml"/><Relationship Id="rId10" Type="http://schemas.openxmlformats.org/officeDocument/2006/relationships/hyperlink" Target="mailto:Media@safeprogroup.com" TargetMode="External"/><Relationship Id="rId4" Type="http://schemas.openxmlformats.org/officeDocument/2006/relationships/settings" Target="settings.xml"/><Relationship Id="rId9" Type="http://schemas.openxmlformats.org/officeDocument/2006/relationships/hyperlink" Target="https://safeprogrou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
</file>

<file path=customXml/itemProps1.xml><?xml version="1.0" encoding="utf-8"?>
<ds:datastoreItem xmlns:ds="http://schemas.openxmlformats.org/officeDocument/2006/customXml" ds:itemID="{36F99676-1734-4DD8-A99C-D0585809F0E7}">
  <ds:schemaRefs>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783</Words>
  <Characters>4468</Characters>
  <Application>Microsoft Office Word</Application>
  <DocSecurity>0</DocSecurity>
  <Lines>37</Lines>
  <Paragraphs>10</Paragraphs>
  <ScaleCrop>false</ScaleCrop>
  <Company/>
  <LinksUpToDate>false</LinksUpToDate>
  <CharactersWithSpaces>5241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Fugnitti</dc:creator>
  <cp:lastModifiedBy>Michael Glickman</cp:lastModifiedBy>
  <cp:revision>2</cp:revision>
  <dcterms:created xsi:type="dcterms:W3CDTF">2024-08-30T11:11:00Z</dcterms:created>
  <dcterms:modified xsi:type="dcterms:W3CDTF">2024-08-30T11:11:00Z</dcterms:modified>
</cp:coreProperties>
</file>