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D401B" w14:textId="0EBF4545" w:rsidR="00A02AD4" w:rsidRPr="00453063" w:rsidRDefault="00A02AD4" w:rsidP="00A02AD4">
      <w:pPr>
        <w:shd w:val="clear" w:color="auto" w:fill="FFFFFF"/>
        <w:spacing w:line="240" w:lineRule="auto"/>
        <w:textAlignment w:val="baseline"/>
        <w:outlineLvl w:val="0"/>
        <w:rPr>
          <w:rFonts w:ascii="Times New Roman" w:eastAsia="Times New Roman" w:hAnsi="Times New Roman" w:cs="Times New Roman"/>
          <w:b/>
          <w:bCs/>
          <w:color w:val="40505B"/>
          <w:kern w:val="36"/>
          <w14:ligatures w14:val="none"/>
        </w:rPr>
      </w:pPr>
      <w:r>
        <w:rPr>
          <w:rFonts w:ascii="Times New Roman" w:eastAsia="Times New Roman" w:hAnsi="Times New Roman" w:cs="Times New Roman"/>
          <w:b/>
          <w:bCs/>
          <w:color w:val="40505B"/>
          <w:kern w:val="36"/>
          <w14:ligatures w14:val="none"/>
        </w:rPr>
        <w:t xml:space="preserve">Kidpik Corp. </w:t>
      </w:r>
      <w:r w:rsidRPr="00453063">
        <w:rPr>
          <w:rFonts w:ascii="Times New Roman" w:eastAsia="Times New Roman" w:hAnsi="Times New Roman" w:cs="Times New Roman"/>
          <w:b/>
          <w:bCs/>
          <w:color w:val="40505B"/>
          <w:kern w:val="36"/>
          <w14:ligatures w14:val="none"/>
        </w:rPr>
        <w:t>Announces Intention to Delist its Securities from Nasdaq and to Deregister its Securities under the Securities Exchange Act</w:t>
      </w:r>
    </w:p>
    <w:p w14:paraId="17C1F7E9" w14:textId="5F0D0801" w:rsidR="00A02AD4" w:rsidRPr="00453063" w:rsidRDefault="00A02AD4" w:rsidP="00A02AD4">
      <w:pPr>
        <w:shd w:val="clear" w:color="auto" w:fill="FFFFFF"/>
        <w:spacing w:after="0" w:line="240" w:lineRule="auto"/>
        <w:ind w:firstLine="720"/>
        <w:textAlignment w:val="baseline"/>
        <w:rPr>
          <w:rFonts w:ascii="Times New Roman" w:eastAsia="Times New Roman" w:hAnsi="Times New Roman" w:cs="Times New Roman"/>
          <w:color w:val="18191B"/>
          <w:kern w:val="0"/>
          <w:sz w:val="20"/>
          <w:szCs w:val="20"/>
          <w14:ligatures w14:val="none"/>
        </w:rPr>
      </w:pPr>
      <w:r>
        <w:rPr>
          <w:rFonts w:ascii="Times New Roman" w:eastAsia="Times New Roman" w:hAnsi="Times New Roman" w:cs="Times New Roman"/>
          <w:color w:val="18191B"/>
          <w:kern w:val="0"/>
          <w:sz w:val="20"/>
          <w:szCs w:val="20"/>
          <w14:ligatures w14:val="none"/>
        </w:rPr>
        <w:t>New York City</w:t>
      </w:r>
      <w:r w:rsidRPr="00453063">
        <w:rPr>
          <w:rFonts w:ascii="Times New Roman" w:eastAsia="Times New Roman" w:hAnsi="Times New Roman" w:cs="Times New Roman"/>
          <w:color w:val="18191B"/>
          <w:kern w:val="0"/>
          <w:sz w:val="20"/>
          <w:szCs w:val="20"/>
          <w14:ligatures w14:val="none"/>
        </w:rPr>
        <w:t xml:space="preserve">, </w:t>
      </w:r>
      <w:r>
        <w:rPr>
          <w:rFonts w:ascii="Times New Roman" w:eastAsia="Times New Roman" w:hAnsi="Times New Roman" w:cs="Times New Roman"/>
          <w:color w:val="18191B"/>
          <w:kern w:val="0"/>
          <w:sz w:val="20"/>
          <w:szCs w:val="20"/>
          <w14:ligatures w14:val="none"/>
        </w:rPr>
        <w:t xml:space="preserve">New York, </w:t>
      </w:r>
      <w:r w:rsidR="00824ACA">
        <w:rPr>
          <w:rFonts w:ascii="Times New Roman" w:eastAsia="Times New Roman" w:hAnsi="Times New Roman" w:cs="Times New Roman"/>
          <w:color w:val="18191B"/>
          <w:kern w:val="0"/>
          <w:sz w:val="20"/>
          <w:szCs w:val="20"/>
          <w14:ligatures w14:val="none"/>
        </w:rPr>
        <w:t xml:space="preserve">February </w:t>
      </w:r>
      <w:r w:rsidR="006458C3">
        <w:rPr>
          <w:rFonts w:ascii="Times New Roman" w:eastAsia="Times New Roman" w:hAnsi="Times New Roman" w:cs="Times New Roman"/>
          <w:color w:val="18191B"/>
          <w:kern w:val="0"/>
          <w:sz w:val="20"/>
          <w:szCs w:val="20"/>
          <w14:ligatures w14:val="none"/>
        </w:rPr>
        <w:t>6</w:t>
      </w:r>
      <w:r>
        <w:rPr>
          <w:rFonts w:ascii="Times New Roman" w:eastAsia="Times New Roman" w:hAnsi="Times New Roman" w:cs="Times New Roman"/>
          <w:color w:val="18191B"/>
          <w:kern w:val="0"/>
          <w:sz w:val="20"/>
          <w:szCs w:val="20"/>
          <w14:ligatures w14:val="none"/>
        </w:rPr>
        <w:t>, 2025 –</w:t>
      </w:r>
      <w:r w:rsidRPr="00453063">
        <w:rPr>
          <w:rFonts w:ascii="Times New Roman" w:eastAsia="Times New Roman" w:hAnsi="Times New Roman" w:cs="Times New Roman"/>
          <w:color w:val="18191B"/>
          <w:kern w:val="0"/>
          <w:sz w:val="20"/>
          <w:szCs w:val="20"/>
          <w14:ligatures w14:val="none"/>
        </w:rPr>
        <w:t> </w:t>
      </w:r>
      <w:r>
        <w:rPr>
          <w:rFonts w:ascii="Times New Roman" w:eastAsia="Times New Roman" w:hAnsi="Times New Roman" w:cs="Times New Roman"/>
          <w:color w:val="18191B"/>
          <w:kern w:val="0"/>
          <w:sz w:val="20"/>
          <w:szCs w:val="20"/>
          <w14:ligatures w14:val="none"/>
        </w:rPr>
        <w:t>KIDPK Corp</w:t>
      </w:r>
      <w:r w:rsidRPr="00453063">
        <w:rPr>
          <w:rFonts w:ascii="Times New Roman" w:eastAsia="Times New Roman" w:hAnsi="Times New Roman" w:cs="Times New Roman"/>
          <w:color w:val="18191B"/>
          <w:kern w:val="0"/>
          <w:sz w:val="20"/>
          <w:szCs w:val="20"/>
          <w14:ligatures w14:val="none"/>
        </w:rPr>
        <w:t> (“</w:t>
      </w:r>
      <w:r>
        <w:rPr>
          <w:rFonts w:ascii="Times New Roman" w:eastAsia="Times New Roman" w:hAnsi="Times New Roman" w:cs="Times New Roman"/>
          <w:color w:val="18191B"/>
          <w:kern w:val="0"/>
          <w:sz w:val="20"/>
          <w:szCs w:val="20"/>
          <w14:ligatures w14:val="none"/>
        </w:rPr>
        <w:t>KIDPIK</w:t>
      </w:r>
      <w:r w:rsidRPr="00453063">
        <w:rPr>
          <w:rFonts w:ascii="Times New Roman" w:eastAsia="Times New Roman" w:hAnsi="Times New Roman" w:cs="Times New Roman"/>
          <w:color w:val="18191B"/>
          <w:kern w:val="0"/>
          <w:sz w:val="20"/>
          <w:szCs w:val="20"/>
          <w14:ligatures w14:val="none"/>
        </w:rPr>
        <w:t>” or the “Company”) (OTC</w:t>
      </w:r>
      <w:r>
        <w:rPr>
          <w:rFonts w:ascii="Times New Roman" w:eastAsia="Times New Roman" w:hAnsi="Times New Roman" w:cs="Times New Roman"/>
          <w:color w:val="18191B"/>
          <w:kern w:val="0"/>
          <w:sz w:val="20"/>
          <w:szCs w:val="20"/>
          <w14:ligatures w14:val="none"/>
        </w:rPr>
        <w:t>:  “PIKM”</w:t>
      </w:r>
      <w:r w:rsidRPr="00453063">
        <w:rPr>
          <w:rFonts w:ascii="Times New Roman" w:eastAsia="Times New Roman" w:hAnsi="Times New Roman" w:cs="Times New Roman"/>
          <w:color w:val="18191B"/>
          <w:kern w:val="0"/>
          <w:sz w:val="20"/>
          <w:szCs w:val="20"/>
          <w14:ligatures w14:val="none"/>
        </w:rPr>
        <w:t>), a</w:t>
      </w:r>
      <w:r>
        <w:rPr>
          <w:rFonts w:ascii="Times New Roman" w:eastAsia="Times New Roman" w:hAnsi="Times New Roman" w:cs="Times New Roman"/>
          <w:color w:val="18191B"/>
          <w:kern w:val="0"/>
          <w:sz w:val="20"/>
          <w:szCs w:val="20"/>
          <w14:ligatures w14:val="none"/>
        </w:rPr>
        <w:t>n online clothing subscription box for kids</w:t>
      </w:r>
      <w:r w:rsidRPr="00453063">
        <w:rPr>
          <w:rFonts w:ascii="Times New Roman" w:eastAsia="Times New Roman" w:hAnsi="Times New Roman" w:cs="Times New Roman"/>
          <w:color w:val="18191B"/>
          <w:kern w:val="0"/>
          <w:sz w:val="20"/>
          <w:szCs w:val="20"/>
          <w14:ligatures w14:val="none"/>
        </w:rPr>
        <w:t xml:space="preserve"> , informs its stockholders and the market in general that today its Board of Directors approved the commencement of the process to: (</w:t>
      </w:r>
      <w:proofErr w:type="spellStart"/>
      <w:r w:rsidRPr="00453063">
        <w:rPr>
          <w:rFonts w:ascii="Times New Roman" w:eastAsia="Times New Roman" w:hAnsi="Times New Roman" w:cs="Times New Roman"/>
          <w:color w:val="18191B"/>
          <w:kern w:val="0"/>
          <w:sz w:val="20"/>
          <w:szCs w:val="20"/>
          <w14:ligatures w14:val="none"/>
        </w:rPr>
        <w:t>i</w:t>
      </w:r>
      <w:proofErr w:type="spellEnd"/>
      <w:r w:rsidRPr="00453063">
        <w:rPr>
          <w:rFonts w:ascii="Times New Roman" w:eastAsia="Times New Roman" w:hAnsi="Times New Roman" w:cs="Times New Roman"/>
          <w:color w:val="18191B"/>
          <w:kern w:val="0"/>
          <w:sz w:val="20"/>
          <w:szCs w:val="20"/>
          <w14:ligatures w14:val="none"/>
        </w:rPr>
        <w:t>) voluntarily delist its securities from the Nasdaq Stock Market LLC (“Nasdaq”); and (ii) deregister the Company’s securities</w:t>
      </w:r>
      <w:r w:rsidRPr="00453063">
        <w:rPr>
          <w:rFonts w:ascii="Times New Roman" w:eastAsia="Times New Roman" w:hAnsi="Times New Roman" w:cs="Times New Roman"/>
          <w:b/>
          <w:bCs/>
          <w:color w:val="18191B"/>
          <w:kern w:val="0"/>
          <w:sz w:val="20"/>
          <w:szCs w:val="20"/>
          <w:bdr w:val="none" w:sz="0" w:space="0" w:color="auto" w:frame="1"/>
          <w14:ligatures w14:val="none"/>
        </w:rPr>
        <w:t> </w:t>
      </w:r>
      <w:r w:rsidRPr="00453063">
        <w:rPr>
          <w:rFonts w:ascii="Times New Roman" w:eastAsia="Times New Roman" w:hAnsi="Times New Roman" w:cs="Times New Roman"/>
          <w:color w:val="18191B"/>
          <w:kern w:val="0"/>
          <w:sz w:val="20"/>
          <w:szCs w:val="20"/>
          <w14:ligatures w14:val="none"/>
        </w:rPr>
        <w:t>under the U.S. Securities Exchange Act of 1934, as amended (the “Exchange Act”), after taking into account a number of considerations, including, but not limited to, the Nasdaq Suspension (as defined below)</w:t>
      </w:r>
      <w:r>
        <w:rPr>
          <w:rFonts w:ascii="Times New Roman" w:eastAsia="Times New Roman" w:hAnsi="Times New Roman" w:cs="Times New Roman"/>
          <w:color w:val="18191B"/>
          <w:kern w:val="0"/>
          <w:sz w:val="20"/>
          <w:szCs w:val="20"/>
          <w14:ligatures w14:val="none"/>
        </w:rPr>
        <w:t>.</w:t>
      </w:r>
    </w:p>
    <w:p w14:paraId="3BAAB725" w14:textId="77777777" w:rsidR="00A02AD4" w:rsidRDefault="00A02AD4" w:rsidP="00A02AD4">
      <w:pPr>
        <w:shd w:val="clear" w:color="auto" w:fill="FFFFFF"/>
        <w:spacing w:after="0" w:line="240" w:lineRule="auto"/>
        <w:ind w:firstLine="720"/>
        <w:textAlignment w:val="baseline"/>
        <w:rPr>
          <w:rFonts w:ascii="Times New Roman" w:eastAsia="Times New Roman" w:hAnsi="Times New Roman" w:cs="Times New Roman"/>
          <w:color w:val="18191B"/>
          <w:kern w:val="0"/>
          <w:sz w:val="20"/>
          <w:szCs w:val="20"/>
          <w14:ligatures w14:val="none"/>
        </w:rPr>
      </w:pPr>
    </w:p>
    <w:p w14:paraId="42A22B9A" w14:textId="77777777" w:rsidR="003D4980" w:rsidRPr="00453063" w:rsidRDefault="00A02AD4" w:rsidP="003D4980">
      <w:pPr>
        <w:shd w:val="clear" w:color="auto" w:fill="FFFFFF"/>
        <w:spacing w:after="0" w:line="240" w:lineRule="auto"/>
        <w:ind w:firstLine="720"/>
        <w:textAlignment w:val="baseline"/>
        <w:rPr>
          <w:rFonts w:ascii="Times New Roman" w:eastAsia="Times New Roman" w:hAnsi="Times New Roman" w:cs="Times New Roman"/>
          <w:color w:val="18191B"/>
          <w:kern w:val="0"/>
          <w:sz w:val="20"/>
          <w:szCs w:val="20"/>
          <w14:ligatures w14:val="none"/>
        </w:rPr>
      </w:pPr>
      <w:r w:rsidRPr="00453063">
        <w:rPr>
          <w:rFonts w:ascii="Times New Roman" w:eastAsia="Times New Roman" w:hAnsi="Times New Roman" w:cs="Times New Roman"/>
          <w:color w:val="18191B"/>
          <w:kern w:val="0"/>
          <w:sz w:val="20"/>
          <w:szCs w:val="20"/>
          <w14:ligatures w14:val="none"/>
        </w:rPr>
        <w:t>The Company previously reported that, on </w:t>
      </w:r>
      <w:r>
        <w:rPr>
          <w:rFonts w:ascii="Times New Roman" w:eastAsia="Times New Roman" w:hAnsi="Times New Roman" w:cs="Times New Roman"/>
          <w:color w:val="18191B"/>
          <w:kern w:val="0"/>
          <w:sz w:val="20"/>
          <w:szCs w:val="20"/>
          <w14:ligatures w14:val="none"/>
        </w:rPr>
        <w:t>December 20</w:t>
      </w:r>
      <w:r w:rsidRPr="00453063">
        <w:rPr>
          <w:rFonts w:ascii="Times New Roman" w:eastAsia="Times New Roman" w:hAnsi="Times New Roman" w:cs="Times New Roman"/>
          <w:color w:val="18191B"/>
          <w:kern w:val="0"/>
          <w:sz w:val="20"/>
          <w:szCs w:val="20"/>
          <w14:ligatures w14:val="none"/>
        </w:rPr>
        <w:t>, 2024, Nasdaq notified the Company that the Nasdaq Hearings Panel </w:t>
      </w:r>
      <w:proofErr w:type="gramStart"/>
      <w:r w:rsidRPr="00453063">
        <w:rPr>
          <w:rFonts w:ascii="Times New Roman" w:eastAsia="Times New Roman" w:hAnsi="Times New Roman" w:cs="Times New Roman"/>
          <w:color w:val="18191B"/>
          <w:kern w:val="0"/>
          <w:sz w:val="20"/>
          <w:szCs w:val="20"/>
          <w14:ligatures w14:val="none"/>
        </w:rPr>
        <w:t>made a determination</w:t>
      </w:r>
      <w:proofErr w:type="gramEnd"/>
      <w:r w:rsidRPr="00453063">
        <w:rPr>
          <w:rFonts w:ascii="Times New Roman" w:eastAsia="Times New Roman" w:hAnsi="Times New Roman" w:cs="Times New Roman"/>
          <w:color w:val="18191B"/>
          <w:kern w:val="0"/>
          <w:sz w:val="20"/>
          <w:szCs w:val="20"/>
          <w14:ligatures w14:val="none"/>
        </w:rPr>
        <w:t xml:space="preserve"> to delist the Company’s securities from Nasdaq because the Company was in violation of Nasdaq Listing Rule 5550(b)(</w:t>
      </w:r>
      <w:r>
        <w:rPr>
          <w:rFonts w:ascii="Times New Roman" w:eastAsia="Times New Roman" w:hAnsi="Times New Roman" w:cs="Times New Roman"/>
          <w:color w:val="18191B"/>
          <w:kern w:val="0"/>
          <w:sz w:val="20"/>
          <w:szCs w:val="20"/>
          <w14:ligatures w14:val="none"/>
        </w:rPr>
        <w:t>1</w:t>
      </w:r>
      <w:r w:rsidRPr="00453063">
        <w:rPr>
          <w:rFonts w:ascii="Times New Roman" w:eastAsia="Times New Roman" w:hAnsi="Times New Roman" w:cs="Times New Roman"/>
          <w:color w:val="18191B"/>
          <w:kern w:val="0"/>
          <w:sz w:val="20"/>
          <w:szCs w:val="20"/>
          <w14:ligatures w14:val="none"/>
        </w:rPr>
        <w:t xml:space="preserve">) </w:t>
      </w:r>
      <w:r>
        <w:rPr>
          <w:rFonts w:ascii="Times New Roman" w:eastAsia="Times New Roman" w:hAnsi="Times New Roman" w:cs="Times New Roman"/>
          <w:color w:val="18191B"/>
          <w:kern w:val="0"/>
          <w:sz w:val="20"/>
          <w:szCs w:val="20"/>
          <w14:ligatures w14:val="none"/>
        </w:rPr>
        <w:t xml:space="preserve">due to </w:t>
      </w:r>
      <w:r w:rsidRPr="00453063">
        <w:rPr>
          <w:rFonts w:ascii="Times New Roman" w:eastAsia="Times New Roman" w:hAnsi="Times New Roman" w:cs="Times New Roman"/>
          <w:color w:val="18191B"/>
          <w:kern w:val="0"/>
          <w:sz w:val="20"/>
          <w:szCs w:val="20"/>
          <w14:ligatures w14:val="none"/>
        </w:rPr>
        <w:t>the</w:t>
      </w:r>
      <w:r>
        <w:rPr>
          <w:rFonts w:ascii="Times New Roman" w:eastAsia="Times New Roman" w:hAnsi="Times New Roman" w:cs="Times New Roman"/>
          <w:color w:val="18191B"/>
          <w:kern w:val="0"/>
          <w:sz w:val="20"/>
          <w:szCs w:val="20"/>
          <w14:ligatures w14:val="none"/>
        </w:rPr>
        <w:t xml:space="preserve"> Exchange’s minimum shareholders equity rule (the “Equity Rule”).  </w:t>
      </w:r>
      <w:r w:rsidRPr="00453063">
        <w:rPr>
          <w:rFonts w:ascii="Times New Roman" w:eastAsia="Times New Roman" w:hAnsi="Times New Roman" w:cs="Times New Roman"/>
          <w:color w:val="18191B"/>
          <w:kern w:val="0"/>
          <w:sz w:val="20"/>
          <w:szCs w:val="20"/>
          <w14:ligatures w14:val="none"/>
        </w:rPr>
        <w:t>As a result, trading of the Company’s securities on Nasdaq was suspended on </w:t>
      </w:r>
      <w:r>
        <w:rPr>
          <w:rFonts w:ascii="Times New Roman" w:eastAsia="Times New Roman" w:hAnsi="Times New Roman" w:cs="Times New Roman"/>
          <w:color w:val="18191B"/>
          <w:kern w:val="0"/>
          <w:sz w:val="20"/>
          <w:szCs w:val="20"/>
          <w14:ligatures w14:val="none"/>
        </w:rPr>
        <w:t>December</w:t>
      </w:r>
      <w:r w:rsidRPr="00453063">
        <w:rPr>
          <w:rFonts w:ascii="Times New Roman" w:eastAsia="Times New Roman" w:hAnsi="Times New Roman" w:cs="Times New Roman"/>
          <w:color w:val="18191B"/>
          <w:kern w:val="0"/>
          <w:sz w:val="20"/>
          <w:szCs w:val="20"/>
          <w14:ligatures w14:val="none"/>
        </w:rPr>
        <w:t xml:space="preserve"> </w:t>
      </w:r>
      <w:r>
        <w:rPr>
          <w:rFonts w:ascii="Times New Roman" w:eastAsia="Times New Roman" w:hAnsi="Times New Roman" w:cs="Times New Roman"/>
          <w:color w:val="18191B"/>
          <w:kern w:val="0"/>
          <w:sz w:val="20"/>
          <w:szCs w:val="20"/>
          <w14:ligatures w14:val="none"/>
        </w:rPr>
        <w:t>26</w:t>
      </w:r>
      <w:r w:rsidRPr="00453063">
        <w:rPr>
          <w:rFonts w:ascii="Times New Roman" w:eastAsia="Times New Roman" w:hAnsi="Times New Roman" w:cs="Times New Roman"/>
          <w:color w:val="18191B"/>
          <w:kern w:val="0"/>
          <w:sz w:val="20"/>
          <w:szCs w:val="20"/>
          <w14:ligatures w14:val="none"/>
        </w:rPr>
        <w:t xml:space="preserve">, 2024 (the “Nasdaq Suspension”). </w:t>
      </w:r>
      <w:r w:rsidR="003D4980" w:rsidRPr="00453063">
        <w:rPr>
          <w:rFonts w:ascii="Times New Roman" w:eastAsia="Times New Roman" w:hAnsi="Times New Roman" w:cs="Times New Roman"/>
          <w:color w:val="18191B"/>
          <w:kern w:val="0"/>
          <w:sz w:val="20"/>
          <w:szCs w:val="20"/>
          <w14:ligatures w14:val="none"/>
        </w:rPr>
        <w:t>Following the Nasdaq Suspension, the Company’s common stock began trading under the symbols “</w:t>
      </w:r>
      <w:r w:rsidR="003D4980">
        <w:rPr>
          <w:rFonts w:ascii="Times New Roman" w:eastAsia="Times New Roman" w:hAnsi="Times New Roman" w:cs="Times New Roman"/>
          <w:color w:val="18191B"/>
          <w:kern w:val="0"/>
          <w:sz w:val="20"/>
          <w:szCs w:val="20"/>
          <w14:ligatures w14:val="none"/>
        </w:rPr>
        <w:t>PIKM</w:t>
      </w:r>
      <w:r w:rsidR="003D4980" w:rsidRPr="00453063">
        <w:rPr>
          <w:rFonts w:ascii="Times New Roman" w:eastAsia="Times New Roman" w:hAnsi="Times New Roman" w:cs="Times New Roman"/>
          <w:color w:val="18191B"/>
          <w:kern w:val="0"/>
          <w:sz w:val="20"/>
          <w:szCs w:val="20"/>
          <w14:ligatures w14:val="none"/>
        </w:rPr>
        <w:t>”, on the OTC Markets system effective on </w:t>
      </w:r>
      <w:r w:rsidR="003D4980">
        <w:rPr>
          <w:rFonts w:ascii="Times New Roman" w:eastAsia="Times New Roman" w:hAnsi="Times New Roman" w:cs="Times New Roman"/>
          <w:color w:val="18191B"/>
          <w:kern w:val="0"/>
          <w:sz w:val="20"/>
          <w:szCs w:val="20"/>
          <w14:ligatures w14:val="none"/>
        </w:rPr>
        <w:t>December 26</w:t>
      </w:r>
      <w:r w:rsidR="003D4980" w:rsidRPr="00453063">
        <w:rPr>
          <w:rFonts w:ascii="Times New Roman" w:eastAsia="Times New Roman" w:hAnsi="Times New Roman" w:cs="Times New Roman"/>
          <w:color w:val="18191B"/>
          <w:kern w:val="0"/>
          <w:sz w:val="20"/>
          <w:szCs w:val="20"/>
          <w14:ligatures w14:val="none"/>
        </w:rPr>
        <w:t>, 2024.</w:t>
      </w:r>
    </w:p>
    <w:p w14:paraId="33E1E55E" w14:textId="77777777" w:rsidR="008419F5" w:rsidRDefault="008419F5" w:rsidP="00A02AD4">
      <w:pPr>
        <w:shd w:val="clear" w:color="auto" w:fill="FFFFFF"/>
        <w:spacing w:after="0" w:line="240" w:lineRule="auto"/>
        <w:ind w:firstLine="720"/>
        <w:textAlignment w:val="baseline"/>
        <w:rPr>
          <w:rFonts w:ascii="Times New Roman" w:eastAsia="Times New Roman" w:hAnsi="Times New Roman" w:cs="Times New Roman"/>
          <w:color w:val="18191B"/>
          <w:kern w:val="0"/>
          <w:sz w:val="20"/>
          <w:szCs w:val="20"/>
          <w14:ligatures w14:val="none"/>
        </w:rPr>
      </w:pPr>
    </w:p>
    <w:p w14:paraId="1071217B" w14:textId="7932FB5C" w:rsidR="00A02AD4" w:rsidRPr="00453063" w:rsidRDefault="00A02AD4" w:rsidP="00A02AD4">
      <w:pPr>
        <w:shd w:val="clear" w:color="auto" w:fill="FFFFFF"/>
        <w:spacing w:after="0" w:line="240" w:lineRule="auto"/>
        <w:ind w:firstLine="720"/>
        <w:textAlignment w:val="baseline"/>
        <w:rPr>
          <w:rFonts w:ascii="Times New Roman" w:eastAsia="Times New Roman" w:hAnsi="Times New Roman" w:cs="Times New Roman"/>
          <w:color w:val="18191B"/>
          <w:kern w:val="0"/>
          <w:sz w:val="20"/>
          <w:szCs w:val="20"/>
          <w14:ligatures w14:val="none"/>
        </w:rPr>
      </w:pPr>
      <w:r w:rsidRPr="00453063">
        <w:rPr>
          <w:rFonts w:ascii="Times New Roman" w:eastAsia="Times New Roman" w:hAnsi="Times New Roman" w:cs="Times New Roman"/>
          <w:color w:val="18191B"/>
          <w:kern w:val="0"/>
          <w:sz w:val="20"/>
          <w:szCs w:val="20"/>
          <w14:ligatures w14:val="none"/>
        </w:rPr>
        <w:t xml:space="preserve">As permitted under Nasdaq rules, the Company intends to file a Form 25 with the SEC to voluntarily delist its securities from Nasdaq, unless Nasdaq files the Form 25 prior to the filing of such form by the Company. Nasdaq rules require the Company to provide </w:t>
      </w:r>
      <w:proofErr w:type="gramStart"/>
      <w:r w:rsidRPr="00453063">
        <w:rPr>
          <w:rFonts w:ascii="Times New Roman" w:eastAsia="Times New Roman" w:hAnsi="Times New Roman" w:cs="Times New Roman"/>
          <w:color w:val="18191B"/>
          <w:kern w:val="0"/>
          <w:sz w:val="20"/>
          <w:szCs w:val="20"/>
          <w14:ligatures w14:val="none"/>
        </w:rPr>
        <w:t>Nasdaq</w:t>
      </w:r>
      <w:proofErr w:type="gramEnd"/>
      <w:r w:rsidRPr="00453063">
        <w:rPr>
          <w:rFonts w:ascii="Times New Roman" w:eastAsia="Times New Roman" w:hAnsi="Times New Roman" w:cs="Times New Roman"/>
          <w:color w:val="18191B"/>
          <w:kern w:val="0"/>
          <w:sz w:val="20"/>
          <w:szCs w:val="20"/>
          <w14:ligatures w14:val="none"/>
        </w:rPr>
        <w:t xml:space="preserve"> at least 10 days’ notice of the Company’s intention to withdraw its listing and the Company plans to notify Nasdaq accordingly. The delisting of the Company’s securities from Nasdaq is expected to become effective ten days after the filing of </w:t>
      </w:r>
      <w:proofErr w:type="gramStart"/>
      <w:r w:rsidRPr="00453063">
        <w:rPr>
          <w:rFonts w:ascii="Times New Roman" w:eastAsia="Times New Roman" w:hAnsi="Times New Roman" w:cs="Times New Roman"/>
          <w:color w:val="18191B"/>
          <w:kern w:val="0"/>
          <w:sz w:val="20"/>
          <w:szCs w:val="20"/>
          <w14:ligatures w14:val="none"/>
        </w:rPr>
        <w:t>the Form</w:t>
      </w:r>
      <w:proofErr w:type="gramEnd"/>
      <w:r w:rsidRPr="00453063">
        <w:rPr>
          <w:rFonts w:ascii="Times New Roman" w:eastAsia="Times New Roman" w:hAnsi="Times New Roman" w:cs="Times New Roman"/>
          <w:color w:val="18191B"/>
          <w:kern w:val="0"/>
          <w:sz w:val="20"/>
          <w:szCs w:val="20"/>
          <w14:ligatures w14:val="none"/>
        </w:rPr>
        <w:t xml:space="preserve"> 25.</w:t>
      </w:r>
    </w:p>
    <w:p w14:paraId="13DB1F02" w14:textId="77777777" w:rsidR="00A02AD4" w:rsidRDefault="00A02AD4" w:rsidP="00A02AD4">
      <w:pPr>
        <w:shd w:val="clear" w:color="auto" w:fill="FFFFFF"/>
        <w:spacing w:after="0" w:line="240" w:lineRule="auto"/>
        <w:ind w:firstLine="720"/>
        <w:textAlignment w:val="baseline"/>
        <w:rPr>
          <w:rFonts w:ascii="Times New Roman" w:eastAsia="Times New Roman" w:hAnsi="Times New Roman" w:cs="Times New Roman"/>
          <w:color w:val="18191B"/>
          <w:kern w:val="0"/>
          <w:sz w:val="20"/>
          <w:szCs w:val="20"/>
          <w14:ligatures w14:val="none"/>
        </w:rPr>
      </w:pPr>
    </w:p>
    <w:p w14:paraId="22D40210" w14:textId="1F40CBE7" w:rsidR="00A02AD4" w:rsidRPr="00453063" w:rsidRDefault="00A02AD4" w:rsidP="00A02AD4">
      <w:pPr>
        <w:shd w:val="clear" w:color="auto" w:fill="FFFFFF"/>
        <w:spacing w:after="0" w:line="240" w:lineRule="auto"/>
        <w:ind w:firstLine="720"/>
        <w:textAlignment w:val="baseline"/>
        <w:rPr>
          <w:rFonts w:ascii="Times New Roman" w:eastAsia="Times New Roman" w:hAnsi="Times New Roman" w:cs="Times New Roman"/>
          <w:color w:val="18191B"/>
          <w:kern w:val="0"/>
          <w:sz w:val="20"/>
          <w:szCs w:val="20"/>
          <w14:ligatures w14:val="none"/>
        </w:rPr>
      </w:pPr>
      <w:r w:rsidRPr="00453063">
        <w:rPr>
          <w:rFonts w:ascii="Times New Roman" w:eastAsia="Times New Roman" w:hAnsi="Times New Roman" w:cs="Times New Roman"/>
          <w:color w:val="18191B"/>
          <w:kern w:val="0"/>
          <w:sz w:val="20"/>
          <w:szCs w:val="20"/>
          <w14:ligatures w14:val="none"/>
        </w:rPr>
        <w:t xml:space="preserve">Once the delisting has become effective and the criteria for deregistration have been satisfied, the Company intends to file </w:t>
      </w:r>
      <w:proofErr w:type="gramStart"/>
      <w:r w:rsidRPr="00453063">
        <w:rPr>
          <w:rFonts w:ascii="Times New Roman" w:eastAsia="Times New Roman" w:hAnsi="Times New Roman" w:cs="Times New Roman"/>
          <w:color w:val="18191B"/>
          <w:kern w:val="0"/>
          <w:sz w:val="20"/>
          <w:szCs w:val="20"/>
          <w14:ligatures w14:val="none"/>
        </w:rPr>
        <w:t>a Form</w:t>
      </w:r>
      <w:proofErr w:type="gramEnd"/>
      <w:r w:rsidRPr="00453063">
        <w:rPr>
          <w:rFonts w:ascii="Times New Roman" w:eastAsia="Times New Roman" w:hAnsi="Times New Roman" w:cs="Times New Roman"/>
          <w:color w:val="18191B"/>
          <w:kern w:val="0"/>
          <w:sz w:val="20"/>
          <w:szCs w:val="20"/>
          <w14:ligatures w14:val="none"/>
        </w:rPr>
        <w:t xml:space="preserve"> 15 with the SEC to deregister the Company’s securities under the Exchange Act. Upon filing </w:t>
      </w:r>
      <w:proofErr w:type="gramStart"/>
      <w:r w:rsidRPr="00453063">
        <w:rPr>
          <w:rFonts w:ascii="Times New Roman" w:eastAsia="Times New Roman" w:hAnsi="Times New Roman" w:cs="Times New Roman"/>
          <w:color w:val="18191B"/>
          <w:kern w:val="0"/>
          <w:sz w:val="20"/>
          <w:szCs w:val="20"/>
          <w14:ligatures w14:val="none"/>
        </w:rPr>
        <w:t>the Form</w:t>
      </w:r>
      <w:proofErr w:type="gramEnd"/>
      <w:r w:rsidRPr="00453063">
        <w:rPr>
          <w:rFonts w:ascii="Times New Roman" w:eastAsia="Times New Roman" w:hAnsi="Times New Roman" w:cs="Times New Roman"/>
          <w:color w:val="18191B"/>
          <w:kern w:val="0"/>
          <w:sz w:val="20"/>
          <w:szCs w:val="20"/>
          <w14:ligatures w14:val="none"/>
        </w:rPr>
        <w:t xml:space="preserve"> 15, the Company's obligation to file periodic and current reports with the SEC, including Annual Reports on Form 10-K, Quarterly Reports on Form 10-Q, and Current Reports on Form 8-K, will be immediately suspended. The Company's duty to file any other reports required by the Exchange Act with the SEC will be terminated 90 days after the filing of Form 15.</w:t>
      </w:r>
    </w:p>
    <w:p w14:paraId="3D69611C" w14:textId="77777777" w:rsidR="00A02AD4" w:rsidRDefault="00A02AD4" w:rsidP="008419F5">
      <w:pPr>
        <w:shd w:val="clear" w:color="auto" w:fill="FFFFFF"/>
        <w:spacing w:after="0" w:line="240" w:lineRule="auto"/>
        <w:textAlignment w:val="baseline"/>
        <w:rPr>
          <w:rFonts w:ascii="Times New Roman" w:eastAsia="Times New Roman" w:hAnsi="Times New Roman" w:cs="Times New Roman"/>
          <w:color w:val="18191B"/>
          <w:kern w:val="0"/>
          <w:sz w:val="20"/>
          <w:szCs w:val="20"/>
          <w14:ligatures w14:val="none"/>
        </w:rPr>
      </w:pPr>
    </w:p>
    <w:p w14:paraId="26D493DB" w14:textId="20A38D1D" w:rsidR="00A02AD4" w:rsidRPr="00453063" w:rsidRDefault="00A02AD4" w:rsidP="00A02AD4">
      <w:pPr>
        <w:shd w:val="clear" w:color="auto" w:fill="FFFFFF"/>
        <w:spacing w:after="0" w:line="240" w:lineRule="auto"/>
        <w:ind w:firstLine="720"/>
        <w:textAlignment w:val="baseline"/>
        <w:rPr>
          <w:rFonts w:ascii="Times New Roman" w:eastAsia="Times New Roman" w:hAnsi="Times New Roman" w:cs="Times New Roman"/>
          <w:color w:val="18191B"/>
          <w:kern w:val="0"/>
          <w:sz w:val="20"/>
          <w:szCs w:val="20"/>
          <w14:ligatures w14:val="none"/>
        </w:rPr>
      </w:pPr>
      <w:r w:rsidRPr="00453063">
        <w:rPr>
          <w:rFonts w:ascii="Times New Roman" w:eastAsia="Times New Roman" w:hAnsi="Times New Roman" w:cs="Times New Roman"/>
          <w:color w:val="18191B"/>
          <w:kern w:val="0"/>
          <w:sz w:val="20"/>
          <w:szCs w:val="20"/>
          <w14:ligatures w14:val="none"/>
        </w:rPr>
        <w:t xml:space="preserve">The Company reserves its rights in all respects, for any reason, to delay or withdraw the </w:t>
      </w:r>
      <w:proofErr w:type="gramStart"/>
      <w:r w:rsidRPr="00453063">
        <w:rPr>
          <w:rFonts w:ascii="Times New Roman" w:eastAsia="Times New Roman" w:hAnsi="Times New Roman" w:cs="Times New Roman"/>
          <w:color w:val="18191B"/>
          <w:kern w:val="0"/>
          <w:sz w:val="20"/>
          <w:szCs w:val="20"/>
          <w14:ligatures w14:val="none"/>
        </w:rPr>
        <w:t>aforementioned filings</w:t>
      </w:r>
      <w:proofErr w:type="gramEnd"/>
      <w:r w:rsidRPr="00453063">
        <w:rPr>
          <w:rFonts w:ascii="Times New Roman" w:eastAsia="Times New Roman" w:hAnsi="Times New Roman" w:cs="Times New Roman"/>
          <w:color w:val="18191B"/>
          <w:kern w:val="0"/>
          <w:sz w:val="20"/>
          <w:szCs w:val="20"/>
          <w14:ligatures w14:val="none"/>
        </w:rPr>
        <w:t xml:space="preserve"> prior to their effectiveness and will issue any further announcement if required under the listing rules or other applicable laws and regulations.</w:t>
      </w:r>
    </w:p>
    <w:p w14:paraId="60DA80B5" w14:textId="77777777" w:rsidR="004E393A" w:rsidRDefault="004E393A" w:rsidP="00A02AD4">
      <w:pPr>
        <w:spacing w:after="0" w:line="240" w:lineRule="auto"/>
      </w:pPr>
    </w:p>
    <w:p w14:paraId="41B0A448" w14:textId="77777777" w:rsidR="00A02AD4" w:rsidRPr="00A02AD4" w:rsidRDefault="00A02AD4" w:rsidP="00A02AD4">
      <w:pPr>
        <w:spacing w:before="100" w:beforeAutospacing="1" w:after="100" w:afterAutospacing="1" w:line="240" w:lineRule="auto"/>
        <w:outlineLvl w:val="2"/>
        <w:rPr>
          <w:rFonts w:ascii="Times New Roman" w:eastAsia="Times New Roman" w:hAnsi="Times New Roman" w:cs="Times New Roman"/>
          <w:b/>
          <w:bCs/>
          <w:kern w:val="0"/>
          <w:sz w:val="20"/>
          <w:szCs w:val="20"/>
          <w14:ligatures w14:val="none"/>
        </w:rPr>
      </w:pPr>
      <w:r w:rsidRPr="00A02AD4">
        <w:rPr>
          <w:rFonts w:ascii="Times New Roman" w:eastAsia="Times New Roman" w:hAnsi="Times New Roman" w:cs="Times New Roman"/>
          <w:b/>
          <w:bCs/>
          <w:kern w:val="0"/>
          <w:sz w:val="20"/>
          <w:szCs w:val="20"/>
          <w14:ligatures w14:val="none"/>
        </w:rPr>
        <w:t>About Kidpik Corp.</w:t>
      </w:r>
    </w:p>
    <w:p w14:paraId="01AACC6D" w14:textId="0ACC7143" w:rsidR="00A02AD4" w:rsidRPr="008419F5" w:rsidRDefault="00A02AD4" w:rsidP="008419F5">
      <w:pPr>
        <w:spacing w:before="100" w:beforeAutospacing="1" w:after="100" w:afterAutospacing="1" w:line="240" w:lineRule="auto"/>
        <w:ind w:firstLine="720"/>
        <w:rPr>
          <w:rFonts w:ascii="Times New Roman" w:eastAsia="Times New Roman" w:hAnsi="Times New Roman" w:cs="Times New Roman"/>
          <w:kern w:val="0"/>
          <w:sz w:val="20"/>
          <w:szCs w:val="20"/>
          <w14:ligatures w14:val="none"/>
        </w:rPr>
      </w:pPr>
      <w:r w:rsidRPr="00A02AD4">
        <w:rPr>
          <w:rFonts w:ascii="Times New Roman" w:hAnsi="Times New Roman" w:cs="Times New Roman"/>
          <w:color w:val="000000"/>
          <w:sz w:val="20"/>
          <w:szCs w:val="20"/>
          <w:shd w:val="clear" w:color="auto" w:fill="FFFFFF"/>
        </w:rPr>
        <w:t>Founded in 2016, KIDPIK (OTC:</w:t>
      </w:r>
      <w:r>
        <w:rPr>
          <w:rFonts w:ascii="Times New Roman" w:hAnsi="Times New Roman" w:cs="Times New Roman"/>
          <w:color w:val="000000"/>
          <w:sz w:val="20"/>
          <w:szCs w:val="20"/>
          <w:shd w:val="clear" w:color="auto" w:fill="FFFFFF"/>
        </w:rPr>
        <w:t xml:space="preserve"> </w:t>
      </w:r>
      <w:r w:rsidRPr="00A02AD4">
        <w:rPr>
          <w:rFonts w:ascii="Times New Roman" w:hAnsi="Times New Roman" w:cs="Times New Roman"/>
          <w:color w:val="000000"/>
          <w:sz w:val="20"/>
          <w:szCs w:val="20"/>
          <w:shd w:val="clear" w:color="auto" w:fill="FFFFFF"/>
        </w:rPr>
        <w:t xml:space="preserve">PIKM) is an online clothing subscription box for kids, offering mix &amp; match, expertly styled outfits that are curated based on each member's style preferences. KIDPIK delivers a surprise box monthly or seasonally, providing an effortless shopping experience for parents and a fun discovery for kids. Each seasonal collection is designed in-house by a team with decades of experience designing </w:t>
      </w:r>
      <w:r w:rsidR="008419F5" w:rsidRPr="00A02AD4">
        <w:rPr>
          <w:rFonts w:ascii="Times New Roman" w:hAnsi="Times New Roman" w:cs="Times New Roman"/>
          <w:color w:val="000000"/>
          <w:sz w:val="20"/>
          <w:szCs w:val="20"/>
          <w:shd w:val="clear" w:color="auto" w:fill="FFFFFF"/>
        </w:rPr>
        <w:t>children’s wear</w:t>
      </w:r>
      <w:r w:rsidRPr="00A02AD4">
        <w:rPr>
          <w:rFonts w:ascii="Times New Roman" w:hAnsi="Times New Roman" w:cs="Times New Roman"/>
          <w:color w:val="000000"/>
          <w:sz w:val="20"/>
          <w:szCs w:val="20"/>
          <w:shd w:val="clear" w:color="auto" w:fill="FFFFFF"/>
        </w:rPr>
        <w:t>. KIDPIK combines the expertise of fashion stylists with proprietary data and technology to translate kids' unique style preferences into surprise boxes of curated outfits. We also sell our branded clothing and footwear through our e-commerce website, shop.kidpik.com. For more information, visit www.kidpik.com</w:t>
      </w:r>
    </w:p>
    <w:p w14:paraId="322E46FB" w14:textId="4204C064" w:rsidR="00A02AD4" w:rsidRDefault="00A02AD4" w:rsidP="00A02AD4">
      <w:pPr>
        <w:shd w:val="clear" w:color="auto" w:fill="FFFFFF"/>
        <w:spacing w:after="0" w:line="420" w:lineRule="atLeast"/>
        <w:textAlignment w:val="baseline"/>
        <w:rPr>
          <w:rFonts w:ascii="Times New Roman" w:eastAsia="Times New Roman" w:hAnsi="Times New Roman" w:cs="Times New Roman"/>
          <w:b/>
          <w:bCs/>
          <w:color w:val="18191B"/>
          <w:kern w:val="0"/>
          <w:sz w:val="20"/>
          <w:szCs w:val="20"/>
          <w:bdr w:val="none" w:sz="0" w:space="0" w:color="auto" w:frame="1"/>
          <w14:ligatures w14:val="none"/>
        </w:rPr>
      </w:pPr>
      <w:r w:rsidRPr="00453063">
        <w:rPr>
          <w:rFonts w:ascii="Times New Roman" w:eastAsia="Times New Roman" w:hAnsi="Times New Roman" w:cs="Times New Roman"/>
          <w:b/>
          <w:bCs/>
          <w:color w:val="18191B"/>
          <w:kern w:val="0"/>
          <w:sz w:val="20"/>
          <w:szCs w:val="20"/>
          <w:bdr w:val="none" w:sz="0" w:space="0" w:color="auto" w:frame="1"/>
          <w14:ligatures w14:val="none"/>
        </w:rPr>
        <w:t>Forward-Looking Statements</w:t>
      </w:r>
    </w:p>
    <w:p w14:paraId="47E66A1B" w14:textId="77777777" w:rsidR="008419F5" w:rsidRPr="00453063" w:rsidRDefault="008419F5" w:rsidP="00A02AD4">
      <w:pPr>
        <w:shd w:val="clear" w:color="auto" w:fill="FFFFFF"/>
        <w:spacing w:after="0" w:line="420" w:lineRule="atLeast"/>
        <w:textAlignment w:val="baseline"/>
        <w:rPr>
          <w:rFonts w:ascii="Times New Roman" w:eastAsia="Times New Roman" w:hAnsi="Times New Roman" w:cs="Times New Roman"/>
          <w:color w:val="18191B"/>
          <w:kern w:val="0"/>
          <w:sz w:val="20"/>
          <w:szCs w:val="20"/>
          <w14:ligatures w14:val="none"/>
        </w:rPr>
      </w:pPr>
    </w:p>
    <w:p w14:paraId="5B012F3B" w14:textId="4D29DD74" w:rsidR="00A02AD4" w:rsidRDefault="00A02AD4" w:rsidP="008419F5">
      <w:pPr>
        <w:spacing w:line="240" w:lineRule="auto"/>
        <w:ind w:firstLine="720"/>
        <w:contextualSpacing/>
        <w:rPr>
          <w:rFonts w:ascii="Times New Roman" w:eastAsia="Times New Roman" w:hAnsi="Times New Roman" w:cs="Times New Roman"/>
          <w:color w:val="18191B"/>
          <w:kern w:val="0"/>
          <w:sz w:val="20"/>
          <w:szCs w:val="20"/>
          <w14:ligatures w14:val="none"/>
        </w:rPr>
      </w:pPr>
      <w:r w:rsidRPr="00453063">
        <w:rPr>
          <w:rFonts w:ascii="Times New Roman" w:eastAsia="Times New Roman" w:hAnsi="Times New Roman" w:cs="Times New Roman"/>
          <w:color w:val="18191B"/>
          <w:kern w:val="0"/>
          <w:sz w:val="20"/>
          <w:szCs w:val="20"/>
          <w14:ligatures w14:val="none"/>
        </w:rPr>
        <w:t xml:space="preserve">Certain statements included in this press release are not historical facts but are forward-looking statements for purposes of the safe harbor provisions under The Private Securities Litigation Reform Act of 1995. Forward-looking statements generally are accompanied by words such as “may”, “should”, “would”, “plan”, “intend”, “anticipate”, “believe”, “estimate”, “predict”, “potential”, “seem”, “seek”, “continue”, “future”, “will”, “expect”, “outlook” or other similar words, phrases or expressions. These forward-looking statements include statements regarding our industry, future events, estimated or anticipated future results and benefits, future opportunities </w:t>
      </w:r>
      <w:r w:rsidRPr="00453063">
        <w:rPr>
          <w:rFonts w:ascii="Times New Roman" w:eastAsia="Times New Roman" w:hAnsi="Times New Roman" w:cs="Times New Roman"/>
          <w:color w:val="18191B"/>
          <w:kern w:val="0"/>
          <w:sz w:val="20"/>
          <w:szCs w:val="20"/>
          <w14:ligatures w14:val="none"/>
        </w:rPr>
        <w:lastRenderedPageBreak/>
        <w:t>for </w:t>
      </w:r>
      <w:r>
        <w:rPr>
          <w:rFonts w:ascii="Times New Roman" w:eastAsia="Times New Roman" w:hAnsi="Times New Roman" w:cs="Times New Roman"/>
          <w:color w:val="18191B"/>
          <w:kern w:val="0"/>
          <w:sz w:val="20"/>
          <w:szCs w:val="20"/>
          <w14:ligatures w14:val="none"/>
        </w:rPr>
        <w:t xml:space="preserve">Kidpik, </w:t>
      </w:r>
      <w:r w:rsidRPr="00453063">
        <w:rPr>
          <w:rFonts w:ascii="Times New Roman" w:eastAsia="Times New Roman" w:hAnsi="Times New Roman" w:cs="Times New Roman"/>
          <w:color w:val="18191B"/>
          <w:kern w:val="0"/>
          <w:sz w:val="20"/>
          <w:szCs w:val="20"/>
          <w14:ligatures w14:val="none"/>
        </w:rPr>
        <w:t>and other statements that are not historical facts. These statements are based on the current expectations of </w:t>
      </w:r>
      <w:r>
        <w:rPr>
          <w:rFonts w:ascii="Times New Roman" w:eastAsia="Times New Roman" w:hAnsi="Times New Roman" w:cs="Times New Roman"/>
          <w:color w:val="18191B"/>
          <w:kern w:val="0"/>
          <w:sz w:val="20"/>
          <w:szCs w:val="20"/>
          <w14:ligatures w14:val="none"/>
        </w:rPr>
        <w:t>Kidpik</w:t>
      </w:r>
      <w:r w:rsidRPr="00453063">
        <w:rPr>
          <w:rFonts w:ascii="Times New Roman" w:eastAsia="Times New Roman" w:hAnsi="Times New Roman" w:cs="Times New Roman"/>
          <w:color w:val="18191B"/>
          <w:kern w:val="0"/>
          <w:sz w:val="20"/>
          <w:szCs w:val="20"/>
          <w14:ligatures w14:val="none"/>
        </w:rPr>
        <w:t xml:space="preserve"> management and are not predictions of actual performance. These statements are subject to </w:t>
      </w:r>
      <w:proofErr w:type="gramStart"/>
      <w:r w:rsidRPr="00453063">
        <w:rPr>
          <w:rFonts w:ascii="Times New Roman" w:eastAsia="Times New Roman" w:hAnsi="Times New Roman" w:cs="Times New Roman"/>
          <w:color w:val="18191B"/>
          <w:kern w:val="0"/>
          <w:sz w:val="20"/>
          <w:szCs w:val="20"/>
          <w14:ligatures w14:val="none"/>
        </w:rPr>
        <w:t>a number of</w:t>
      </w:r>
      <w:proofErr w:type="gramEnd"/>
      <w:r w:rsidRPr="00453063">
        <w:rPr>
          <w:rFonts w:ascii="Times New Roman" w:eastAsia="Times New Roman" w:hAnsi="Times New Roman" w:cs="Times New Roman"/>
          <w:color w:val="18191B"/>
          <w:kern w:val="0"/>
          <w:sz w:val="20"/>
          <w:szCs w:val="20"/>
          <w14:ligatures w14:val="none"/>
        </w:rPr>
        <w:t xml:space="preserve"> risks and uncertainties, and those discussed under the heading “Risk Factors” in our Annual Report and in subsequent filings with the U.S. Securities and Exchange Commission (“SEC”). In addition, forward-looking statements provide expectations, plans or forecasts of future events and views as of the date of this communication. </w:t>
      </w:r>
      <w:r>
        <w:rPr>
          <w:rFonts w:ascii="Times New Roman" w:eastAsia="Times New Roman" w:hAnsi="Times New Roman" w:cs="Times New Roman"/>
          <w:color w:val="18191B"/>
          <w:kern w:val="0"/>
          <w:sz w:val="20"/>
          <w:szCs w:val="20"/>
          <w14:ligatures w14:val="none"/>
        </w:rPr>
        <w:t>Kidpik</w:t>
      </w:r>
      <w:r w:rsidRPr="00453063">
        <w:rPr>
          <w:rFonts w:ascii="Times New Roman" w:eastAsia="Times New Roman" w:hAnsi="Times New Roman" w:cs="Times New Roman"/>
          <w:color w:val="18191B"/>
          <w:kern w:val="0"/>
          <w:sz w:val="20"/>
          <w:szCs w:val="20"/>
          <w14:ligatures w14:val="none"/>
        </w:rPr>
        <w:t xml:space="preserve"> anticipates that subsequent events and developments will cause assessments to change. These forward-looking statements should not be relied upon as representing </w:t>
      </w:r>
      <w:proofErr w:type="spellStart"/>
      <w:r>
        <w:rPr>
          <w:rFonts w:ascii="Times New Roman" w:eastAsia="Times New Roman" w:hAnsi="Times New Roman" w:cs="Times New Roman"/>
          <w:color w:val="18191B"/>
          <w:kern w:val="0"/>
          <w:sz w:val="20"/>
          <w:szCs w:val="20"/>
          <w14:ligatures w14:val="none"/>
        </w:rPr>
        <w:t>Kidpik</w:t>
      </w:r>
      <w:r w:rsidRPr="00453063">
        <w:rPr>
          <w:rFonts w:ascii="Times New Roman" w:eastAsia="Times New Roman" w:hAnsi="Times New Roman" w:cs="Times New Roman"/>
          <w:color w:val="18191B"/>
          <w:kern w:val="0"/>
          <w:sz w:val="20"/>
          <w:szCs w:val="20"/>
          <w14:ligatures w14:val="none"/>
        </w:rPr>
        <w:t>’s</w:t>
      </w:r>
      <w:proofErr w:type="spellEnd"/>
      <w:r w:rsidRPr="00453063">
        <w:rPr>
          <w:rFonts w:ascii="Times New Roman" w:eastAsia="Times New Roman" w:hAnsi="Times New Roman" w:cs="Times New Roman"/>
          <w:color w:val="18191B"/>
          <w:kern w:val="0"/>
          <w:sz w:val="20"/>
          <w:szCs w:val="20"/>
          <w14:ligatures w14:val="none"/>
        </w:rPr>
        <w:t xml:space="preserve"> assessments as of any date </w:t>
      </w:r>
      <w:proofErr w:type="gramStart"/>
      <w:r w:rsidRPr="00453063">
        <w:rPr>
          <w:rFonts w:ascii="Times New Roman" w:eastAsia="Times New Roman" w:hAnsi="Times New Roman" w:cs="Times New Roman"/>
          <w:color w:val="18191B"/>
          <w:kern w:val="0"/>
          <w:sz w:val="20"/>
          <w:szCs w:val="20"/>
          <w14:ligatures w14:val="none"/>
        </w:rPr>
        <w:t>subsequent to</w:t>
      </w:r>
      <w:proofErr w:type="gramEnd"/>
      <w:r w:rsidRPr="00453063">
        <w:rPr>
          <w:rFonts w:ascii="Times New Roman" w:eastAsia="Times New Roman" w:hAnsi="Times New Roman" w:cs="Times New Roman"/>
          <w:color w:val="18191B"/>
          <w:kern w:val="0"/>
          <w:sz w:val="20"/>
          <w:szCs w:val="20"/>
          <w14:ligatures w14:val="none"/>
        </w:rPr>
        <w:t xml:space="preserve"> the date of this press release.</w:t>
      </w:r>
    </w:p>
    <w:p w14:paraId="5B622BA1" w14:textId="77777777" w:rsidR="008419F5" w:rsidRDefault="008419F5" w:rsidP="008419F5">
      <w:pPr>
        <w:spacing w:line="240" w:lineRule="auto"/>
        <w:ind w:firstLine="720"/>
        <w:contextualSpacing/>
        <w:rPr>
          <w:rFonts w:ascii="Times New Roman" w:eastAsia="Times New Roman" w:hAnsi="Times New Roman" w:cs="Times New Roman"/>
          <w:color w:val="18191B"/>
          <w:kern w:val="0"/>
          <w:sz w:val="20"/>
          <w:szCs w:val="20"/>
          <w14:ligatures w14:val="none"/>
        </w:rPr>
      </w:pPr>
    </w:p>
    <w:p w14:paraId="220AB6B1" w14:textId="77777777" w:rsidR="00A02AD4" w:rsidRPr="00A02AD4" w:rsidRDefault="00A02AD4" w:rsidP="00A02AD4">
      <w:pPr>
        <w:spacing w:before="100" w:beforeAutospacing="1" w:after="100" w:afterAutospacing="1" w:line="240" w:lineRule="auto"/>
        <w:contextualSpacing/>
        <w:rPr>
          <w:rFonts w:ascii="Times New Roman" w:eastAsia="Times New Roman" w:hAnsi="Times New Roman" w:cs="Times New Roman"/>
          <w:kern w:val="0"/>
          <w:sz w:val="20"/>
          <w:szCs w:val="20"/>
          <w:lang w:val="es-ES"/>
          <w14:ligatures w14:val="none"/>
        </w:rPr>
      </w:pPr>
      <w:r w:rsidRPr="00A02AD4">
        <w:rPr>
          <w:rFonts w:ascii="Times New Roman" w:eastAsia="Times New Roman" w:hAnsi="Times New Roman" w:cs="Times New Roman"/>
          <w:b/>
          <w:bCs/>
          <w:kern w:val="0"/>
          <w:sz w:val="20"/>
          <w:szCs w:val="20"/>
          <w:lang w:val="es-ES"/>
          <w14:ligatures w14:val="none"/>
        </w:rPr>
        <w:t>Media Inquiries:</w:t>
      </w:r>
      <w:r w:rsidRPr="00A02AD4">
        <w:rPr>
          <w:rFonts w:ascii="Times New Roman" w:eastAsia="Times New Roman" w:hAnsi="Times New Roman" w:cs="Times New Roman"/>
          <w:kern w:val="0"/>
          <w:sz w:val="20"/>
          <w:szCs w:val="20"/>
          <w:lang w:val="es-ES"/>
          <w14:ligatures w14:val="none"/>
        </w:rPr>
        <w:br/>
        <w:t>Ezra Dabah</w:t>
      </w:r>
    </w:p>
    <w:p w14:paraId="100F7527" w14:textId="77777777" w:rsidR="00A02AD4" w:rsidRPr="00A02AD4" w:rsidRDefault="00A02AD4" w:rsidP="00A02AD4">
      <w:pPr>
        <w:spacing w:before="100" w:beforeAutospacing="1" w:after="100" w:afterAutospacing="1" w:line="240" w:lineRule="auto"/>
        <w:contextualSpacing/>
        <w:rPr>
          <w:rFonts w:ascii="Times New Roman" w:eastAsia="Times New Roman" w:hAnsi="Times New Roman" w:cs="Times New Roman"/>
          <w:kern w:val="0"/>
          <w:sz w:val="20"/>
          <w:szCs w:val="20"/>
          <w:lang w:val="es-ES"/>
          <w14:ligatures w14:val="none"/>
        </w:rPr>
      </w:pPr>
      <w:r w:rsidRPr="00A02AD4">
        <w:rPr>
          <w:rFonts w:ascii="Times New Roman" w:eastAsia="Times New Roman" w:hAnsi="Times New Roman" w:cs="Times New Roman"/>
          <w:kern w:val="0"/>
          <w:sz w:val="20"/>
          <w:szCs w:val="20"/>
          <w:lang w:val="es-ES"/>
          <w14:ligatures w14:val="none"/>
        </w:rPr>
        <w:t>Investor@kidpik.com</w:t>
      </w:r>
    </w:p>
    <w:p w14:paraId="7C3F436D" w14:textId="77777777" w:rsidR="00A02AD4" w:rsidRPr="00A02AD4" w:rsidRDefault="00A02AD4" w:rsidP="00A02AD4">
      <w:pPr>
        <w:rPr>
          <w:sz w:val="20"/>
          <w:szCs w:val="20"/>
          <w:lang w:val="es-ES"/>
        </w:rPr>
      </w:pPr>
    </w:p>
    <w:sectPr w:rsidR="00A02AD4" w:rsidRPr="00A02A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AD4"/>
    <w:rsid w:val="00000D00"/>
    <w:rsid w:val="001022A5"/>
    <w:rsid w:val="003D4980"/>
    <w:rsid w:val="00425084"/>
    <w:rsid w:val="004561B3"/>
    <w:rsid w:val="004C1ECC"/>
    <w:rsid w:val="004D4470"/>
    <w:rsid w:val="004E393A"/>
    <w:rsid w:val="006458C3"/>
    <w:rsid w:val="00824ACA"/>
    <w:rsid w:val="008419F5"/>
    <w:rsid w:val="008F3A90"/>
    <w:rsid w:val="00A02AD4"/>
    <w:rsid w:val="00AD3501"/>
    <w:rsid w:val="00B06181"/>
    <w:rsid w:val="00D25084"/>
    <w:rsid w:val="00FD77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29EF8"/>
  <w15:chartTrackingRefBased/>
  <w15:docId w15:val="{B936973E-1B4A-40E9-B4A4-71C20835A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AD4"/>
  </w:style>
  <w:style w:type="paragraph" w:styleId="Heading1">
    <w:name w:val="heading 1"/>
    <w:basedOn w:val="Normal"/>
    <w:next w:val="Normal"/>
    <w:link w:val="Heading1Char"/>
    <w:uiPriority w:val="9"/>
    <w:qFormat/>
    <w:rsid w:val="00A02A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2A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2A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2A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2A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2A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2A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2A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2A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2A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2A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2A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2A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2A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2A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2A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2A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2AD4"/>
    <w:rPr>
      <w:rFonts w:eastAsiaTheme="majorEastAsia" w:cstheme="majorBidi"/>
      <w:color w:val="272727" w:themeColor="text1" w:themeTint="D8"/>
    </w:rPr>
  </w:style>
  <w:style w:type="paragraph" w:styleId="Title">
    <w:name w:val="Title"/>
    <w:basedOn w:val="Normal"/>
    <w:next w:val="Normal"/>
    <w:link w:val="TitleChar"/>
    <w:uiPriority w:val="10"/>
    <w:qFormat/>
    <w:rsid w:val="00A02A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2A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2A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2A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2AD4"/>
    <w:pPr>
      <w:spacing w:before="160"/>
      <w:jc w:val="center"/>
    </w:pPr>
    <w:rPr>
      <w:i/>
      <w:iCs/>
      <w:color w:val="404040" w:themeColor="text1" w:themeTint="BF"/>
    </w:rPr>
  </w:style>
  <w:style w:type="character" w:customStyle="1" w:styleId="QuoteChar">
    <w:name w:val="Quote Char"/>
    <w:basedOn w:val="DefaultParagraphFont"/>
    <w:link w:val="Quote"/>
    <w:uiPriority w:val="29"/>
    <w:rsid w:val="00A02AD4"/>
    <w:rPr>
      <w:i/>
      <w:iCs/>
      <w:color w:val="404040" w:themeColor="text1" w:themeTint="BF"/>
    </w:rPr>
  </w:style>
  <w:style w:type="paragraph" w:styleId="ListParagraph">
    <w:name w:val="List Paragraph"/>
    <w:basedOn w:val="Normal"/>
    <w:uiPriority w:val="34"/>
    <w:qFormat/>
    <w:rsid w:val="00A02AD4"/>
    <w:pPr>
      <w:ind w:left="720"/>
      <w:contextualSpacing/>
    </w:pPr>
  </w:style>
  <w:style w:type="character" w:styleId="IntenseEmphasis">
    <w:name w:val="Intense Emphasis"/>
    <w:basedOn w:val="DefaultParagraphFont"/>
    <w:uiPriority w:val="21"/>
    <w:qFormat/>
    <w:rsid w:val="00A02AD4"/>
    <w:rPr>
      <w:i/>
      <w:iCs/>
      <w:color w:val="0F4761" w:themeColor="accent1" w:themeShade="BF"/>
    </w:rPr>
  </w:style>
  <w:style w:type="paragraph" w:styleId="IntenseQuote">
    <w:name w:val="Intense Quote"/>
    <w:basedOn w:val="Normal"/>
    <w:next w:val="Normal"/>
    <w:link w:val="IntenseQuoteChar"/>
    <w:uiPriority w:val="30"/>
    <w:qFormat/>
    <w:rsid w:val="00A02A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2AD4"/>
    <w:rPr>
      <w:i/>
      <w:iCs/>
      <w:color w:val="0F4761" w:themeColor="accent1" w:themeShade="BF"/>
    </w:rPr>
  </w:style>
  <w:style w:type="character" w:styleId="IntenseReference">
    <w:name w:val="Intense Reference"/>
    <w:basedOn w:val="DefaultParagraphFont"/>
    <w:uiPriority w:val="32"/>
    <w:qFormat/>
    <w:rsid w:val="00A02AD4"/>
    <w:rPr>
      <w:b/>
      <w:bCs/>
      <w:smallCaps/>
      <w:color w:val="0F4761" w:themeColor="accent1" w:themeShade="BF"/>
      <w:spacing w:val="5"/>
    </w:rPr>
  </w:style>
  <w:style w:type="paragraph" w:styleId="NormalWeb">
    <w:name w:val="Normal (Web)"/>
    <w:basedOn w:val="Normal"/>
    <w:uiPriority w:val="99"/>
    <w:semiHidden/>
    <w:unhideWhenUsed/>
    <w:rsid w:val="00A02AD4"/>
    <w:pPr>
      <w:spacing w:before="100" w:beforeAutospacing="1" w:after="100" w:afterAutospacing="1" w:line="240" w:lineRule="auto"/>
    </w:pPr>
    <w:rPr>
      <w:rFonts w:ascii="Times New Roman" w:eastAsiaTheme="minorEastAsia" w:hAnsi="Times New Roman" w:cs="Times New Roman"/>
      <w:kern w:val="0"/>
      <w:lang w:eastAsia="zh-CN"/>
      <w14:ligatures w14:val="none"/>
    </w:rPr>
  </w:style>
  <w:style w:type="paragraph" w:styleId="Revision">
    <w:name w:val="Revision"/>
    <w:hidden/>
    <w:uiPriority w:val="99"/>
    <w:semiHidden/>
    <w:rsid w:val="00AD350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67437b8-b17d-4764-a7f3-7d614485f60d">
      <Terms xmlns="http://schemas.microsoft.com/office/infopath/2007/PartnerControls"/>
    </lcf76f155ced4ddcb4097134ff3c332f>
    <TaxCatchAll xmlns="2870816b-a738-41f0-a676-1e3c7dddfaa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5FCA0DCEF8F52489D6DD4D6C855677B" ma:contentTypeVersion="17" ma:contentTypeDescription="Create a new document." ma:contentTypeScope="" ma:versionID="91acd830c1d4da62e53b158a6622baa4">
  <xsd:schema xmlns:xsd="http://www.w3.org/2001/XMLSchema" xmlns:xs="http://www.w3.org/2001/XMLSchema" xmlns:p="http://schemas.microsoft.com/office/2006/metadata/properties" xmlns:ns2="967437b8-b17d-4764-a7f3-7d614485f60d" xmlns:ns3="2870816b-a738-41f0-a676-1e3c7dddfaac" targetNamespace="http://schemas.microsoft.com/office/2006/metadata/properties" ma:root="true" ma:fieldsID="b82f894eab0ee7336ff524c52f39a774" ns2:_="" ns3:_="">
    <xsd:import namespace="967437b8-b17d-4764-a7f3-7d614485f60d"/>
    <xsd:import namespace="2870816b-a738-41f0-a676-1e3c7dddfaa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7437b8-b17d-4764-a7f3-7d614485f6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bc9c0c2-dfff-4cbf-b6ad-af7ae1f65c9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870816b-a738-41f0-a676-1e3c7dddfaa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a99cbf0-b139-40b0-9c2e-2184ab13e383}" ma:internalName="TaxCatchAll" ma:showField="CatchAllData" ma:web="2870816b-a738-41f0-a676-1e3c7dddfaa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F62166-3006-4051-BEED-C62B95392F2D}">
  <ds:schemaRefs>
    <ds:schemaRef ds:uri="http://schemas.microsoft.com/office/2006/metadata/properties"/>
    <ds:schemaRef ds:uri="http://schemas.microsoft.com/office/infopath/2007/PartnerControls"/>
    <ds:schemaRef ds:uri="967437b8-b17d-4764-a7f3-7d614485f60d"/>
    <ds:schemaRef ds:uri="2870816b-a738-41f0-a676-1e3c7dddfaac"/>
  </ds:schemaRefs>
</ds:datastoreItem>
</file>

<file path=customXml/itemProps2.xml><?xml version="1.0" encoding="utf-8"?>
<ds:datastoreItem xmlns:ds="http://schemas.openxmlformats.org/officeDocument/2006/customXml" ds:itemID="{154EC78B-9E39-4F06-8B2A-67BBE9F4E91B}">
  <ds:schemaRefs>
    <ds:schemaRef ds:uri="http://schemas.microsoft.com/sharepoint/v3/contenttype/forms"/>
  </ds:schemaRefs>
</ds:datastoreItem>
</file>

<file path=customXml/itemProps3.xml><?xml version="1.0" encoding="utf-8"?>
<ds:datastoreItem xmlns:ds="http://schemas.openxmlformats.org/officeDocument/2006/customXml" ds:itemID="{C1682D1C-103F-4450-BAC9-EC02B896F8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7437b8-b17d-4764-a7f3-7d614485f60d"/>
    <ds:schemaRef ds:uri="2870816b-a738-41f0-a676-1e3c7dddfa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755</Words>
  <Characters>4310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Pasechnick</dc:creator>
  <cp:keywords/>
  <dc:description/>
  <cp:lastModifiedBy>Jill Pasechnick</cp:lastModifiedBy>
  <cp:revision>3</cp:revision>
  <dcterms:created xsi:type="dcterms:W3CDTF">2025-02-06T19:16:00Z</dcterms:created>
  <dcterms:modified xsi:type="dcterms:W3CDTF">2025-02-06T19:17:00Z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0x010100C5FCA0DCEF8F52489D6DD4D6C855677B</vt:lpwstr>
  </property>
  <property fmtid="{D5CDD505-2E9C-101B-9397-08002B2CF9AE}" pid="3" name="MediaServiceImageTags">
    <vt:lpwstr/>
  </property>
</Properties>
</file>