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2CC4A4" w14:textId="1E10A87B" w:rsidR="00011F5C" w:rsidRDefault="00011F5C">
      <w:pPr>
        <w:jc w:val="right"/>
        <w:rPr>
          <w:rFonts w:ascii="Arial" w:eastAsia="Arial" w:hAnsi="Arial" w:cs="Arial"/>
          <w:sz w:val="20"/>
          <w:szCs w:val="20"/>
        </w:rPr>
      </w:pPr>
    </w:p>
    <w:p w14:paraId="5380A16B" w14:textId="77777777" w:rsidR="00011F5C" w:rsidRDefault="00FB6820">
      <w:pPr>
        <w:rPr>
          <w:rFonts w:ascii="Arial" w:eastAsia="Arial" w:hAnsi="Arial" w:cs="Arial"/>
          <w:sz w:val="20"/>
          <w:szCs w:val="20"/>
        </w:rPr>
      </w:pPr>
      <w:r>
        <w:rPr>
          <w:rFonts w:ascii="Arial" w:eastAsia="Arial" w:hAnsi="Arial" w:cs="Arial"/>
          <w:sz w:val="20"/>
          <w:szCs w:val="20"/>
        </w:rPr>
        <w:t> </w:t>
      </w:r>
    </w:p>
    <w:p w14:paraId="08BD578C" w14:textId="77777777" w:rsidR="00011F5C" w:rsidRDefault="00FB6820">
      <w:r>
        <w:rPr>
          <w:noProof/>
        </w:rPr>
        <w:drawing>
          <wp:inline distT="0" distB="0" distL="0" distR="0" wp14:anchorId="11A1800A" wp14:editId="7BB9CCE1">
            <wp:extent cx="1762125" cy="714375"/>
            <wp:effectExtent l="0" t="0" r="0" b="0"/>
            <wp:docPr id="100001" name="Picture 100001"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857176" name=""/>
                    <pic:cNvPicPr>
                      <a:picLocks noChangeAspect="1"/>
                    </pic:cNvPicPr>
                  </pic:nvPicPr>
                  <pic:blipFill>
                    <a:blip r:embed="rId4"/>
                    <a:stretch>
                      <a:fillRect/>
                    </a:stretch>
                  </pic:blipFill>
                  <pic:spPr>
                    <a:xfrm>
                      <a:off x="0" y="0"/>
                      <a:ext cx="1762125" cy="714375"/>
                    </a:xfrm>
                    <a:prstGeom prst="rect">
                      <a:avLst/>
                    </a:prstGeom>
                  </pic:spPr>
                </pic:pic>
              </a:graphicData>
            </a:graphic>
          </wp:inline>
        </w:drawing>
      </w:r>
    </w:p>
    <w:p w14:paraId="62D448E2" w14:textId="77777777" w:rsidR="00011F5C" w:rsidRDefault="00FB6820">
      <w:pPr>
        <w:jc w:val="center"/>
        <w:rPr>
          <w:rFonts w:ascii="Arial" w:eastAsia="Arial" w:hAnsi="Arial" w:cs="Arial"/>
          <w:sz w:val="28"/>
          <w:szCs w:val="28"/>
        </w:rPr>
      </w:pPr>
      <w:r>
        <w:rPr>
          <w:rFonts w:ascii="Arial" w:eastAsia="Arial" w:hAnsi="Arial" w:cs="Arial"/>
          <w:sz w:val="28"/>
          <w:szCs w:val="28"/>
        </w:rPr>
        <w:t> </w:t>
      </w:r>
    </w:p>
    <w:p w14:paraId="1F8DD4E2" w14:textId="3C1E6632" w:rsidR="00C57F48" w:rsidRDefault="00C57F48" w:rsidP="00C57F48">
      <w:pPr>
        <w:jc w:val="center"/>
        <w:rPr>
          <w:rFonts w:ascii="Arial" w:eastAsia="Arial" w:hAnsi="Arial" w:cs="Arial"/>
          <w:sz w:val="20"/>
          <w:szCs w:val="20"/>
        </w:rPr>
      </w:pPr>
      <w:proofErr w:type="spellStart"/>
      <w:r>
        <w:rPr>
          <w:rFonts w:ascii="Arial" w:eastAsia="Arial" w:hAnsi="Arial" w:cs="Arial"/>
          <w:b/>
          <w:bCs/>
          <w:sz w:val="28"/>
          <w:szCs w:val="28"/>
        </w:rPr>
        <w:t>Aytu</w:t>
      </w:r>
      <w:proofErr w:type="spellEnd"/>
      <w:r>
        <w:rPr>
          <w:rFonts w:ascii="Arial" w:eastAsia="Arial" w:hAnsi="Arial" w:cs="Arial"/>
          <w:b/>
          <w:bCs/>
          <w:sz w:val="28"/>
          <w:szCs w:val="28"/>
        </w:rPr>
        <w:t xml:space="preserve"> BioPharma </w:t>
      </w:r>
      <w:r w:rsidRPr="00711C0A">
        <w:rPr>
          <w:rFonts w:ascii="Arial" w:eastAsia="Arial" w:hAnsi="Arial" w:cs="Arial"/>
          <w:b/>
          <w:bCs/>
          <w:sz w:val="28"/>
          <w:szCs w:val="28"/>
        </w:rPr>
        <w:t xml:space="preserve">Ranked </w:t>
      </w:r>
      <w:r>
        <w:rPr>
          <w:rFonts w:ascii="Arial" w:eastAsia="Arial" w:hAnsi="Arial" w:cs="Arial"/>
          <w:b/>
          <w:bCs/>
          <w:sz w:val="28"/>
          <w:szCs w:val="28"/>
        </w:rPr>
        <w:t xml:space="preserve">as One of </w:t>
      </w:r>
      <w:r w:rsidRPr="00711C0A">
        <w:rPr>
          <w:rFonts w:ascii="Arial" w:eastAsia="Arial" w:hAnsi="Arial" w:cs="Arial"/>
          <w:b/>
          <w:bCs/>
          <w:sz w:val="28"/>
          <w:szCs w:val="28"/>
        </w:rPr>
        <w:t>Fastest-Growing Compan</w:t>
      </w:r>
      <w:r>
        <w:rPr>
          <w:rFonts w:ascii="Arial" w:eastAsia="Arial" w:hAnsi="Arial" w:cs="Arial"/>
          <w:b/>
          <w:bCs/>
          <w:sz w:val="28"/>
          <w:szCs w:val="28"/>
        </w:rPr>
        <w:t>ies</w:t>
      </w:r>
      <w:r w:rsidRPr="00711C0A">
        <w:rPr>
          <w:rFonts w:ascii="Arial" w:eastAsia="Arial" w:hAnsi="Arial" w:cs="Arial"/>
          <w:b/>
          <w:bCs/>
          <w:sz w:val="28"/>
          <w:szCs w:val="28"/>
        </w:rPr>
        <w:t xml:space="preserve"> in North America on the 2024 Deloitte Technology Fast 500™</w:t>
      </w:r>
      <w:r>
        <w:rPr>
          <w:rFonts w:ascii="Arial" w:eastAsia="Arial" w:hAnsi="Arial" w:cs="Arial"/>
          <w:sz w:val="20"/>
          <w:szCs w:val="20"/>
        </w:rPr>
        <w:t> </w:t>
      </w:r>
    </w:p>
    <w:p w14:paraId="075941AA" w14:textId="77777777" w:rsidR="00C57F48" w:rsidRDefault="00C57F48" w:rsidP="00711C0A">
      <w:pPr>
        <w:jc w:val="center"/>
        <w:rPr>
          <w:rFonts w:ascii="Arial" w:eastAsia="Arial" w:hAnsi="Arial" w:cs="Arial"/>
          <w:b/>
          <w:bCs/>
          <w:sz w:val="28"/>
          <w:szCs w:val="28"/>
        </w:rPr>
      </w:pPr>
    </w:p>
    <w:p w14:paraId="2F4707A0" w14:textId="77777777" w:rsidR="00011F5C" w:rsidRDefault="00FB6820">
      <w:pPr>
        <w:rPr>
          <w:rFonts w:ascii="Arial" w:eastAsia="Arial" w:hAnsi="Arial" w:cs="Arial"/>
          <w:sz w:val="20"/>
          <w:szCs w:val="20"/>
        </w:rPr>
      </w:pPr>
      <w:r>
        <w:rPr>
          <w:rFonts w:ascii="Arial" w:eastAsia="Arial" w:hAnsi="Arial" w:cs="Arial"/>
          <w:sz w:val="20"/>
          <w:szCs w:val="20"/>
        </w:rPr>
        <w:t> </w:t>
      </w:r>
    </w:p>
    <w:p w14:paraId="0875B219" w14:textId="61C48A99" w:rsidR="00711C0A" w:rsidRDefault="00FB6820" w:rsidP="00711C0A">
      <w:pPr>
        <w:rPr>
          <w:rFonts w:ascii="Arial" w:eastAsia="Arial" w:hAnsi="Arial" w:cs="Arial"/>
          <w:sz w:val="20"/>
          <w:szCs w:val="20"/>
        </w:rPr>
      </w:pPr>
      <w:r>
        <w:rPr>
          <w:rFonts w:ascii="Arial" w:eastAsia="Arial" w:hAnsi="Arial" w:cs="Arial"/>
          <w:b/>
          <w:bCs/>
          <w:sz w:val="20"/>
          <w:szCs w:val="20"/>
        </w:rPr>
        <w:t xml:space="preserve">DENVER, CO / November </w:t>
      </w:r>
      <w:r w:rsidR="00C57F48">
        <w:rPr>
          <w:rFonts w:ascii="Arial" w:eastAsia="Arial" w:hAnsi="Arial" w:cs="Arial"/>
          <w:b/>
          <w:bCs/>
          <w:sz w:val="20"/>
          <w:szCs w:val="20"/>
        </w:rPr>
        <w:t>22</w:t>
      </w:r>
      <w:r>
        <w:rPr>
          <w:rFonts w:ascii="Arial" w:eastAsia="Arial" w:hAnsi="Arial" w:cs="Arial"/>
          <w:b/>
          <w:bCs/>
          <w:sz w:val="20"/>
          <w:szCs w:val="20"/>
        </w:rPr>
        <w:t>, 2024</w:t>
      </w:r>
      <w:r>
        <w:rPr>
          <w:rFonts w:ascii="Arial" w:eastAsia="Arial" w:hAnsi="Arial" w:cs="Arial"/>
          <w:sz w:val="20"/>
          <w:szCs w:val="20"/>
        </w:rPr>
        <w:t xml:space="preserve"> / </w:t>
      </w:r>
      <w:proofErr w:type="spellStart"/>
      <w:r>
        <w:rPr>
          <w:rFonts w:ascii="Arial" w:eastAsia="Arial" w:hAnsi="Arial" w:cs="Arial"/>
          <w:sz w:val="20"/>
          <w:szCs w:val="20"/>
        </w:rPr>
        <w:t>Aytu</w:t>
      </w:r>
      <w:proofErr w:type="spellEnd"/>
      <w:r>
        <w:rPr>
          <w:rFonts w:ascii="Arial" w:eastAsia="Arial" w:hAnsi="Arial" w:cs="Arial"/>
          <w:sz w:val="20"/>
          <w:szCs w:val="20"/>
        </w:rPr>
        <w:t xml:space="preserve"> BioPharma, Inc. (the “Company” or “Aytu”) (Nasdaq:AYTU), a pharmaceutical company focused on commercializing novel therapeutics, </w:t>
      </w:r>
      <w:r w:rsidR="00711C0A" w:rsidRPr="00711C0A">
        <w:rPr>
          <w:rFonts w:ascii="Arial" w:eastAsia="Arial" w:hAnsi="Arial" w:cs="Arial"/>
          <w:sz w:val="20"/>
          <w:szCs w:val="20"/>
        </w:rPr>
        <w:t xml:space="preserve">today announced it ranked </w:t>
      </w:r>
      <w:r w:rsidR="003F5343">
        <w:rPr>
          <w:rFonts w:ascii="Arial" w:eastAsia="Arial" w:hAnsi="Arial" w:cs="Arial"/>
          <w:sz w:val="20"/>
          <w:szCs w:val="20"/>
        </w:rPr>
        <w:t>380</w:t>
      </w:r>
      <w:r w:rsidR="003F5343" w:rsidRPr="0077585F">
        <w:rPr>
          <w:rFonts w:ascii="Arial" w:eastAsia="Arial" w:hAnsi="Arial" w:cs="Arial"/>
          <w:sz w:val="20"/>
          <w:szCs w:val="20"/>
          <w:vertAlign w:val="superscript"/>
        </w:rPr>
        <w:t>th</w:t>
      </w:r>
      <w:r w:rsidR="003F5343">
        <w:rPr>
          <w:rFonts w:ascii="Arial" w:eastAsia="Arial" w:hAnsi="Arial" w:cs="Arial"/>
          <w:sz w:val="20"/>
          <w:szCs w:val="20"/>
        </w:rPr>
        <w:t xml:space="preserve"> </w:t>
      </w:r>
      <w:r w:rsidR="00711C0A" w:rsidRPr="00711C0A">
        <w:rPr>
          <w:rFonts w:ascii="Arial" w:eastAsia="Arial" w:hAnsi="Arial" w:cs="Arial"/>
          <w:sz w:val="20"/>
          <w:szCs w:val="20"/>
        </w:rPr>
        <w:t xml:space="preserve">on the Deloitte Technology Fast 500™, a ranking of the 500 fastest-growing technology, media, telecommunications, life sciences, fintech, and energy tech companies in North America, now in its 30th year. </w:t>
      </w:r>
    </w:p>
    <w:p w14:paraId="2BDF8CEE" w14:textId="77777777" w:rsidR="00711C0A" w:rsidRDefault="00711C0A" w:rsidP="00711C0A">
      <w:pPr>
        <w:rPr>
          <w:rFonts w:ascii="Arial" w:eastAsia="Arial" w:hAnsi="Arial" w:cs="Arial"/>
          <w:sz w:val="20"/>
          <w:szCs w:val="20"/>
        </w:rPr>
      </w:pPr>
    </w:p>
    <w:p w14:paraId="427C3FFE" w14:textId="7153A304" w:rsidR="00711C0A" w:rsidRDefault="00711C0A" w:rsidP="00711C0A">
      <w:pPr>
        <w:rPr>
          <w:rFonts w:ascii="Arial" w:eastAsia="Arial" w:hAnsi="Arial" w:cs="Arial"/>
          <w:sz w:val="20"/>
          <w:szCs w:val="20"/>
        </w:rPr>
      </w:pPr>
      <w:r>
        <w:rPr>
          <w:rFonts w:ascii="Arial" w:eastAsia="Arial" w:hAnsi="Arial" w:cs="Arial"/>
          <w:sz w:val="20"/>
          <w:szCs w:val="20"/>
        </w:rPr>
        <w:t xml:space="preserve">“We are honored to be recognized for the </w:t>
      </w:r>
      <w:r w:rsidR="00571CC0">
        <w:rPr>
          <w:rFonts w:ascii="Arial" w:eastAsia="Arial" w:hAnsi="Arial" w:cs="Arial"/>
          <w:sz w:val="20"/>
          <w:szCs w:val="20"/>
        </w:rPr>
        <w:t>fourth</w:t>
      </w:r>
      <w:r>
        <w:rPr>
          <w:rFonts w:ascii="Arial" w:eastAsia="Arial" w:hAnsi="Arial" w:cs="Arial"/>
          <w:sz w:val="20"/>
          <w:szCs w:val="20"/>
        </w:rPr>
        <w:t xml:space="preserve"> consecutive year as a member of the </w:t>
      </w:r>
      <w:r w:rsidRPr="00711C0A">
        <w:rPr>
          <w:rFonts w:ascii="Arial" w:eastAsia="Arial" w:hAnsi="Arial" w:cs="Arial"/>
          <w:sz w:val="20"/>
          <w:szCs w:val="20"/>
        </w:rPr>
        <w:t>Deloitte Technology Fast 500</w:t>
      </w:r>
      <w:r>
        <w:rPr>
          <w:rFonts w:ascii="Arial" w:eastAsia="Arial" w:hAnsi="Arial" w:cs="Arial"/>
          <w:sz w:val="20"/>
          <w:szCs w:val="20"/>
        </w:rPr>
        <w:t xml:space="preserve"> list of the m</w:t>
      </w:r>
      <w:r w:rsidRPr="00711C0A">
        <w:rPr>
          <w:rFonts w:ascii="Arial" w:eastAsia="Arial" w:hAnsi="Arial" w:cs="Arial"/>
          <w:sz w:val="20"/>
          <w:szCs w:val="20"/>
        </w:rPr>
        <w:t>ost rapidly growing companies,"</w:t>
      </w:r>
      <w:r>
        <w:rPr>
          <w:rFonts w:ascii="Arial" w:eastAsia="Arial" w:hAnsi="Arial" w:cs="Arial"/>
          <w:sz w:val="20"/>
          <w:szCs w:val="20"/>
        </w:rPr>
        <w:t xml:space="preserve"> </w:t>
      </w:r>
      <w:r w:rsidRPr="00711C0A">
        <w:rPr>
          <w:rFonts w:ascii="Arial" w:eastAsia="Arial" w:hAnsi="Arial" w:cs="Arial"/>
          <w:sz w:val="20"/>
          <w:szCs w:val="20"/>
        </w:rPr>
        <w:t>commented Josh Disbrow, Chief Executive Officer of Aytu BioPharma. "During fiscal 2024, we continued to successfully reposition Aytu as a growing specialty pharmaceutical company focused on commercializing novel prescription therapeutics.</w:t>
      </w:r>
      <w:r>
        <w:rPr>
          <w:rFonts w:ascii="Arial" w:eastAsia="Arial" w:hAnsi="Arial" w:cs="Arial"/>
          <w:sz w:val="20"/>
          <w:szCs w:val="20"/>
        </w:rPr>
        <w:t xml:space="preserve"> Beyond our growth the past few years, our renewed focus on </w:t>
      </w:r>
      <w:r w:rsidR="00EB0768">
        <w:rPr>
          <w:rFonts w:ascii="Arial" w:eastAsia="Arial" w:hAnsi="Arial" w:cs="Arial"/>
          <w:sz w:val="20"/>
          <w:szCs w:val="20"/>
        </w:rPr>
        <w:t xml:space="preserve">driving growth of </w:t>
      </w:r>
      <w:r>
        <w:rPr>
          <w:rFonts w:ascii="Arial" w:eastAsia="Arial" w:hAnsi="Arial" w:cs="Arial"/>
          <w:sz w:val="20"/>
          <w:szCs w:val="20"/>
        </w:rPr>
        <w:t xml:space="preserve">our </w:t>
      </w:r>
      <w:r w:rsidRPr="00711C0A">
        <w:rPr>
          <w:rFonts w:ascii="Arial" w:eastAsia="Arial" w:hAnsi="Arial" w:cs="Arial"/>
          <w:sz w:val="20"/>
          <w:szCs w:val="20"/>
        </w:rPr>
        <w:t xml:space="preserve">higher-margin Rx Segment, coupled with the successful implementation of </w:t>
      </w:r>
      <w:proofErr w:type="gramStart"/>
      <w:r w:rsidRPr="00711C0A">
        <w:rPr>
          <w:rFonts w:ascii="Arial" w:eastAsia="Arial" w:hAnsi="Arial" w:cs="Arial"/>
          <w:sz w:val="20"/>
          <w:szCs w:val="20"/>
        </w:rPr>
        <w:t>a number of</w:t>
      </w:r>
      <w:proofErr w:type="gramEnd"/>
      <w:r w:rsidRPr="00711C0A">
        <w:rPr>
          <w:rFonts w:ascii="Arial" w:eastAsia="Arial" w:hAnsi="Arial" w:cs="Arial"/>
          <w:sz w:val="20"/>
          <w:szCs w:val="20"/>
        </w:rPr>
        <w:t xml:space="preserve"> </w:t>
      </w:r>
      <w:r w:rsidR="00EB0768">
        <w:rPr>
          <w:rFonts w:ascii="Arial" w:eastAsia="Arial" w:hAnsi="Arial" w:cs="Arial"/>
          <w:sz w:val="20"/>
          <w:szCs w:val="20"/>
        </w:rPr>
        <w:t>operational improvement</w:t>
      </w:r>
      <w:r w:rsidRPr="00711C0A">
        <w:rPr>
          <w:rFonts w:ascii="Arial" w:eastAsia="Arial" w:hAnsi="Arial" w:cs="Arial"/>
          <w:sz w:val="20"/>
          <w:szCs w:val="20"/>
        </w:rPr>
        <w:t>s, resulted in consolidated adjusted EBITDA of $9.2 million in fiscal 2024 compared to $3.5 million in fiscal 2023, an improvement of 162%</w:t>
      </w:r>
      <w:r>
        <w:rPr>
          <w:rFonts w:ascii="Arial" w:eastAsia="Arial" w:hAnsi="Arial" w:cs="Arial"/>
          <w:sz w:val="20"/>
          <w:szCs w:val="20"/>
        </w:rPr>
        <w:t>.</w:t>
      </w:r>
      <w:r w:rsidR="00571CC0">
        <w:rPr>
          <w:rFonts w:ascii="Arial" w:eastAsia="Arial" w:hAnsi="Arial" w:cs="Arial"/>
          <w:sz w:val="20"/>
          <w:szCs w:val="20"/>
        </w:rPr>
        <w:t xml:space="preserve"> </w:t>
      </w:r>
      <w:r w:rsidRPr="00711C0A">
        <w:rPr>
          <w:rFonts w:ascii="Arial" w:eastAsia="Arial" w:hAnsi="Arial" w:cs="Arial"/>
          <w:sz w:val="20"/>
          <w:szCs w:val="20"/>
        </w:rPr>
        <w:t>We remain focused on driving prescription demand, improv</w:t>
      </w:r>
      <w:r w:rsidR="00571CC0">
        <w:rPr>
          <w:rFonts w:ascii="Arial" w:eastAsia="Arial" w:hAnsi="Arial" w:cs="Arial"/>
          <w:sz w:val="20"/>
          <w:szCs w:val="20"/>
        </w:rPr>
        <w:t>ing</w:t>
      </w:r>
      <w:r w:rsidRPr="00711C0A">
        <w:rPr>
          <w:rFonts w:ascii="Arial" w:eastAsia="Arial" w:hAnsi="Arial" w:cs="Arial"/>
          <w:sz w:val="20"/>
          <w:szCs w:val="20"/>
        </w:rPr>
        <w:t xml:space="preserve"> coverage and patient access across our entire portfolio, and fully expect to see Rx Segment net revenue and adjusted EBITDA growth from fiscal 2024 levels for the full year of fiscal 2025."</w:t>
      </w:r>
    </w:p>
    <w:p w14:paraId="46F81626" w14:textId="77777777" w:rsidR="00711C0A" w:rsidRPr="00711C0A" w:rsidRDefault="00711C0A" w:rsidP="00711C0A">
      <w:pPr>
        <w:rPr>
          <w:rFonts w:ascii="Arial" w:eastAsia="Arial" w:hAnsi="Arial" w:cs="Arial"/>
          <w:sz w:val="20"/>
          <w:szCs w:val="20"/>
        </w:rPr>
      </w:pPr>
    </w:p>
    <w:p w14:paraId="671A52D1" w14:textId="4C5F4195" w:rsidR="00011F5C" w:rsidRDefault="00711C0A" w:rsidP="00711C0A">
      <w:pPr>
        <w:rPr>
          <w:sz w:val="20"/>
          <w:szCs w:val="20"/>
        </w:rPr>
      </w:pPr>
      <w:r w:rsidRPr="00711C0A">
        <w:rPr>
          <w:rFonts w:ascii="Arial" w:eastAsia="Arial" w:hAnsi="Arial" w:cs="Arial"/>
          <w:sz w:val="20"/>
          <w:szCs w:val="20"/>
        </w:rPr>
        <w:t xml:space="preserve">“Innovation, transformation and disruption of the status quo are at the forefront for this year’s Technology Fast 500 list, and there’s no better way to celebrate 30 years of program history,” said Christie Simons, partner, Deloitte &amp; Touche LLP and industry leader for technology, media and telecommunications within Deloitte’s Audit &amp; Assurance practice. “This year’s winning companies have demonstrated a continuous commitment to growth and remarkable consistency in driving forward progress. We extend our congratulations to </w:t>
      </w:r>
      <w:proofErr w:type="gramStart"/>
      <w:r w:rsidRPr="00711C0A">
        <w:rPr>
          <w:rFonts w:ascii="Arial" w:eastAsia="Arial" w:hAnsi="Arial" w:cs="Arial"/>
          <w:sz w:val="20"/>
          <w:szCs w:val="20"/>
        </w:rPr>
        <w:t>all of</w:t>
      </w:r>
      <w:proofErr w:type="gramEnd"/>
      <w:r w:rsidRPr="00711C0A">
        <w:rPr>
          <w:rFonts w:ascii="Arial" w:eastAsia="Arial" w:hAnsi="Arial" w:cs="Arial"/>
          <w:sz w:val="20"/>
          <w:szCs w:val="20"/>
        </w:rPr>
        <w:t xml:space="preserve"> this year’s winners — it’s an incredible time for innovation.” </w:t>
      </w:r>
      <w:r w:rsidR="00FB6820">
        <w:rPr>
          <w:sz w:val="20"/>
          <w:szCs w:val="20"/>
        </w:rPr>
        <w:t> </w:t>
      </w:r>
    </w:p>
    <w:p w14:paraId="7D79E5E0" w14:textId="77777777" w:rsidR="00711C0A" w:rsidRDefault="00711C0A" w:rsidP="00711C0A">
      <w:pPr>
        <w:rPr>
          <w:sz w:val="20"/>
          <w:szCs w:val="20"/>
        </w:rPr>
      </w:pPr>
    </w:p>
    <w:p w14:paraId="77E80FC3" w14:textId="77777777" w:rsidR="00011F5C" w:rsidRDefault="00FB6820">
      <w:pPr>
        <w:rPr>
          <w:rFonts w:ascii="Arial" w:eastAsia="Arial" w:hAnsi="Arial" w:cs="Arial"/>
          <w:sz w:val="20"/>
          <w:szCs w:val="20"/>
        </w:rPr>
      </w:pPr>
      <w:r>
        <w:rPr>
          <w:rFonts w:ascii="Arial" w:eastAsia="Arial" w:hAnsi="Arial" w:cs="Arial"/>
          <w:b/>
          <w:bCs/>
          <w:sz w:val="20"/>
          <w:szCs w:val="20"/>
        </w:rPr>
        <w:t>About Aytu BioPharma,</w:t>
      </w:r>
      <w:r>
        <w:rPr>
          <w:rFonts w:ascii="Arial" w:eastAsia="Arial" w:hAnsi="Arial" w:cs="Arial"/>
          <w:sz w:val="20"/>
          <w:szCs w:val="20"/>
        </w:rPr>
        <w:t> </w:t>
      </w:r>
      <w:r>
        <w:rPr>
          <w:rFonts w:ascii="Arial" w:eastAsia="Arial" w:hAnsi="Arial" w:cs="Arial"/>
          <w:b/>
          <w:bCs/>
          <w:sz w:val="20"/>
          <w:szCs w:val="20"/>
        </w:rPr>
        <w:t>Inc.</w:t>
      </w:r>
    </w:p>
    <w:p w14:paraId="1CB1A500" w14:textId="77777777" w:rsidR="00011F5C" w:rsidRDefault="00FB6820">
      <w:pPr>
        <w:rPr>
          <w:rFonts w:ascii="Arial" w:eastAsia="Arial" w:hAnsi="Arial" w:cs="Arial"/>
          <w:sz w:val="20"/>
          <w:szCs w:val="20"/>
        </w:rPr>
      </w:pPr>
      <w:r>
        <w:rPr>
          <w:rFonts w:ascii="Arial" w:eastAsia="Arial" w:hAnsi="Arial" w:cs="Arial"/>
          <w:sz w:val="20"/>
          <w:szCs w:val="20"/>
        </w:rPr>
        <w:t> </w:t>
      </w:r>
    </w:p>
    <w:p w14:paraId="6613BFE6" w14:textId="77777777" w:rsidR="00011F5C" w:rsidRDefault="00FB6820">
      <w:pPr>
        <w:rPr>
          <w:rFonts w:ascii="Arial" w:eastAsia="Arial" w:hAnsi="Arial" w:cs="Arial"/>
          <w:sz w:val="20"/>
          <w:szCs w:val="20"/>
        </w:rPr>
      </w:pPr>
      <w:r>
        <w:rPr>
          <w:rFonts w:ascii="Arial" w:eastAsia="Arial" w:hAnsi="Arial" w:cs="Arial"/>
          <w:sz w:val="20"/>
          <w:szCs w:val="20"/>
        </w:rPr>
        <w:t>Aytu is a pharmaceutical company focused on commercializing novel therapeutics. The Company's prescription products include Adzenys XR-ODT® (amphetamine) extended-release orally disintegrating tablets (see Full Prescribing Information, including Boxed WARNING) and Cotempla XR-ODT® (methylphenidate) extended-release orally disintegrating tablets (see Full Prescribing Information, including Boxed WARNING) for the treatment of attention deficit hyperactivity disorder (ADHD), Karbinal® ER (carbinoxamine maleate), an extended-release antihistamine suspension indicated to treat numerous allergic conditions, and Poly-Vi-Flor® and Tri-Vi-Flor®, two complementary fluoride-based prescription vitamin product lines available in various formulations for infants and children with fluoride deficiency. To learn more, please visit aytubio.com.</w:t>
      </w:r>
    </w:p>
    <w:p w14:paraId="517FD7AE" w14:textId="77777777" w:rsidR="00973F01" w:rsidRPr="00973F01" w:rsidRDefault="00973F01">
      <w:pPr>
        <w:rPr>
          <w:rFonts w:ascii="Arial" w:eastAsia="Arial" w:hAnsi="Arial" w:cs="Arial"/>
          <w:b/>
          <w:bCs/>
          <w:sz w:val="20"/>
          <w:szCs w:val="20"/>
        </w:rPr>
      </w:pPr>
    </w:p>
    <w:p w14:paraId="65CB7788" w14:textId="77777777" w:rsidR="00973F01" w:rsidRDefault="00973F01" w:rsidP="00973F01">
      <w:pPr>
        <w:rPr>
          <w:rFonts w:ascii="Arial" w:eastAsia="Arial" w:hAnsi="Arial" w:cs="Arial"/>
          <w:b/>
          <w:bCs/>
          <w:sz w:val="20"/>
          <w:szCs w:val="20"/>
        </w:rPr>
      </w:pPr>
      <w:r w:rsidRPr="00973F01">
        <w:rPr>
          <w:rFonts w:ascii="Arial" w:eastAsia="Arial" w:hAnsi="Arial" w:cs="Arial"/>
          <w:b/>
          <w:bCs/>
          <w:sz w:val="20"/>
          <w:szCs w:val="20"/>
        </w:rPr>
        <w:t>About the 2024 Deloitte Technology Fast 500</w:t>
      </w:r>
    </w:p>
    <w:p w14:paraId="7A4E463F" w14:textId="77777777" w:rsidR="00911365" w:rsidRPr="00973F01" w:rsidRDefault="00911365" w:rsidP="00973F01">
      <w:pPr>
        <w:rPr>
          <w:rFonts w:ascii="Arial" w:eastAsia="Arial" w:hAnsi="Arial" w:cs="Arial"/>
          <w:b/>
          <w:bCs/>
          <w:sz w:val="20"/>
          <w:szCs w:val="20"/>
        </w:rPr>
      </w:pPr>
    </w:p>
    <w:p w14:paraId="49B59052" w14:textId="77777777" w:rsidR="00973F01" w:rsidRPr="00973F01" w:rsidRDefault="00973F01" w:rsidP="00973F01">
      <w:pPr>
        <w:rPr>
          <w:rFonts w:ascii="Arial" w:eastAsia="Arial" w:hAnsi="Arial" w:cs="Arial"/>
          <w:sz w:val="20"/>
          <w:szCs w:val="20"/>
        </w:rPr>
      </w:pPr>
      <w:r w:rsidRPr="00973F01">
        <w:rPr>
          <w:rFonts w:ascii="Arial" w:eastAsia="Arial" w:hAnsi="Arial" w:cs="Arial"/>
          <w:sz w:val="20"/>
          <w:szCs w:val="20"/>
        </w:rPr>
        <w:t>Now in its 30th year, the Deloitte Technology Fast 500 provides a ranking of the fastest-growing technology, media, telecommunications, life sciences, fintech, and energy tech companies — both public and private — in North America. Technology Fast 500 award winners are selected based on percentage fiscal year revenue growth from 2020 to 2023.</w:t>
      </w:r>
    </w:p>
    <w:p w14:paraId="556E738D" w14:textId="77777777" w:rsidR="00973F01" w:rsidRPr="00973F01" w:rsidRDefault="00973F01" w:rsidP="00973F01">
      <w:pPr>
        <w:rPr>
          <w:rFonts w:ascii="Arial" w:eastAsia="Arial" w:hAnsi="Arial" w:cs="Arial"/>
          <w:sz w:val="20"/>
          <w:szCs w:val="20"/>
        </w:rPr>
      </w:pPr>
    </w:p>
    <w:p w14:paraId="2CEE78BE" w14:textId="0953D94B" w:rsidR="00973F01" w:rsidRPr="00973F01" w:rsidRDefault="00973F01" w:rsidP="00973F01">
      <w:pPr>
        <w:rPr>
          <w:rFonts w:ascii="Arial" w:eastAsia="Arial" w:hAnsi="Arial" w:cs="Arial"/>
          <w:sz w:val="20"/>
          <w:szCs w:val="20"/>
        </w:rPr>
      </w:pPr>
      <w:r w:rsidRPr="00973F01">
        <w:rPr>
          <w:rFonts w:ascii="Arial" w:eastAsia="Arial" w:hAnsi="Arial" w:cs="Arial"/>
          <w:sz w:val="20"/>
          <w:szCs w:val="20"/>
        </w:rPr>
        <w:t xml:space="preserve">In order to be eligible for Technology Fast 500 </w:t>
      </w:r>
      <w:proofErr w:type="gramStart"/>
      <w:r w:rsidRPr="00973F01">
        <w:rPr>
          <w:rFonts w:ascii="Arial" w:eastAsia="Arial" w:hAnsi="Arial" w:cs="Arial"/>
          <w:sz w:val="20"/>
          <w:szCs w:val="20"/>
        </w:rPr>
        <w:t>recognition</w:t>
      </w:r>
      <w:proofErr w:type="gramEnd"/>
      <w:r w:rsidRPr="00973F01">
        <w:rPr>
          <w:rFonts w:ascii="Arial" w:eastAsia="Arial" w:hAnsi="Arial" w:cs="Arial"/>
          <w:sz w:val="20"/>
          <w:szCs w:val="20"/>
        </w:rPr>
        <w:t>, companies must own proprietary intellectual property or technology that is sold to customers in products that contribute to a majority of the company’s operating revenues. Companies must have base-year operating revenues of at least US$50,000, and current-year operating revenues of at least US$5 million. Additionally, companies must be in business for a minimum of four years and be headquartered within North America.</w:t>
      </w:r>
    </w:p>
    <w:p w14:paraId="79A6CCA7" w14:textId="77777777" w:rsidR="00973F01" w:rsidRDefault="00973F01" w:rsidP="00973F01">
      <w:pPr>
        <w:rPr>
          <w:rFonts w:ascii="Arial" w:eastAsia="Arial" w:hAnsi="Arial" w:cs="Arial"/>
          <w:b/>
          <w:bCs/>
          <w:sz w:val="20"/>
          <w:szCs w:val="20"/>
        </w:rPr>
      </w:pPr>
    </w:p>
    <w:p w14:paraId="07B4F05A" w14:textId="539AEDEF" w:rsidR="00973F01" w:rsidRDefault="00973F01" w:rsidP="00973F01">
      <w:pPr>
        <w:rPr>
          <w:rFonts w:ascii="Arial" w:eastAsia="Arial" w:hAnsi="Arial" w:cs="Arial"/>
          <w:b/>
          <w:bCs/>
          <w:sz w:val="20"/>
          <w:szCs w:val="20"/>
        </w:rPr>
      </w:pPr>
      <w:r w:rsidRPr="00973F01">
        <w:rPr>
          <w:rFonts w:ascii="Arial" w:eastAsia="Arial" w:hAnsi="Arial" w:cs="Arial"/>
          <w:b/>
          <w:bCs/>
          <w:sz w:val="20"/>
          <w:szCs w:val="20"/>
        </w:rPr>
        <w:t>About Deloitte</w:t>
      </w:r>
    </w:p>
    <w:p w14:paraId="512BF22B" w14:textId="77777777" w:rsidR="00911365" w:rsidRPr="00973F01" w:rsidRDefault="00911365" w:rsidP="00973F01">
      <w:pPr>
        <w:rPr>
          <w:rFonts w:ascii="Arial" w:eastAsia="Arial" w:hAnsi="Arial" w:cs="Arial"/>
          <w:b/>
          <w:bCs/>
          <w:sz w:val="20"/>
          <w:szCs w:val="20"/>
        </w:rPr>
      </w:pPr>
    </w:p>
    <w:p w14:paraId="096A1627" w14:textId="43757274" w:rsidR="00973F01" w:rsidRDefault="00973F01" w:rsidP="00973F01">
      <w:pPr>
        <w:rPr>
          <w:rFonts w:ascii="Arial" w:eastAsia="Arial" w:hAnsi="Arial" w:cs="Arial"/>
          <w:sz w:val="20"/>
          <w:szCs w:val="20"/>
        </w:rPr>
      </w:pPr>
      <w:r w:rsidRPr="00973F01">
        <w:rPr>
          <w:rFonts w:ascii="Arial" w:eastAsia="Arial" w:hAnsi="Arial" w:cs="Arial"/>
          <w:sz w:val="20"/>
          <w:szCs w:val="20"/>
        </w:rPr>
        <w:t xml:space="preserve">Deloitte provides industry-leading audit, consulting, tax and advisory services to many of the world’s most admired brands, including nearly 90% of the Fortune 500® and more than 8,500 U.S.-based private companies. At Deloitte, we strive to live our purpose of making an impact that matters by creating trust and confidence in a more equitable society. We leverage our unique blend of business acumen, command of technology, and strategic technology alliances to advise </w:t>
      </w:r>
      <w:r w:rsidRPr="00973F01">
        <w:rPr>
          <w:rFonts w:ascii="Arial" w:eastAsia="Arial" w:hAnsi="Arial" w:cs="Arial"/>
          <w:sz w:val="20"/>
          <w:szCs w:val="20"/>
        </w:rPr>
        <w:lastRenderedPageBreak/>
        <w:t>our clients across industries as they build their future. Deloitte is proud to be part of the largest global professional services network serving our clients in the markets that are most important to them. Bringing more than 175 years of service, our network of member firms spans more than 150 countries and territories. Learn how Deloitte’s approximately 460,000 people worldwide connect for impact at www.deloitte.com.</w:t>
      </w:r>
    </w:p>
    <w:p w14:paraId="13BE955B" w14:textId="77777777" w:rsidR="00011F5C" w:rsidRDefault="00FB6820">
      <w:pPr>
        <w:rPr>
          <w:sz w:val="20"/>
          <w:szCs w:val="20"/>
        </w:rPr>
      </w:pPr>
      <w:r>
        <w:rPr>
          <w:sz w:val="20"/>
          <w:szCs w:val="20"/>
        </w:rPr>
        <w:t> </w:t>
      </w:r>
    </w:p>
    <w:p w14:paraId="117479B6" w14:textId="77777777" w:rsidR="00011F5C" w:rsidRDefault="00FB6820">
      <w:pPr>
        <w:rPr>
          <w:rFonts w:ascii="Arial" w:eastAsia="Arial" w:hAnsi="Arial" w:cs="Arial"/>
          <w:sz w:val="20"/>
          <w:szCs w:val="20"/>
        </w:rPr>
      </w:pPr>
      <w:r>
        <w:rPr>
          <w:rFonts w:ascii="Arial" w:eastAsia="Arial" w:hAnsi="Arial" w:cs="Arial"/>
          <w:b/>
          <w:bCs/>
          <w:sz w:val="20"/>
          <w:szCs w:val="20"/>
        </w:rPr>
        <w:t>Forward-Looking Statements</w:t>
      </w:r>
    </w:p>
    <w:p w14:paraId="3C6DF0B1" w14:textId="77777777" w:rsidR="00011F5C" w:rsidRDefault="00FB6820">
      <w:pPr>
        <w:rPr>
          <w:rFonts w:ascii="Arial" w:eastAsia="Arial" w:hAnsi="Arial" w:cs="Arial"/>
          <w:sz w:val="20"/>
          <w:szCs w:val="20"/>
        </w:rPr>
      </w:pPr>
      <w:r>
        <w:rPr>
          <w:rFonts w:ascii="Arial" w:eastAsia="Arial" w:hAnsi="Arial" w:cs="Arial"/>
          <w:sz w:val="20"/>
          <w:szCs w:val="20"/>
        </w:rPr>
        <w:t> </w:t>
      </w:r>
    </w:p>
    <w:p w14:paraId="60B78B45" w14:textId="77777777" w:rsidR="00011F5C" w:rsidRDefault="00FB6820">
      <w:pPr>
        <w:rPr>
          <w:rFonts w:ascii="Arial" w:eastAsia="Arial" w:hAnsi="Arial" w:cs="Arial"/>
          <w:sz w:val="20"/>
          <w:szCs w:val="20"/>
        </w:rPr>
      </w:pPr>
      <w:r>
        <w:rPr>
          <w:rFonts w:ascii="Arial" w:eastAsia="Arial" w:hAnsi="Arial" w:cs="Arial"/>
          <w:sz w:val="20"/>
          <w:szCs w:val="20"/>
        </w:rPr>
        <w:t xml:space="preserve">This press release includes forward-looking statements within the meaning of Section 27A of the Securities Act of 1933, as amended (“Securities Act”), and Section 21E of the Securities Exchange Act of 1934, as amended (“Exchange Act”). All statements other than statements of historical facts contained in this press </w:t>
      </w:r>
      <w:proofErr w:type="gramStart"/>
      <w:r>
        <w:rPr>
          <w:rFonts w:ascii="Arial" w:eastAsia="Arial" w:hAnsi="Arial" w:cs="Arial"/>
          <w:sz w:val="20"/>
          <w:szCs w:val="20"/>
        </w:rPr>
        <w:t>release,</w:t>
      </w:r>
      <w:proofErr w:type="gramEnd"/>
      <w:r>
        <w:rPr>
          <w:rFonts w:ascii="Arial" w:eastAsia="Arial" w:hAnsi="Arial" w:cs="Arial"/>
          <w:sz w:val="20"/>
          <w:szCs w:val="20"/>
        </w:rPr>
        <w:t xml:space="preserve"> are forward-looking statements. Forward-looking statements are generally written in the future tense and/or are preceded by words such as “may,” “will,” “should,” “forecast,” “could,” “expect,” “suggest,” “believe,” “estimate,” “continue,” “anticipate,” “intend,” “plan,” or similar words, or the negatives of such terms or other variations on such terms or comparable terminology. All statements other than statements of historical facts contained in this presentation, are forward-looking statements. These statements are predictions and are subject to risks and uncertainties that could cause the actual events or results to differ materially. These risks and uncertainties include, among others, risks associated with: the Company’s overall financial and operational performance, potential adverse changes to the Company’s financial position or our business, the results of operations, strategy and plans, changes in capital markets and the ability of the Company to finance operations in the manner expected, risks relating to gaining market acceptance of our products, our partners performing their required activities, our anticipated future cash position, regulatory and compliance challenges and future events under current and potential future collaborations. We also refer you to (i) the risks described in “Risk Factors” in Part I, Item 1A of our most recent Annual Report on Form 10</w:t>
      </w:r>
      <w:r>
        <w:rPr>
          <w:rFonts w:ascii="Arial" w:eastAsia="Arial" w:hAnsi="Arial" w:cs="Arial"/>
          <w:sz w:val="20"/>
          <w:szCs w:val="20"/>
        </w:rPr>
        <w:noBreakHyphen/>
        <w:t xml:space="preserve">K and in the other reports and documents </w:t>
      </w:r>
      <w:proofErr w:type="gramStart"/>
      <w:r>
        <w:rPr>
          <w:rFonts w:ascii="Arial" w:eastAsia="Arial" w:hAnsi="Arial" w:cs="Arial"/>
          <w:sz w:val="20"/>
          <w:szCs w:val="20"/>
        </w:rPr>
        <w:t>it</w:t>
      </w:r>
      <w:proofErr w:type="gramEnd"/>
      <w:r>
        <w:rPr>
          <w:rFonts w:ascii="Arial" w:eastAsia="Arial" w:hAnsi="Arial" w:cs="Arial"/>
          <w:sz w:val="20"/>
          <w:szCs w:val="20"/>
        </w:rPr>
        <w:t xml:space="preserve"> files with the United States Securities and Exchange Commission.​</w:t>
      </w:r>
    </w:p>
    <w:p w14:paraId="7C66AF27" w14:textId="77777777" w:rsidR="00011F5C" w:rsidRDefault="00FB6820">
      <w:pPr>
        <w:rPr>
          <w:rFonts w:ascii="Arial" w:eastAsia="Arial" w:hAnsi="Arial" w:cs="Arial"/>
          <w:sz w:val="20"/>
          <w:szCs w:val="20"/>
        </w:rPr>
      </w:pPr>
      <w:r>
        <w:rPr>
          <w:rFonts w:ascii="Arial" w:eastAsia="Arial" w:hAnsi="Arial" w:cs="Arial"/>
          <w:sz w:val="20"/>
          <w:szCs w:val="20"/>
        </w:rPr>
        <w:t> </w:t>
      </w:r>
    </w:p>
    <w:p w14:paraId="154C91B9" w14:textId="77777777" w:rsidR="00011F5C" w:rsidRDefault="00FB6820">
      <w:pPr>
        <w:rPr>
          <w:rFonts w:ascii="Arial" w:eastAsia="Arial" w:hAnsi="Arial" w:cs="Arial"/>
          <w:sz w:val="20"/>
          <w:szCs w:val="20"/>
        </w:rPr>
      </w:pPr>
      <w:r>
        <w:rPr>
          <w:rFonts w:ascii="Arial" w:eastAsia="Arial" w:hAnsi="Arial" w:cs="Arial"/>
          <w:b/>
          <w:bCs/>
          <w:sz w:val="20"/>
          <w:szCs w:val="20"/>
        </w:rPr>
        <w:t>Contacts for Investors</w:t>
      </w:r>
    </w:p>
    <w:p w14:paraId="357F345C" w14:textId="77777777" w:rsidR="00011F5C" w:rsidRDefault="00FB6820">
      <w:pPr>
        <w:rPr>
          <w:rFonts w:ascii="Arial" w:eastAsia="Arial" w:hAnsi="Arial" w:cs="Arial"/>
          <w:sz w:val="20"/>
          <w:szCs w:val="20"/>
        </w:rPr>
      </w:pPr>
      <w:r>
        <w:rPr>
          <w:rFonts w:ascii="Arial" w:eastAsia="Arial" w:hAnsi="Arial" w:cs="Arial"/>
          <w:sz w:val="20"/>
          <w:szCs w:val="20"/>
        </w:rPr>
        <w:t> </w:t>
      </w:r>
    </w:p>
    <w:p w14:paraId="6C087234" w14:textId="77777777" w:rsidR="00011F5C" w:rsidRDefault="00FB6820">
      <w:pPr>
        <w:rPr>
          <w:rFonts w:ascii="Arial" w:eastAsia="Arial" w:hAnsi="Arial" w:cs="Arial"/>
          <w:sz w:val="20"/>
          <w:szCs w:val="20"/>
        </w:rPr>
      </w:pPr>
      <w:r>
        <w:rPr>
          <w:rFonts w:ascii="Arial" w:eastAsia="Arial" w:hAnsi="Arial" w:cs="Arial"/>
          <w:sz w:val="20"/>
          <w:szCs w:val="20"/>
        </w:rPr>
        <w:t>Ryan Selhorn, Chief Financial Officer</w:t>
      </w:r>
    </w:p>
    <w:p w14:paraId="1B122B5B" w14:textId="77777777" w:rsidR="00011F5C" w:rsidRDefault="00FB6820">
      <w:pPr>
        <w:rPr>
          <w:rFonts w:ascii="Arial" w:eastAsia="Arial" w:hAnsi="Arial" w:cs="Arial"/>
          <w:sz w:val="20"/>
          <w:szCs w:val="20"/>
        </w:rPr>
      </w:pPr>
      <w:r>
        <w:rPr>
          <w:rFonts w:ascii="Arial" w:eastAsia="Arial" w:hAnsi="Arial" w:cs="Arial"/>
          <w:sz w:val="20"/>
          <w:szCs w:val="20"/>
        </w:rPr>
        <w:t>Aytu BioPharma, Inc.</w:t>
      </w:r>
    </w:p>
    <w:p w14:paraId="2315FC48" w14:textId="736132B3" w:rsidR="00011F5C" w:rsidRDefault="00711C0A">
      <w:pPr>
        <w:rPr>
          <w:rFonts w:ascii="Arial" w:eastAsia="Arial" w:hAnsi="Arial" w:cs="Arial"/>
          <w:sz w:val="20"/>
          <w:szCs w:val="20"/>
        </w:rPr>
      </w:pPr>
      <w:hyperlink r:id="rId5" w:history="1">
        <w:r w:rsidRPr="009F75D1">
          <w:rPr>
            <w:rStyle w:val="Hyperlink"/>
            <w:rFonts w:ascii="Arial" w:eastAsia="Arial" w:hAnsi="Arial" w:cs="Arial"/>
            <w:sz w:val="20"/>
            <w:szCs w:val="20"/>
          </w:rPr>
          <w:t>rselhorn@aytubio.com</w:t>
        </w:r>
      </w:hyperlink>
      <w:r>
        <w:rPr>
          <w:rFonts w:ascii="Arial" w:eastAsia="Arial" w:hAnsi="Arial" w:cs="Arial"/>
          <w:sz w:val="20"/>
          <w:szCs w:val="20"/>
        </w:rPr>
        <w:t xml:space="preserve"> </w:t>
      </w:r>
    </w:p>
    <w:p w14:paraId="1D7C0ECE" w14:textId="77777777" w:rsidR="00011F5C" w:rsidRDefault="00FB6820">
      <w:pPr>
        <w:rPr>
          <w:rFonts w:ascii="Arial" w:eastAsia="Arial" w:hAnsi="Arial" w:cs="Arial"/>
          <w:sz w:val="20"/>
          <w:szCs w:val="20"/>
        </w:rPr>
      </w:pPr>
      <w:r>
        <w:rPr>
          <w:rFonts w:ascii="Arial" w:eastAsia="Arial" w:hAnsi="Arial" w:cs="Arial"/>
          <w:sz w:val="20"/>
          <w:szCs w:val="20"/>
        </w:rPr>
        <w:t> </w:t>
      </w:r>
    </w:p>
    <w:p w14:paraId="3B50B49A" w14:textId="77777777" w:rsidR="00011F5C" w:rsidRDefault="00FB6820">
      <w:pPr>
        <w:rPr>
          <w:rFonts w:ascii="Arial" w:eastAsia="Arial" w:hAnsi="Arial" w:cs="Arial"/>
          <w:sz w:val="20"/>
          <w:szCs w:val="20"/>
        </w:rPr>
      </w:pPr>
      <w:r>
        <w:rPr>
          <w:rFonts w:ascii="Arial" w:eastAsia="Arial" w:hAnsi="Arial" w:cs="Arial"/>
          <w:sz w:val="20"/>
          <w:szCs w:val="20"/>
        </w:rPr>
        <w:t>Robert Blum or Roger Weiss</w:t>
      </w:r>
    </w:p>
    <w:p w14:paraId="222D4187" w14:textId="77777777" w:rsidR="00011F5C" w:rsidRDefault="00FB6820">
      <w:pPr>
        <w:rPr>
          <w:rFonts w:ascii="Arial" w:eastAsia="Arial" w:hAnsi="Arial" w:cs="Arial"/>
          <w:sz w:val="20"/>
          <w:szCs w:val="20"/>
        </w:rPr>
      </w:pPr>
      <w:r>
        <w:rPr>
          <w:rFonts w:ascii="Arial" w:eastAsia="Arial" w:hAnsi="Arial" w:cs="Arial"/>
          <w:sz w:val="20"/>
          <w:szCs w:val="20"/>
        </w:rPr>
        <w:t>Lytham Partners</w:t>
      </w:r>
    </w:p>
    <w:p w14:paraId="1912666B" w14:textId="0F5A0723" w:rsidR="00011F5C" w:rsidRDefault="00711C0A">
      <w:pPr>
        <w:rPr>
          <w:rFonts w:ascii="Arial" w:eastAsia="Arial" w:hAnsi="Arial" w:cs="Arial"/>
          <w:sz w:val="20"/>
          <w:szCs w:val="20"/>
        </w:rPr>
      </w:pPr>
      <w:hyperlink r:id="rId6" w:history="1">
        <w:r w:rsidRPr="009F75D1">
          <w:rPr>
            <w:rStyle w:val="Hyperlink"/>
            <w:rFonts w:ascii="Arial" w:eastAsia="Arial" w:hAnsi="Arial" w:cs="Arial"/>
            <w:sz w:val="20"/>
            <w:szCs w:val="20"/>
          </w:rPr>
          <w:t>aytu@lythampartners.com</w:t>
        </w:r>
      </w:hyperlink>
      <w:r>
        <w:rPr>
          <w:rFonts w:ascii="Arial" w:eastAsia="Arial" w:hAnsi="Arial" w:cs="Arial"/>
          <w:sz w:val="20"/>
          <w:szCs w:val="20"/>
        </w:rPr>
        <w:t xml:space="preserve"> </w:t>
      </w:r>
    </w:p>
    <w:sectPr w:rsidR="00011F5C">
      <w:pgSz w:w="12240" w:h="15840"/>
      <w:pgMar w:top="576" w:right="720" w:bottom="576" w:left="720" w:header="144" w:footer="43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F5C"/>
    <w:rsid w:val="00011F5C"/>
    <w:rsid w:val="00046FB7"/>
    <w:rsid w:val="0011652D"/>
    <w:rsid w:val="002E5D0B"/>
    <w:rsid w:val="002F6961"/>
    <w:rsid w:val="00376B8C"/>
    <w:rsid w:val="003F5343"/>
    <w:rsid w:val="00571CC0"/>
    <w:rsid w:val="00711C0A"/>
    <w:rsid w:val="0077585F"/>
    <w:rsid w:val="00911365"/>
    <w:rsid w:val="00973F01"/>
    <w:rsid w:val="00C57F48"/>
    <w:rsid w:val="00D730DC"/>
    <w:rsid w:val="00EB0768"/>
    <w:rsid w:val="00F3280F"/>
    <w:rsid w:val="00FB6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E076D"/>
  <w15:docId w15:val="{9E6C112A-5435-4EE4-B0DA-97F62CB69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finTable">
    <w:name w:val="finTable"/>
    <w:basedOn w:val="TableNormal"/>
    <w:tblPr/>
  </w:style>
  <w:style w:type="character" w:styleId="Hyperlink">
    <w:name w:val="Hyperlink"/>
    <w:basedOn w:val="DefaultParagraphFont"/>
    <w:uiPriority w:val="99"/>
    <w:unhideWhenUsed/>
    <w:rsid w:val="00711C0A"/>
    <w:rPr>
      <w:color w:val="467886" w:themeColor="hyperlink"/>
      <w:u w:val="single"/>
    </w:rPr>
  </w:style>
  <w:style w:type="character" w:styleId="UnresolvedMention">
    <w:name w:val="Unresolved Mention"/>
    <w:basedOn w:val="DefaultParagraphFont"/>
    <w:uiPriority w:val="99"/>
    <w:semiHidden/>
    <w:unhideWhenUsed/>
    <w:rsid w:val="00711C0A"/>
    <w:rPr>
      <w:color w:val="605E5C"/>
      <w:shd w:val="clear" w:color="auto" w:fill="E1DFDD"/>
    </w:rPr>
  </w:style>
  <w:style w:type="paragraph" w:styleId="Revision">
    <w:name w:val="Revision"/>
    <w:hidden/>
    <w:uiPriority w:val="99"/>
    <w:semiHidden/>
    <w:rsid w:val="00571CC0"/>
    <w:rPr>
      <w:sz w:val="24"/>
      <w:szCs w:val="24"/>
    </w:rPr>
  </w:style>
  <w:style w:type="character" w:styleId="CommentReference">
    <w:name w:val="annotation reference"/>
    <w:basedOn w:val="DefaultParagraphFont"/>
    <w:uiPriority w:val="99"/>
    <w:semiHidden/>
    <w:unhideWhenUsed/>
    <w:rsid w:val="00571CC0"/>
    <w:rPr>
      <w:sz w:val="16"/>
      <w:szCs w:val="16"/>
    </w:rPr>
  </w:style>
  <w:style w:type="paragraph" w:styleId="CommentText">
    <w:name w:val="annotation text"/>
    <w:basedOn w:val="Normal"/>
    <w:link w:val="CommentTextChar"/>
    <w:uiPriority w:val="99"/>
    <w:unhideWhenUsed/>
    <w:rsid w:val="00571CC0"/>
    <w:rPr>
      <w:sz w:val="20"/>
      <w:szCs w:val="20"/>
    </w:rPr>
  </w:style>
  <w:style w:type="character" w:customStyle="1" w:styleId="CommentTextChar">
    <w:name w:val="Comment Text Char"/>
    <w:basedOn w:val="DefaultParagraphFont"/>
    <w:link w:val="CommentText"/>
    <w:uiPriority w:val="99"/>
    <w:rsid w:val="00571CC0"/>
  </w:style>
  <w:style w:type="paragraph" w:styleId="CommentSubject">
    <w:name w:val="annotation subject"/>
    <w:basedOn w:val="CommentText"/>
    <w:next w:val="CommentText"/>
    <w:link w:val="CommentSubjectChar"/>
    <w:uiPriority w:val="99"/>
    <w:semiHidden/>
    <w:unhideWhenUsed/>
    <w:rsid w:val="00571CC0"/>
    <w:rPr>
      <w:b/>
      <w:bCs/>
    </w:rPr>
  </w:style>
  <w:style w:type="character" w:customStyle="1" w:styleId="CommentSubjectChar">
    <w:name w:val="Comment Subject Char"/>
    <w:basedOn w:val="CommentTextChar"/>
    <w:link w:val="CommentSubject"/>
    <w:uiPriority w:val="99"/>
    <w:semiHidden/>
    <w:rsid w:val="00571C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ytu@lythampartners.com" TargetMode="External"/><Relationship Id="rId5" Type="http://schemas.openxmlformats.org/officeDocument/2006/relationships/hyperlink" Target="mailto:rselhorn@aytubio.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1028</Words>
  <Characters>5865</Characters>
  <Application>Microsoft Office Word</Application>
  <DocSecurity>0</DocSecurity>
  <Lines>48</Lines>
  <Paragraphs>13</Paragraphs>
  <ScaleCrop>false</ScaleCrop>
  <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ex_722664.htm</dc:title>
  <dc:creator>Luke Schafer</dc:creator>
  <cp:lastModifiedBy>Robert Blum</cp:lastModifiedBy>
  <cp:revision>2</cp:revision>
  <dcterms:created xsi:type="dcterms:W3CDTF">2024-11-21T15:35:00Z</dcterms:created>
  <dcterms:modified xsi:type="dcterms:W3CDTF">2024-11-21T15:35:00Z</dcterms:modified>
</cp:coreProperties>
</file>