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10A4C8" w14:textId="77777777" w:rsidR="004E30BC" w:rsidRDefault="004E30BC">
      <w:bookmarkStart w:id="0" w:name="_ya43x3x523jw" w:colFirst="0" w:colLast="0"/>
      <w:bookmarkEnd w:id="0"/>
    </w:p>
    <w:p w14:paraId="5D4204C1" w14:textId="172A38BD" w:rsidR="004E30BC" w:rsidRPr="00BE47E4" w:rsidRDefault="008724CC">
      <w:pPr>
        <w:rPr>
          <w:sz w:val="40"/>
          <w:szCs w:val="40"/>
        </w:rPr>
      </w:pPr>
      <w:r w:rsidRPr="00E521A0">
        <w:rPr>
          <w:sz w:val="40"/>
          <w:szCs w:val="40"/>
        </w:rPr>
        <w:t xml:space="preserve">Modern Twist to Centuries-Old </w:t>
      </w:r>
      <w:r w:rsidR="00FE7DC5">
        <w:rPr>
          <w:sz w:val="40"/>
          <w:szCs w:val="40"/>
        </w:rPr>
        <w:t xml:space="preserve">Smallpox </w:t>
      </w:r>
      <w:r w:rsidR="00C3728F">
        <w:rPr>
          <w:sz w:val="40"/>
          <w:szCs w:val="40"/>
        </w:rPr>
        <w:t>Vaccine</w:t>
      </w:r>
      <w:r w:rsidRPr="00E521A0">
        <w:rPr>
          <w:sz w:val="40"/>
          <w:szCs w:val="40"/>
        </w:rPr>
        <w:t xml:space="preserve"> </w:t>
      </w:r>
      <w:r w:rsidR="00BE47E4" w:rsidRPr="00E521A0">
        <w:rPr>
          <w:sz w:val="40"/>
          <w:szCs w:val="40"/>
        </w:rPr>
        <w:t xml:space="preserve">Poised </w:t>
      </w:r>
      <w:r w:rsidR="00752D97">
        <w:rPr>
          <w:sz w:val="40"/>
          <w:szCs w:val="40"/>
        </w:rPr>
        <w:t>t</w:t>
      </w:r>
      <w:r w:rsidR="00BE47E4" w:rsidRPr="00E521A0">
        <w:rPr>
          <w:sz w:val="40"/>
          <w:szCs w:val="40"/>
        </w:rPr>
        <w:t xml:space="preserve">o Combat Deadly Mpox Strain </w:t>
      </w:r>
      <w:r w:rsidR="00752D97">
        <w:rPr>
          <w:sz w:val="40"/>
          <w:szCs w:val="40"/>
        </w:rPr>
        <w:t>a</w:t>
      </w:r>
      <w:r w:rsidR="00BE47E4" w:rsidRPr="00E521A0">
        <w:rPr>
          <w:sz w:val="40"/>
          <w:szCs w:val="40"/>
        </w:rPr>
        <w:t xml:space="preserve">s WHO Declares </w:t>
      </w:r>
      <w:r w:rsidR="00752D97">
        <w:rPr>
          <w:sz w:val="40"/>
          <w:szCs w:val="40"/>
        </w:rPr>
        <w:t>Global</w:t>
      </w:r>
      <w:r w:rsidR="00BE47E4" w:rsidRPr="00E521A0">
        <w:rPr>
          <w:sz w:val="40"/>
          <w:szCs w:val="40"/>
        </w:rPr>
        <w:t xml:space="preserve"> Emergency</w:t>
      </w:r>
    </w:p>
    <w:p w14:paraId="23BC5B1A" w14:textId="77777777" w:rsidR="0058105B" w:rsidRDefault="0058105B" w:rsidP="0058105B">
      <w:pPr>
        <w:rPr>
          <w:sz w:val="20"/>
          <w:szCs w:val="20"/>
        </w:rPr>
      </w:pPr>
      <w:bookmarkStart w:id="1" w:name="_qujuctodv0a2" w:colFirst="0" w:colLast="0"/>
      <w:bookmarkEnd w:id="1"/>
    </w:p>
    <w:p w14:paraId="0BE7869F" w14:textId="1EB2AAE9" w:rsidR="0058105B" w:rsidRDefault="00B55774" w:rsidP="0058105B">
      <w:pPr>
        <w:rPr>
          <w:sz w:val="20"/>
          <w:szCs w:val="20"/>
        </w:rPr>
      </w:pPr>
      <w:r>
        <w:rPr>
          <w:sz w:val="20"/>
          <w:szCs w:val="20"/>
        </w:rPr>
        <w:t>b</w:t>
      </w:r>
      <w:r w:rsidR="00270476">
        <w:rPr>
          <w:sz w:val="20"/>
          <w:szCs w:val="20"/>
        </w:rPr>
        <w:t xml:space="preserve">y </w:t>
      </w:r>
      <w:r w:rsidR="00E62A24">
        <w:rPr>
          <w:sz w:val="20"/>
          <w:szCs w:val="20"/>
        </w:rPr>
        <w:t>James Blacker</w:t>
      </w:r>
      <w:r w:rsidR="0058105B" w:rsidRPr="00D73C8C">
        <w:rPr>
          <w:sz w:val="20"/>
          <w:szCs w:val="20"/>
        </w:rPr>
        <w:t>, Benzinga Staff Writer</w:t>
      </w:r>
    </w:p>
    <w:p w14:paraId="38CFC589" w14:textId="77777777" w:rsidR="003170AB" w:rsidRDefault="003170AB"/>
    <w:p w14:paraId="2A8C5978" w14:textId="36799E82" w:rsidR="003170AB" w:rsidRDefault="003170AB">
      <w:r w:rsidRPr="003170AB">
        <w:rPr>
          <w:i/>
          <w:iCs/>
          <w:lang w:val="en-US"/>
        </w:rPr>
        <w:t>This post was written and published as a collaboration between the in-house editorial team at Benzinga and Tonix Pharmaceuticals Holding Corp. with financial support from Tonix. The two organizations work to ensure that any and all information contained within is true and accurate as of the date hereof to the best of their knowledge and research. This content is for informational purposes only and not intended to be investing advice.</w:t>
      </w:r>
    </w:p>
    <w:p w14:paraId="6A076AAF" w14:textId="1585112B" w:rsidR="009F3F70" w:rsidRDefault="003170AB">
      <w:pPr>
        <w:spacing w:before="240" w:after="240"/>
      </w:pPr>
      <w:r w:rsidRPr="002F6798">
        <w:rPr>
          <w:b/>
          <w:bCs/>
        </w:rPr>
        <w:t>CHATHA</w:t>
      </w:r>
      <w:r w:rsidR="00D73C8C" w:rsidRPr="002F6798">
        <w:rPr>
          <w:b/>
          <w:bCs/>
        </w:rPr>
        <w:t>M</w:t>
      </w:r>
      <w:r w:rsidRPr="002F6798">
        <w:rPr>
          <w:b/>
          <w:bCs/>
        </w:rPr>
        <w:t>, NJ</w:t>
      </w:r>
      <w:r w:rsidR="00E62A24">
        <w:rPr>
          <w:b/>
          <w:bCs/>
        </w:rPr>
        <w:t xml:space="preserve"> / ACCESSWIRE /</w:t>
      </w:r>
      <w:r w:rsidRPr="002F6798">
        <w:rPr>
          <w:b/>
          <w:bCs/>
        </w:rPr>
        <w:t xml:space="preserve"> Aug. </w:t>
      </w:r>
      <w:r w:rsidR="00D73C8C" w:rsidRPr="002F6798">
        <w:rPr>
          <w:b/>
          <w:bCs/>
        </w:rPr>
        <w:t>23</w:t>
      </w:r>
      <w:r w:rsidRPr="002F6798">
        <w:rPr>
          <w:b/>
          <w:bCs/>
        </w:rPr>
        <w:t>, 2024</w:t>
      </w:r>
      <w:r w:rsidR="00E62A24">
        <w:rPr>
          <w:b/>
          <w:bCs/>
        </w:rPr>
        <w:t xml:space="preserve"> /</w:t>
      </w:r>
      <w:r>
        <w:t xml:space="preserve"> </w:t>
      </w:r>
      <w:r w:rsidR="002C47CA">
        <w:t>Following an upsurge of cases in the Democratic Republic of the Congo and several other countries in Africa, the World Health Organization (WHO)</w:t>
      </w:r>
      <w:hyperlink r:id="rId4">
        <w:r w:rsidR="002C47CA">
          <w:t xml:space="preserve"> </w:t>
        </w:r>
      </w:hyperlink>
      <w:hyperlink r:id="rId5">
        <w:r w:rsidR="002C47CA">
          <w:rPr>
            <w:color w:val="1155CC"/>
            <w:u w:val="single"/>
          </w:rPr>
          <w:t>declared</w:t>
        </w:r>
      </w:hyperlink>
      <w:r w:rsidR="002C47CA">
        <w:t xml:space="preserve"> mpox a public health emergency of international concern on Aug. 14 – the second such declaration in two years</w:t>
      </w:r>
      <w:r w:rsidR="00906AEE">
        <w:t>.</w:t>
      </w:r>
      <w:r w:rsidR="002C47CA">
        <w:t xml:space="preserve"> </w:t>
      </w:r>
      <w:r w:rsidR="00AD279A">
        <w:t xml:space="preserve">The WHO </w:t>
      </w:r>
      <w:r w:rsidR="002C47CA">
        <w:t>has</w:t>
      </w:r>
      <w:hyperlink r:id="rId6">
        <w:r w:rsidR="002C47CA">
          <w:t xml:space="preserve"> </w:t>
        </w:r>
      </w:hyperlink>
      <w:hyperlink r:id="rId7">
        <w:r w:rsidR="002C47CA">
          <w:rPr>
            <w:color w:val="1155CC"/>
            <w:u w:val="single"/>
          </w:rPr>
          <w:t>called</w:t>
        </w:r>
      </w:hyperlink>
      <w:r w:rsidR="002C47CA">
        <w:t xml:space="preserve"> on vaccine manufacturers to step up efforts to curb the spread of a new, more deadly strain of the virus. </w:t>
      </w:r>
    </w:p>
    <w:p w14:paraId="14BADE6C" w14:textId="77777777" w:rsidR="0058105B" w:rsidRDefault="0058105B">
      <w:pPr>
        <w:spacing w:before="240" w:after="240"/>
      </w:pPr>
      <w:r w:rsidRPr="00BE1629">
        <w:rPr>
          <w:noProof/>
          <w:lang w:val="en-US"/>
        </w:rPr>
        <w:drawing>
          <wp:inline distT="0" distB="0" distL="0" distR="0" wp14:anchorId="10598F34" wp14:editId="7668CF56">
            <wp:extent cx="5943600" cy="4201795"/>
            <wp:effectExtent l="0" t="0" r="0" b="8255"/>
            <wp:docPr id="1291736689" name="Picture 2" descr="A close up of a vir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736689" name="Picture 2" descr="A close up of a viru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201795"/>
                    </a:xfrm>
                    <a:prstGeom prst="rect">
                      <a:avLst/>
                    </a:prstGeom>
                    <a:noFill/>
                    <a:ln>
                      <a:noFill/>
                    </a:ln>
                  </pic:spPr>
                </pic:pic>
              </a:graphicData>
            </a:graphic>
          </wp:inline>
        </w:drawing>
      </w:r>
    </w:p>
    <w:p w14:paraId="39949C3C" w14:textId="73015230" w:rsidR="009F3F70" w:rsidRDefault="002C47CA">
      <w:pPr>
        <w:spacing w:before="240" w:after="240"/>
      </w:pPr>
      <w:r>
        <w:lastRenderedPageBreak/>
        <w:t xml:space="preserve">The WHO </w:t>
      </w:r>
      <w:r w:rsidR="008551B4">
        <w:t xml:space="preserve">also </w:t>
      </w:r>
      <w:r>
        <w:t xml:space="preserve">is asking companies and organizations to bring in their vaccines, inviting </w:t>
      </w:r>
      <w:r w:rsidR="00A9134C">
        <w:t>developers</w:t>
      </w:r>
      <w:r>
        <w:t xml:space="preserve"> of mpox vaccines to submit an Expression of Interest for Emergency Use Listing (EUL).</w:t>
      </w:r>
    </w:p>
    <w:p w14:paraId="153A696A" w14:textId="75F911BC" w:rsidR="009F3F70" w:rsidRDefault="002C47CA">
      <w:pPr>
        <w:spacing w:before="240" w:after="240"/>
      </w:pPr>
      <w:r>
        <w:t xml:space="preserve">Amid this backdrop, </w:t>
      </w:r>
      <w:r>
        <w:rPr>
          <w:b/>
        </w:rPr>
        <w:t xml:space="preserve">Tonix Pharmaceuticals </w:t>
      </w:r>
      <w:r>
        <w:t xml:space="preserve">(NASDAQ: TNXP) is developing a vaccine candidate, called TNX-801, that could </w:t>
      </w:r>
      <w:r w:rsidR="001D3402">
        <w:t>play a role in</w:t>
      </w:r>
      <w:r>
        <w:t xml:space="preserve"> combating this escalating global health crisis.</w:t>
      </w:r>
      <w:r w:rsidR="00A9134C">
        <w:t xml:space="preserve"> </w:t>
      </w:r>
      <w:r w:rsidR="00C06333">
        <w:t>Tonix</w:t>
      </w:r>
      <w:r w:rsidR="00A9134C">
        <w:t xml:space="preserve"> has successfully completed non-human primate studies</w:t>
      </w:r>
      <w:r w:rsidR="00C06333">
        <w:t xml:space="preserve"> showing protection from challenge with lethal doses of the Clade 1 </w:t>
      </w:r>
      <w:r w:rsidR="0000702F">
        <w:t>monkeypox virus that is driving the new epidemic</w:t>
      </w:r>
      <w:r w:rsidR="00A9134C">
        <w:t xml:space="preserve">. </w:t>
      </w:r>
    </w:p>
    <w:p w14:paraId="08D53F78" w14:textId="308D4B89" w:rsidR="00A9134C" w:rsidRDefault="00A9134C">
      <w:pPr>
        <w:spacing w:before="240" w:after="240"/>
      </w:pPr>
      <w:r>
        <w:t>Clearly more testing is ahead for TNX-801, but the technology behind it is rooted in the science of Ed</w:t>
      </w:r>
      <w:r w:rsidR="004E30BC">
        <w:t>ward</w:t>
      </w:r>
      <w:r>
        <w:t xml:space="preserve"> Jenner’s smallpox vaccine of the late 1700s, the only vaccine to successfully eradicate a contagious viral pathogen.</w:t>
      </w:r>
    </w:p>
    <w:p w14:paraId="21976BD3" w14:textId="47C32764" w:rsidR="00A9134C" w:rsidRDefault="00A9134C">
      <w:pPr>
        <w:spacing w:before="240" w:after="240"/>
      </w:pPr>
      <w:r>
        <w:t xml:space="preserve">These credentials have earned the vaccine technology platform upon which TNX-801 is based a </w:t>
      </w:r>
      <w:r w:rsidR="008724CC">
        <w:t>competitive</w:t>
      </w:r>
      <w:r>
        <w:t xml:space="preserve"> spot in the NIH’s NextGen program for a </w:t>
      </w:r>
      <w:r w:rsidR="000C0620">
        <w:t xml:space="preserve">more effective, </w:t>
      </w:r>
      <w:r w:rsidR="002C47CA">
        <w:t>single-dose</w:t>
      </w:r>
      <w:r>
        <w:t xml:space="preserve"> COVID-19 vaccine</w:t>
      </w:r>
      <w:r w:rsidR="00B3424D">
        <w:t xml:space="preserve"> to potentially provide durable protection instead of the </w:t>
      </w:r>
      <w:r w:rsidR="00D45381">
        <w:t>every-</w:t>
      </w:r>
      <w:proofErr w:type="gramStart"/>
      <w:r w:rsidR="00D45381">
        <w:t>six month</w:t>
      </w:r>
      <w:proofErr w:type="gramEnd"/>
      <w:r w:rsidR="00D45381">
        <w:t xml:space="preserve"> booster strategy of mRNA vaccines</w:t>
      </w:r>
      <w:r>
        <w:t xml:space="preserve">. </w:t>
      </w:r>
    </w:p>
    <w:p w14:paraId="58E8788E" w14:textId="24CB0F68" w:rsidR="004E30BC" w:rsidRDefault="008724CC">
      <w:pPr>
        <w:spacing w:before="240" w:after="240"/>
      </w:pPr>
      <w:r>
        <w:t>Last month, another of Tonix’s technologies was awarded</w:t>
      </w:r>
      <w:r w:rsidR="001730C0">
        <w:t xml:space="preserve"> a contract for</w:t>
      </w:r>
      <w:r>
        <w:t xml:space="preserve"> up to $34 million</w:t>
      </w:r>
      <w:r w:rsidR="007F73F7">
        <w:t xml:space="preserve"> by the U.S. Department of Defense </w:t>
      </w:r>
      <w:r>
        <w:t xml:space="preserve">to develop a </w:t>
      </w:r>
      <w:r w:rsidR="007F73F7">
        <w:t xml:space="preserve">single </w:t>
      </w:r>
      <w:proofErr w:type="gramStart"/>
      <w:r w:rsidR="000C0620">
        <w:t>broad spectrum</w:t>
      </w:r>
      <w:proofErr w:type="gramEnd"/>
      <w:r w:rsidR="000C0620">
        <w:t xml:space="preserve"> antiviral that would work against </w:t>
      </w:r>
      <w:r>
        <w:t xml:space="preserve">multiple potential </w:t>
      </w:r>
      <w:r w:rsidR="004E30BC">
        <w:t>biowarfare</w:t>
      </w:r>
      <w:r>
        <w:t xml:space="preserve"> </w:t>
      </w:r>
      <w:r w:rsidR="000C0620">
        <w:t>agents.</w:t>
      </w:r>
    </w:p>
    <w:p w14:paraId="7CEAC326" w14:textId="7C8732EE" w:rsidR="009F3F70" w:rsidRDefault="002C47CA" w:rsidP="00E521A0">
      <w:pPr>
        <w:spacing w:before="240" w:after="240"/>
      </w:pPr>
      <w:bookmarkStart w:id="2" w:name="_8y2h6chzrzi7" w:colFirst="0" w:colLast="0"/>
      <w:bookmarkEnd w:id="2"/>
      <w:r>
        <w:t>A</w:t>
      </w:r>
      <w:r w:rsidR="0071221F">
        <w:t>n</w:t>
      </w:r>
      <w:r>
        <w:t xml:space="preserve"> Historical Approach </w:t>
      </w:r>
      <w:r w:rsidR="001730C0">
        <w:t xml:space="preserve">to </w:t>
      </w:r>
      <w:r>
        <w:t>Modern Challenges</w:t>
      </w:r>
    </w:p>
    <w:p w14:paraId="554D791F" w14:textId="1B1D188B" w:rsidR="009F3F70" w:rsidRDefault="002C47CA">
      <w:pPr>
        <w:spacing w:before="240" w:after="240"/>
      </w:pPr>
      <w:r>
        <w:t xml:space="preserve">The current mpox crisis can be traced back to a decision made in the 1970s to discontinue routine smallpox vaccinations after </w:t>
      </w:r>
      <w:r w:rsidR="008724CC">
        <w:t xml:space="preserve">smallpox </w:t>
      </w:r>
      <w:r w:rsidR="001730C0">
        <w:t>w</w:t>
      </w:r>
      <w:r w:rsidR="008724CC">
        <w:t>as successfully</w:t>
      </w:r>
      <w:r>
        <w:t xml:space="preserve"> eradicated.</w:t>
      </w:r>
      <w:hyperlink r:id="rId9">
        <w:r>
          <w:t xml:space="preserve"> </w:t>
        </w:r>
      </w:hyperlink>
      <w:hyperlink r:id="rId10">
        <w:r>
          <w:rPr>
            <w:color w:val="1155CC"/>
            <w:u w:val="single"/>
          </w:rPr>
          <w:t>Research</w:t>
        </w:r>
      </w:hyperlink>
      <w:r>
        <w:t xml:space="preserve"> shows that the smallpox vaccine also provided immunity against mpox</w:t>
      </w:r>
      <w:r w:rsidR="00D84BFA">
        <w:t xml:space="preserve">.  In retrospect, smallpox vaccination kept mpox out of the human population in Africa.  </w:t>
      </w:r>
      <w:proofErr w:type="gramStart"/>
      <w:r w:rsidR="00D84BFA">
        <w:t>S</w:t>
      </w:r>
      <w:r>
        <w:t>o</w:t>
      </w:r>
      <w:proofErr w:type="gramEnd"/>
      <w:r w:rsidR="00D84BFA">
        <w:t xml:space="preserve"> an unintended consequence of</w:t>
      </w:r>
      <w:r>
        <w:t xml:space="preserve"> stopping vaccinations </w:t>
      </w:r>
      <w:r w:rsidR="008724CC">
        <w:t xml:space="preserve">for smallpox </w:t>
      </w:r>
      <w:r>
        <w:t>meant that mpox, then known as monkeypox</w:t>
      </w:r>
      <w:r w:rsidR="00AF6914">
        <w:t xml:space="preserve"> (which is still the name of the virus)</w:t>
      </w:r>
      <w:r>
        <w:t>, was able to reemerge in the human population.</w:t>
      </w:r>
    </w:p>
    <w:p w14:paraId="182C7EE5" w14:textId="416B76EE" w:rsidR="009F3F70" w:rsidRDefault="002C47CA">
      <w:pPr>
        <w:spacing w:before="240" w:after="240"/>
      </w:pPr>
      <w:r>
        <w:t xml:space="preserve">Tonix’s mpox vaccine is </w:t>
      </w:r>
      <w:r w:rsidR="006673B1">
        <w:t xml:space="preserve">believed to be </w:t>
      </w:r>
      <w:r>
        <w:t xml:space="preserve">closely related to the original smallpox vaccine invented by British physician Edward Jenner in 1796. Jenner’s vaccine </w:t>
      </w:r>
      <w:r w:rsidR="008724CC">
        <w:t xml:space="preserve">is credited with being the first </w:t>
      </w:r>
      <w:r w:rsidR="000946CF">
        <w:t xml:space="preserve">and only vaccine </w:t>
      </w:r>
      <w:r w:rsidR="008724CC">
        <w:t xml:space="preserve">to </w:t>
      </w:r>
      <w:r>
        <w:t>successfully eradicat</w:t>
      </w:r>
      <w:r w:rsidR="008724CC">
        <w:t xml:space="preserve">e </w:t>
      </w:r>
      <w:r>
        <w:t>a viral pathogen</w:t>
      </w:r>
      <w:r w:rsidR="000946CF">
        <w:t>. This triumph</w:t>
      </w:r>
      <w:r w:rsidR="0067329F">
        <w:t xml:space="preserve"> depended on </w:t>
      </w:r>
      <w:r>
        <w:t>several important attributes</w:t>
      </w:r>
      <w:r w:rsidR="00AF6914">
        <w:t xml:space="preserve"> of the vaccine</w:t>
      </w:r>
      <w:r>
        <w:t xml:space="preserve">, including that it was generally well-tolerated, provided long-term immunity with a single dose, prevented forward transmission and provided </w:t>
      </w:r>
      <w:r w:rsidR="005B5D07">
        <w:t xml:space="preserve">a simple biomarker </w:t>
      </w:r>
      <w:r>
        <w:t xml:space="preserve">confirmation of </w:t>
      </w:r>
      <w:r w:rsidR="005B5D07">
        <w:t xml:space="preserve">protective </w:t>
      </w:r>
      <w:r>
        <w:t>immunity</w:t>
      </w:r>
      <w:r w:rsidR="005B5D07">
        <w:t xml:space="preserve"> known as a “take”</w:t>
      </w:r>
      <w:r>
        <w:t>.</w:t>
      </w:r>
    </w:p>
    <w:p w14:paraId="7E0CC87E" w14:textId="7C793995" w:rsidR="009F3F70" w:rsidRDefault="002C47CA">
      <w:pPr>
        <w:spacing w:before="240" w:after="240"/>
      </w:pPr>
      <w:r>
        <w:t xml:space="preserve">TNX-801 is designed to have these same attributes; it is delivered in a single dose that provides </w:t>
      </w:r>
      <w:r w:rsidR="00614CE6">
        <w:t>protective immunity to animals</w:t>
      </w:r>
      <w:r w:rsidR="00315550">
        <w:t xml:space="preserve"> that is marked by a “take”</w:t>
      </w:r>
      <w:r w:rsidR="00614CE6">
        <w:t>. I</w:t>
      </w:r>
      <w:r>
        <w:t xml:space="preserve">t is </w:t>
      </w:r>
      <w:r w:rsidR="00614CE6">
        <w:t xml:space="preserve">believed </w:t>
      </w:r>
      <w:r>
        <w:t xml:space="preserve">to have a high likelihood of </w:t>
      </w:r>
      <w:r w:rsidR="00614CE6">
        <w:t>providing durable immunity</w:t>
      </w:r>
      <w:r w:rsidR="00315550">
        <w:t xml:space="preserve"> and</w:t>
      </w:r>
      <w:r w:rsidR="00614CE6">
        <w:t xml:space="preserve"> </w:t>
      </w:r>
      <w:r>
        <w:t xml:space="preserve">preventing forward transmission. Furthermore, unlike many other vaccines, TNX-801 does not require complex </w:t>
      </w:r>
      <w:r w:rsidR="00F84D7C">
        <w:t xml:space="preserve">ultra </w:t>
      </w:r>
      <w:r>
        <w:t>cold-chain storage, making it a strong candidate for global distribution.</w:t>
      </w:r>
    </w:p>
    <w:p w14:paraId="4B74778B" w14:textId="77777777" w:rsidR="009F3F70" w:rsidRDefault="002C47CA">
      <w:pPr>
        <w:pStyle w:val="Heading2"/>
      </w:pPr>
      <w:bookmarkStart w:id="3" w:name="_go2ee03a6a4r" w:colFirst="0" w:colLast="0"/>
      <w:bookmarkEnd w:id="3"/>
      <w:r>
        <w:t>The Science Behind TNX-801</w:t>
      </w:r>
    </w:p>
    <w:p w14:paraId="4E1AED61" w14:textId="7054B243" w:rsidR="009F3F70" w:rsidRDefault="002C47CA">
      <w:pPr>
        <w:spacing w:before="240" w:after="240"/>
      </w:pPr>
      <w:r>
        <w:t xml:space="preserve">Unlike mRNA vaccines, which primarily elicit an antibody response that requires frequent booster shots, TNX-801 is designed to trigger a robust T-cell response. T-cells have the ability to recognize and remember </w:t>
      </w:r>
      <w:r w:rsidR="00F84D7C">
        <w:t xml:space="preserve">internal </w:t>
      </w:r>
      <w:r>
        <w:t xml:space="preserve">parts of </w:t>
      </w:r>
      <w:r w:rsidR="005442F5">
        <w:t>viral proteins</w:t>
      </w:r>
      <w:r>
        <w:t xml:space="preserve">, not just </w:t>
      </w:r>
      <w:r w:rsidR="003170AB">
        <w:t xml:space="preserve">those on </w:t>
      </w:r>
      <w:r w:rsidR="005442F5">
        <w:t xml:space="preserve">the </w:t>
      </w:r>
      <w:r>
        <w:t>surface. T</w:t>
      </w:r>
      <w:r w:rsidR="00CE46CB">
        <w:t xml:space="preserve">-cell </w:t>
      </w:r>
      <w:r>
        <w:t>memory last</w:t>
      </w:r>
      <w:r w:rsidR="00CE46CB">
        <w:t>s</w:t>
      </w:r>
      <w:r>
        <w:t xml:space="preserve"> for years</w:t>
      </w:r>
      <w:r w:rsidR="00CE46CB">
        <w:t xml:space="preserve"> – even decades - </w:t>
      </w:r>
      <w:r>
        <w:t xml:space="preserve">providing long-term immunity and potentially eliminating the need for repeated </w:t>
      </w:r>
      <w:r w:rsidR="002F5993">
        <w:t>boosters</w:t>
      </w:r>
      <w:r>
        <w:t>.</w:t>
      </w:r>
    </w:p>
    <w:p w14:paraId="7A1192ED" w14:textId="05C867EB" w:rsidR="009F3F70" w:rsidRDefault="002C47CA">
      <w:pPr>
        <w:spacing w:before="240" w:after="240"/>
      </w:pPr>
      <w:r>
        <w:t xml:space="preserve">In preclinical trials, Tonix says TNX-801 demonstrated the ability to prevent </w:t>
      </w:r>
      <w:r w:rsidR="002F5993">
        <w:t xml:space="preserve">death, </w:t>
      </w:r>
      <w:r>
        <w:t xml:space="preserve">clinical disease and lesions caused by </w:t>
      </w:r>
      <w:r w:rsidR="00EA086F">
        <w:t xml:space="preserve">a lethal challenge of monkeypox </w:t>
      </w:r>
      <w:r>
        <w:t xml:space="preserve">virus in non-human primates. Similar to Jenner’s smallpox vaccine, TNX-801 also significantly reduced viral shedding, suggesting that it can block forward </w:t>
      </w:r>
      <w:proofErr w:type="gramStart"/>
      <w:r>
        <w:t>transmission,.</w:t>
      </w:r>
      <w:proofErr w:type="gramEnd"/>
      <w:r>
        <w:t xml:space="preserve"> </w:t>
      </w:r>
      <w:r w:rsidR="00EA086F">
        <w:t xml:space="preserve">Tonix is rushing to manufacture </w:t>
      </w:r>
      <w:r w:rsidR="00593089">
        <w:t xml:space="preserve">vaccine suitable for </w:t>
      </w:r>
      <w:r>
        <w:t>Phase 1 human trials.</w:t>
      </w:r>
    </w:p>
    <w:p w14:paraId="0F3E957F" w14:textId="035B1C9B" w:rsidR="009F3F70" w:rsidRDefault="002C47CA">
      <w:pPr>
        <w:pStyle w:val="Heading2"/>
      </w:pPr>
      <w:bookmarkStart w:id="4" w:name="_in8lr579uvq7" w:colFirst="0" w:colLast="0"/>
      <w:bookmarkEnd w:id="4"/>
      <w:r>
        <w:t xml:space="preserve">Beyond Mpox: A Platform </w:t>
      </w:r>
      <w:r w:rsidR="0067329F">
        <w:t xml:space="preserve">for </w:t>
      </w:r>
      <w:r>
        <w:t>Future Pandemics</w:t>
      </w:r>
    </w:p>
    <w:p w14:paraId="6EF9E54D" w14:textId="00DFFE70" w:rsidR="009F3F70" w:rsidRDefault="002C47CA">
      <w:pPr>
        <w:spacing w:before="240" w:after="240"/>
      </w:pPr>
      <w:r>
        <w:t xml:space="preserve">The vaccine platform </w:t>
      </w:r>
      <w:r w:rsidR="00593089">
        <w:t>on which</w:t>
      </w:r>
      <w:r>
        <w:t xml:space="preserve"> TNX-801 is based has potential applications beyond mpox. The company says the TNX-1800 </w:t>
      </w:r>
      <w:r w:rsidR="00A87887">
        <w:t>version of the platform</w:t>
      </w:r>
      <w:r>
        <w:t>, for example, is designed to protect against COVID-19 and has shown promise in preclinical studies. The U.S. National Institute of Health has recognized the potential of Tonix’s platform by selecting it for Project NextGen, aimed at developing next-generation COVID-19 vaccines</w:t>
      </w:r>
      <w:r w:rsidR="00FD6F1C">
        <w:t xml:space="preserve"> and pandemic platform technologies</w:t>
      </w:r>
      <w:r>
        <w:t>.</w:t>
      </w:r>
    </w:p>
    <w:p w14:paraId="03DEB5B6" w14:textId="2C30C829" w:rsidR="009F3F70" w:rsidRDefault="002C47CA">
      <w:pPr>
        <w:spacing w:before="240" w:after="240"/>
      </w:pPr>
      <w:r>
        <w:t xml:space="preserve">As the world faces the growing threat of mpox and other infectious diseases, Tonix Pharmaceuticals is not only attempting to address the current crisis with TNX-801, but also potentially contributing to a future where pandemics can be more </w:t>
      </w:r>
      <w:r w:rsidR="00FD6F1C">
        <w:t xml:space="preserve">predictably </w:t>
      </w:r>
      <w:r>
        <w:t>contained.</w:t>
      </w:r>
    </w:p>
    <w:p w14:paraId="11EDA89D" w14:textId="77FE48ED" w:rsidR="009F3F70" w:rsidRDefault="002C47CA">
      <w:pPr>
        <w:spacing w:before="240" w:after="240"/>
      </w:pPr>
      <w:r>
        <w:t>Featured photo by</w:t>
      </w:r>
      <w:r w:rsidR="00BE1629">
        <w:t xml:space="preserve"> </w:t>
      </w:r>
      <w:hyperlink r:id="rId11" w:history="1">
        <w:proofErr w:type="spellStart"/>
        <w:r w:rsidR="00BE1629" w:rsidRPr="00BE1629">
          <w:rPr>
            <w:rStyle w:val="Hyperlink"/>
          </w:rPr>
          <w:t>Gilnature</w:t>
        </w:r>
        <w:proofErr w:type="spellEnd"/>
      </w:hyperlink>
      <w:r w:rsidR="00BE1629">
        <w:t xml:space="preserve"> on </w:t>
      </w:r>
      <w:hyperlink r:id="rId12" w:history="1">
        <w:r w:rsidR="00BE1629" w:rsidRPr="00BE1629">
          <w:rPr>
            <w:rStyle w:val="Hyperlink"/>
          </w:rPr>
          <w:t>iStock</w:t>
        </w:r>
      </w:hyperlink>
      <w:r>
        <w:t>.</w:t>
      </w:r>
    </w:p>
    <w:p w14:paraId="656A49ED" w14:textId="77777777" w:rsidR="009F3F70" w:rsidRDefault="002C47CA">
      <w:pPr>
        <w:spacing w:before="240" w:after="240"/>
        <w:rPr>
          <w:i/>
        </w:rPr>
      </w:pPr>
      <w:r>
        <w:rPr>
          <w:i/>
        </w:rPr>
        <w:t>This post contains sponsored content. This content is for informational purposes only and not intended to be investing advice.</w:t>
      </w:r>
    </w:p>
    <w:p w14:paraId="39A30076" w14:textId="02E20095" w:rsidR="009F3F70" w:rsidRDefault="0058105B">
      <w:pPr>
        <w:rPr>
          <w:lang w:val="en-US"/>
        </w:rPr>
      </w:pPr>
      <w:r>
        <w:rPr>
          <w:lang w:val="en-US"/>
        </w:rPr>
        <w:t xml:space="preserve">Click here </w:t>
      </w:r>
      <w:r w:rsidR="00BE1629" w:rsidRPr="005C12DA">
        <w:rPr>
          <w:lang w:val="en-US"/>
        </w:rPr>
        <w:t>for more information on Tonix Pharmaceuticals:</w:t>
      </w:r>
    </w:p>
    <w:p w14:paraId="46A19F42" w14:textId="2A6619F4" w:rsidR="0058105B" w:rsidRDefault="00000000">
      <w:pPr>
        <w:rPr>
          <w:lang w:val="en-US"/>
        </w:rPr>
      </w:pPr>
      <w:hyperlink r:id="rId13" w:history="1">
        <w:r w:rsidR="00BE682F" w:rsidRPr="00A904B0">
          <w:rPr>
            <w:rStyle w:val="Hyperlink"/>
            <w:lang w:val="en-US"/>
          </w:rPr>
          <w:t>https://redingtonvirtual.com/tnxp-aw-24082/</w:t>
        </w:r>
      </w:hyperlink>
      <w:r w:rsidR="00BE682F">
        <w:rPr>
          <w:lang w:val="en-US"/>
        </w:rPr>
        <w:t xml:space="preserve"> </w:t>
      </w:r>
    </w:p>
    <w:p w14:paraId="277BE48B" w14:textId="77777777" w:rsidR="001E5790" w:rsidRDefault="001E5790" w:rsidP="001E5790">
      <w:pPr>
        <w:rPr>
          <w:lang w:val="en-US"/>
        </w:rPr>
      </w:pPr>
    </w:p>
    <w:p w14:paraId="59F85904" w14:textId="1E9DFE2B" w:rsidR="001E5790" w:rsidRDefault="001E5790">
      <w:r w:rsidRPr="003F3DA4">
        <w:rPr>
          <w:b/>
          <w:bCs/>
        </w:rPr>
        <w:t>Investor Contact</w:t>
      </w:r>
      <w:r w:rsidRPr="003F3DA4">
        <w:br/>
        <w:t>Jessica Morris</w:t>
      </w:r>
      <w:r w:rsidRPr="003F3DA4">
        <w:br/>
        <w:t>Tonix Pharmaceuticals</w:t>
      </w:r>
      <w:r w:rsidRPr="003F3DA4">
        <w:br/>
      </w:r>
      <w:hyperlink r:id="rId14" w:history="1">
        <w:r w:rsidRPr="003F3DA4">
          <w:rPr>
            <w:rStyle w:val="Hyperlink"/>
          </w:rPr>
          <w:t>investor.relations@tonixpharma.com</w:t>
        </w:r>
      </w:hyperlink>
      <w:r w:rsidRPr="003F3DA4">
        <w:br/>
        <w:t>(862) 904-8182</w:t>
      </w:r>
    </w:p>
    <w:sectPr w:rsidR="001E579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3F70"/>
    <w:rsid w:val="0000702F"/>
    <w:rsid w:val="000946CF"/>
    <w:rsid w:val="000C0620"/>
    <w:rsid w:val="00171114"/>
    <w:rsid w:val="001730C0"/>
    <w:rsid w:val="001C7F63"/>
    <w:rsid w:val="001D3402"/>
    <w:rsid w:val="001E5790"/>
    <w:rsid w:val="0024470A"/>
    <w:rsid w:val="00270476"/>
    <w:rsid w:val="002A3B7C"/>
    <w:rsid w:val="002A7A79"/>
    <w:rsid w:val="002B1D21"/>
    <w:rsid w:val="002C47CA"/>
    <w:rsid w:val="002F1911"/>
    <w:rsid w:val="002F5993"/>
    <w:rsid w:val="002F6798"/>
    <w:rsid w:val="00315550"/>
    <w:rsid w:val="003170AB"/>
    <w:rsid w:val="003F358A"/>
    <w:rsid w:val="004444AE"/>
    <w:rsid w:val="00457199"/>
    <w:rsid w:val="004C62E9"/>
    <w:rsid w:val="004C6EEB"/>
    <w:rsid w:val="004E30BC"/>
    <w:rsid w:val="005442F5"/>
    <w:rsid w:val="0058105B"/>
    <w:rsid w:val="00593089"/>
    <w:rsid w:val="005A19BA"/>
    <w:rsid w:val="005B5D07"/>
    <w:rsid w:val="00614CE6"/>
    <w:rsid w:val="006673B1"/>
    <w:rsid w:val="0067329F"/>
    <w:rsid w:val="0071221F"/>
    <w:rsid w:val="00752D97"/>
    <w:rsid w:val="007F659E"/>
    <w:rsid w:val="007F73F7"/>
    <w:rsid w:val="008551B4"/>
    <w:rsid w:val="008724CC"/>
    <w:rsid w:val="00906AEE"/>
    <w:rsid w:val="009F3F70"/>
    <w:rsid w:val="00A10FEA"/>
    <w:rsid w:val="00A451AD"/>
    <w:rsid w:val="00A87887"/>
    <w:rsid w:val="00A9134C"/>
    <w:rsid w:val="00AD279A"/>
    <w:rsid w:val="00AF6914"/>
    <w:rsid w:val="00B25C10"/>
    <w:rsid w:val="00B3424D"/>
    <w:rsid w:val="00B55774"/>
    <w:rsid w:val="00B972CF"/>
    <w:rsid w:val="00BE1629"/>
    <w:rsid w:val="00BE47E4"/>
    <w:rsid w:val="00BE682F"/>
    <w:rsid w:val="00C06333"/>
    <w:rsid w:val="00C32F4C"/>
    <w:rsid w:val="00C3728F"/>
    <w:rsid w:val="00C65D20"/>
    <w:rsid w:val="00CB5EF7"/>
    <w:rsid w:val="00CE46CB"/>
    <w:rsid w:val="00D45381"/>
    <w:rsid w:val="00D61375"/>
    <w:rsid w:val="00D73C8C"/>
    <w:rsid w:val="00D84BFA"/>
    <w:rsid w:val="00E521A0"/>
    <w:rsid w:val="00E52662"/>
    <w:rsid w:val="00E62A24"/>
    <w:rsid w:val="00EA086F"/>
    <w:rsid w:val="00F26D63"/>
    <w:rsid w:val="00F84D7C"/>
    <w:rsid w:val="00FD6F1C"/>
    <w:rsid w:val="00FE7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4654"/>
  <w15:docId w15:val="{D1DC7AE1-CF58-41E8-B8F4-CAC42E720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A9134C"/>
    <w:pPr>
      <w:spacing w:line="240" w:lineRule="auto"/>
    </w:pPr>
  </w:style>
  <w:style w:type="character" w:styleId="CommentReference">
    <w:name w:val="annotation reference"/>
    <w:basedOn w:val="DefaultParagraphFont"/>
    <w:uiPriority w:val="99"/>
    <w:semiHidden/>
    <w:unhideWhenUsed/>
    <w:rsid w:val="002C47CA"/>
    <w:rPr>
      <w:sz w:val="16"/>
      <w:szCs w:val="16"/>
    </w:rPr>
  </w:style>
  <w:style w:type="paragraph" w:styleId="CommentText">
    <w:name w:val="annotation text"/>
    <w:basedOn w:val="Normal"/>
    <w:link w:val="CommentTextChar"/>
    <w:uiPriority w:val="99"/>
    <w:unhideWhenUsed/>
    <w:rsid w:val="002C47CA"/>
    <w:pPr>
      <w:spacing w:line="240" w:lineRule="auto"/>
    </w:pPr>
    <w:rPr>
      <w:sz w:val="20"/>
      <w:szCs w:val="20"/>
    </w:rPr>
  </w:style>
  <w:style w:type="character" w:customStyle="1" w:styleId="CommentTextChar">
    <w:name w:val="Comment Text Char"/>
    <w:basedOn w:val="DefaultParagraphFont"/>
    <w:link w:val="CommentText"/>
    <w:uiPriority w:val="99"/>
    <w:rsid w:val="002C47CA"/>
    <w:rPr>
      <w:sz w:val="20"/>
      <w:szCs w:val="20"/>
    </w:rPr>
  </w:style>
  <w:style w:type="paragraph" w:styleId="CommentSubject">
    <w:name w:val="annotation subject"/>
    <w:basedOn w:val="CommentText"/>
    <w:next w:val="CommentText"/>
    <w:link w:val="CommentSubjectChar"/>
    <w:uiPriority w:val="99"/>
    <w:semiHidden/>
    <w:unhideWhenUsed/>
    <w:rsid w:val="002C47CA"/>
    <w:rPr>
      <w:b/>
      <w:bCs/>
    </w:rPr>
  </w:style>
  <w:style w:type="character" w:customStyle="1" w:styleId="CommentSubjectChar">
    <w:name w:val="Comment Subject Char"/>
    <w:basedOn w:val="CommentTextChar"/>
    <w:link w:val="CommentSubject"/>
    <w:uiPriority w:val="99"/>
    <w:semiHidden/>
    <w:rsid w:val="002C47CA"/>
    <w:rPr>
      <w:b/>
      <w:bCs/>
      <w:sz w:val="20"/>
      <w:szCs w:val="20"/>
    </w:rPr>
  </w:style>
  <w:style w:type="character" w:styleId="Hyperlink">
    <w:name w:val="Hyperlink"/>
    <w:basedOn w:val="DefaultParagraphFont"/>
    <w:uiPriority w:val="99"/>
    <w:unhideWhenUsed/>
    <w:rsid w:val="00BE1629"/>
    <w:rPr>
      <w:color w:val="0000FF" w:themeColor="hyperlink"/>
      <w:u w:val="single"/>
    </w:rPr>
  </w:style>
  <w:style w:type="character" w:styleId="UnresolvedMention">
    <w:name w:val="Unresolved Mention"/>
    <w:basedOn w:val="DefaultParagraphFont"/>
    <w:uiPriority w:val="99"/>
    <w:semiHidden/>
    <w:unhideWhenUsed/>
    <w:rsid w:val="00BE16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8017907">
      <w:bodyDiv w:val="1"/>
      <w:marLeft w:val="0"/>
      <w:marRight w:val="0"/>
      <w:marTop w:val="0"/>
      <w:marBottom w:val="0"/>
      <w:divBdr>
        <w:top w:val="none" w:sz="0" w:space="0" w:color="auto"/>
        <w:left w:val="none" w:sz="0" w:space="0" w:color="auto"/>
        <w:bottom w:val="none" w:sz="0" w:space="0" w:color="auto"/>
        <w:right w:val="none" w:sz="0" w:space="0" w:color="auto"/>
      </w:divBdr>
    </w:div>
    <w:div w:id="1116096932">
      <w:bodyDiv w:val="1"/>
      <w:marLeft w:val="0"/>
      <w:marRight w:val="0"/>
      <w:marTop w:val="0"/>
      <w:marBottom w:val="0"/>
      <w:divBdr>
        <w:top w:val="none" w:sz="0" w:space="0" w:color="auto"/>
        <w:left w:val="none" w:sz="0" w:space="0" w:color="auto"/>
        <w:bottom w:val="none" w:sz="0" w:space="0" w:color="auto"/>
        <w:right w:val="none" w:sz="0" w:space="0" w:color="auto"/>
      </w:divBdr>
    </w:div>
    <w:div w:id="1536044180">
      <w:bodyDiv w:val="1"/>
      <w:marLeft w:val="0"/>
      <w:marRight w:val="0"/>
      <w:marTop w:val="0"/>
      <w:marBottom w:val="0"/>
      <w:divBdr>
        <w:top w:val="none" w:sz="0" w:space="0" w:color="auto"/>
        <w:left w:val="none" w:sz="0" w:space="0" w:color="auto"/>
        <w:bottom w:val="none" w:sz="0" w:space="0" w:color="auto"/>
        <w:right w:val="none" w:sz="0" w:space="0" w:color="auto"/>
      </w:divBdr>
    </w:div>
    <w:div w:id="1648777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edingtonvirtual.com/tnxp-aw-24082/" TargetMode="External"/><Relationship Id="rId3" Type="http://schemas.openxmlformats.org/officeDocument/2006/relationships/webSettings" Target="webSettings.xml"/><Relationship Id="rId7" Type="http://schemas.openxmlformats.org/officeDocument/2006/relationships/hyperlink" Target="https://www.who.int/news/item/09-08-2024-who-invites-mpox-vaccine-manufacturers-to-submit-dossiers-for-emergency-evaluations" TargetMode="External"/><Relationship Id="rId12" Type="http://schemas.openxmlformats.org/officeDocument/2006/relationships/hyperlink" Target="https://www.istockphoto.com/photo/monkeypox-virus-is-a-smallpox-like-viral-infection-transmitted-from-animals-to-humans-gm1399105180-453058590"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who.int/news/item/09-08-2024-who-invites-mpox-vaccine-manufacturers-to-submit-dossiers-for-emergency-evaluations" TargetMode="External"/><Relationship Id="rId11" Type="http://schemas.openxmlformats.org/officeDocument/2006/relationships/hyperlink" Target="https://www.istockphoto.com/portfolio/Gilnature" TargetMode="External"/><Relationship Id="rId5" Type="http://schemas.openxmlformats.org/officeDocument/2006/relationships/hyperlink" Target="https://www.who.int/news/item/14-08-2024-who-director-general-declares-mpox-outbreak-a-public-health-emergency-of-international-concern" TargetMode="External"/><Relationship Id="rId15" Type="http://schemas.openxmlformats.org/officeDocument/2006/relationships/fontTable" Target="fontTable.xml"/><Relationship Id="rId10" Type="http://schemas.openxmlformats.org/officeDocument/2006/relationships/hyperlink" Target="https://academic.oup.com/aje/article-abstract/126/6/1082/81684?redirectedFrom=fulltext" TargetMode="External"/><Relationship Id="rId4" Type="http://schemas.openxmlformats.org/officeDocument/2006/relationships/hyperlink" Target="https://www.who.int/news/item/14-08-2024-who-director-general-declares-mpox-outbreak-a-public-health-emergency-of-international-concern" TargetMode="External"/><Relationship Id="rId9" Type="http://schemas.openxmlformats.org/officeDocument/2006/relationships/hyperlink" Target="https://academic.oup.com/aje/article-abstract/126/6/1082/81684?redirectedFrom=fulltext" TargetMode="External"/><Relationship Id="rId14" Type="http://schemas.openxmlformats.org/officeDocument/2006/relationships/hyperlink" Target="mailto:investor.relations@tonix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1040</Words>
  <Characters>5930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Thomas Redington</dc:creator>
  <cp:lastModifiedBy>Deirdre Abbotts</cp:lastModifiedBy>
  <cp:revision>2</cp:revision>
  <cp:lastPrinted>2024-08-20T22:38:00Z</cp:lastPrinted>
  <dcterms:created xsi:type="dcterms:W3CDTF">2024-08-22T22:15:00Z</dcterms:created>
  <dcterms:modified xsi:type="dcterms:W3CDTF">2024-08-22T22:15:00Z</dcterms:modified>
</cp:coreProperties>
</file>