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BEB32" w14:textId="1723AF15" w:rsidR="007065E4" w:rsidRPr="007065E4" w:rsidRDefault="007A55AE" w:rsidP="007065E4">
      <w:bookmarkStart w:id="0" w:name="_Hlk36555994"/>
      <w:r>
        <w:t>June 2</w:t>
      </w:r>
      <w:r w:rsidR="00E520CF">
        <w:t>6</w:t>
      </w:r>
      <w:r w:rsidR="007065E4" w:rsidRPr="007065E4">
        <w:t xml:space="preserve">, </w:t>
      </w:r>
      <w:proofErr w:type="gramStart"/>
      <w:r w:rsidR="007065E4" w:rsidRPr="007065E4">
        <w:t>2020  For</w:t>
      </w:r>
      <w:proofErr w:type="gramEnd"/>
      <w:r w:rsidR="007065E4" w:rsidRPr="007065E4">
        <w:t xml:space="preserve"> Immediate Release</w:t>
      </w:r>
    </w:p>
    <w:p w14:paraId="07AAAEB1" w14:textId="53B30FFA" w:rsidR="007065E4" w:rsidRPr="007065E4" w:rsidRDefault="007065E4" w:rsidP="007065E4">
      <w:pPr>
        <w:rPr>
          <w:b/>
          <w:bCs/>
          <w:u w:val="single"/>
        </w:rPr>
      </w:pPr>
    </w:p>
    <w:p w14:paraId="39FC6164" w14:textId="63EF3933" w:rsidR="007065E4" w:rsidRPr="007065E4" w:rsidRDefault="007065E4" w:rsidP="007065E4">
      <w:pPr>
        <w:rPr>
          <w:b/>
          <w:bCs/>
          <w:u w:val="single"/>
        </w:rPr>
      </w:pPr>
      <w:r w:rsidRPr="007065E4">
        <w:rPr>
          <w:b/>
          <w:bCs/>
          <w:u w:val="single"/>
        </w:rPr>
        <w:t xml:space="preserve">SCA </w:t>
      </w:r>
      <w:r w:rsidR="007A55AE">
        <w:rPr>
          <w:b/>
          <w:bCs/>
          <w:u w:val="single"/>
        </w:rPr>
        <w:t xml:space="preserve">Appraisal </w:t>
      </w:r>
      <w:r w:rsidR="00E520CF">
        <w:rPr>
          <w:b/>
          <w:bCs/>
          <w:u w:val="single"/>
        </w:rPr>
        <w:t xml:space="preserve">Launches </w:t>
      </w:r>
      <w:r w:rsidR="007A55AE">
        <w:rPr>
          <w:b/>
          <w:bCs/>
          <w:u w:val="single"/>
        </w:rPr>
        <w:t xml:space="preserve">Customized </w:t>
      </w:r>
      <w:r w:rsidR="00A475F9">
        <w:rPr>
          <w:b/>
          <w:bCs/>
          <w:u w:val="single"/>
        </w:rPr>
        <w:t xml:space="preserve">Client </w:t>
      </w:r>
      <w:r w:rsidR="00E520CF">
        <w:rPr>
          <w:b/>
          <w:bCs/>
          <w:u w:val="single"/>
        </w:rPr>
        <w:t>Care</w:t>
      </w:r>
      <w:r w:rsidR="005357C2">
        <w:rPr>
          <w:b/>
          <w:bCs/>
          <w:u w:val="single"/>
        </w:rPr>
        <w:t xml:space="preserve">:  Appoints Monica Diaz Senior Director </w:t>
      </w:r>
      <w:r w:rsidR="00A475F9">
        <w:rPr>
          <w:b/>
          <w:bCs/>
          <w:u w:val="single"/>
        </w:rPr>
        <w:t>of Customer Success</w:t>
      </w:r>
      <w:r w:rsidR="00E520CF">
        <w:rPr>
          <w:b/>
          <w:bCs/>
          <w:u w:val="single"/>
        </w:rPr>
        <w:t xml:space="preserve">, </w:t>
      </w:r>
      <w:r w:rsidR="00A475F9">
        <w:rPr>
          <w:b/>
          <w:bCs/>
          <w:u w:val="single"/>
        </w:rPr>
        <w:t>Lucano Figueroa, Yesenia Barreto &amp; Amye Chow Customer Success Managers</w:t>
      </w:r>
    </w:p>
    <w:p w14:paraId="22310FCC" w14:textId="77777777" w:rsidR="007065E4" w:rsidRPr="007065E4" w:rsidRDefault="007065E4" w:rsidP="007065E4"/>
    <w:p w14:paraId="05C84BCE" w14:textId="251B6B1C" w:rsidR="0018375E" w:rsidRDefault="007065E4" w:rsidP="00321A1F">
      <w:r w:rsidRPr="007065E4">
        <w:t xml:space="preserve">Burbank, CA – </w:t>
      </w:r>
      <w:r w:rsidR="00321A1F">
        <w:t xml:space="preserve">To meet the evolving needs of </w:t>
      </w:r>
      <w:r w:rsidR="00A475F9">
        <w:t>its customers across a variety of industries, SCA Appraisal has i</w:t>
      </w:r>
      <w:r w:rsidR="00D723CE">
        <w:t>mplemented</w:t>
      </w:r>
      <w:r w:rsidR="00A475F9">
        <w:t xml:space="preserve"> a Customer Success division and has re-allocated and added resources to specifically support client across various </w:t>
      </w:r>
      <w:r w:rsidR="00D723CE">
        <w:t>markets</w:t>
      </w:r>
      <w:r w:rsidR="00A475F9">
        <w:t>.  Monica Diaz has been appointed Senior Director of Customer Success and will be accountable for end-to-end delivery to clients across three unique markets:  insurance, third-party administrators and financial services/government.</w:t>
      </w:r>
    </w:p>
    <w:p w14:paraId="02D5787C" w14:textId="260A59CE" w:rsidR="00FE64B4" w:rsidRDefault="00AF5403" w:rsidP="00321A1F">
      <w:r>
        <w:rPr>
          <w:noProof/>
        </w:rPr>
        <w:drawing>
          <wp:anchor distT="0" distB="0" distL="114300" distR="114300" simplePos="0" relativeHeight="251658240" behindDoc="0" locked="0" layoutInCell="1" allowOverlap="1" wp14:anchorId="4B660A2E" wp14:editId="34F3B666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606550" cy="8623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 Framed Logo Grey 06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78" cy="871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13BF3" w14:textId="2E3AEFB2" w:rsidR="00FE64B4" w:rsidRDefault="00FE64B4" w:rsidP="00321A1F">
      <w:r>
        <w:t xml:space="preserve">“Our industry has experienced a lot of change over the 41 years we have been in business.  However, perhaps the most profound change has been our clients’ </w:t>
      </w:r>
      <w:r w:rsidR="00D723CE">
        <w:t xml:space="preserve">requests for </w:t>
      </w:r>
      <w:r>
        <w:t>company-specific requirements</w:t>
      </w:r>
      <w:r w:rsidR="00D723CE">
        <w:t xml:space="preserve"> that leverage their own unique brands and identities</w:t>
      </w:r>
      <w:r>
        <w:t>.”, states Tim Davis, Jr., President of SCA Appraisal.  “The IA space has long had a reputation for a one-size fits all approach, that is no</w:t>
      </w:r>
      <w:r w:rsidR="00D723CE">
        <w:t>t</w:t>
      </w:r>
      <w:r>
        <w:t xml:space="preserve"> acceptable</w:t>
      </w:r>
      <w:r w:rsidR="00D723CE">
        <w:t xml:space="preserve"> at SCA</w:t>
      </w:r>
      <w:r>
        <w:t xml:space="preserve">.  We are investing in our clients’ success and when they are successful, </w:t>
      </w:r>
      <w:r w:rsidR="00D723CE">
        <w:t>we are successful.”</w:t>
      </w:r>
    </w:p>
    <w:p w14:paraId="4DC2582F" w14:textId="5670512D" w:rsidR="0018375E" w:rsidRDefault="0018375E" w:rsidP="007065E4"/>
    <w:p w14:paraId="28BFB2F8" w14:textId="5B67D89C" w:rsidR="00071E5B" w:rsidRPr="0018375E" w:rsidRDefault="00FE64B4" w:rsidP="0018375E">
      <w:pPr>
        <w:rPr>
          <w:sz w:val="22"/>
          <w:szCs w:val="22"/>
        </w:rPr>
      </w:pPr>
      <w:r>
        <w:t xml:space="preserve">Lucano Figueroa, an 18-year veteran of SCA will lead the Financial Services/Government group.  Yesenia Barreto, brings her 13 years </w:t>
      </w:r>
      <w:r w:rsidR="00926ACC">
        <w:t xml:space="preserve">with </w:t>
      </w:r>
      <w:r>
        <w:t>SCA to lead the Third</w:t>
      </w:r>
      <w:r w:rsidR="00D723CE">
        <w:t>-</w:t>
      </w:r>
      <w:r>
        <w:t>Party Administrators group.  Amye Chow, with SCA since 2011 lead</w:t>
      </w:r>
      <w:r w:rsidR="00926ACC">
        <w:t>s</w:t>
      </w:r>
      <w:r>
        <w:t xml:space="preserve"> the Insurance group.  </w:t>
      </w:r>
      <w:r w:rsidR="00EB31AD">
        <w:t>“All aspects of a claim will be handled by a vertically-integrated team that is familiar with our clients’ business objective</w:t>
      </w:r>
      <w:r w:rsidR="00D723CE">
        <w:t>s</w:t>
      </w:r>
      <w:r w:rsidR="00926ACC">
        <w:t xml:space="preserve"> </w:t>
      </w:r>
      <w:r w:rsidR="00D723CE">
        <w:t>and processes</w:t>
      </w:r>
      <w:r w:rsidR="00EB31AD">
        <w:t xml:space="preserve">.” </w:t>
      </w:r>
      <w:r w:rsidR="00D723CE">
        <w:t>s</w:t>
      </w:r>
      <w:r w:rsidR="00EB31AD">
        <w:t>ays Monica Diaz.  “</w:t>
      </w:r>
      <w:r w:rsidR="00615988">
        <w:t>We know we are an extension of our clients’ claims resources and we are align</w:t>
      </w:r>
      <w:r w:rsidR="00926ACC">
        <w:t xml:space="preserve">ed </w:t>
      </w:r>
      <w:r w:rsidR="00615988">
        <w:t xml:space="preserve">accordingly.  </w:t>
      </w:r>
      <w:r w:rsidR="00926ACC">
        <w:t>C</w:t>
      </w:r>
      <w:r w:rsidR="00615988">
        <w:t xml:space="preserve">ustomers will </w:t>
      </w:r>
      <w:r w:rsidR="00926ACC">
        <w:t>see industry-leading service</w:t>
      </w:r>
      <w:r w:rsidR="00D723CE">
        <w:t>.”</w:t>
      </w:r>
    </w:p>
    <w:p w14:paraId="723B1C6F" w14:textId="77777777" w:rsidR="00615988" w:rsidRDefault="00615988" w:rsidP="00833DB4"/>
    <w:p w14:paraId="2B37BB8F" w14:textId="2FCF02E0" w:rsidR="007065E4" w:rsidRDefault="00615988" w:rsidP="007065E4">
      <w:r>
        <w:t xml:space="preserve">In business since 1979, with franchise and supplier resources in all 50 states, SCA is a leading provider of private passenger auto, specialty, heavy equipment and financial services appraisals.  For more information, or to request a demonstration, please contact </w:t>
      </w:r>
      <w:hyperlink r:id="rId9" w:history="1">
        <w:r w:rsidRPr="007F62C2">
          <w:rPr>
            <w:rStyle w:val="Hyperlink"/>
          </w:rPr>
          <w:t>ClientServices@sca-appraisal.com</w:t>
        </w:r>
      </w:hyperlink>
      <w:r>
        <w:t xml:space="preserve">. </w:t>
      </w:r>
    </w:p>
    <w:p w14:paraId="2C132509" w14:textId="77777777" w:rsidR="00615988" w:rsidRPr="007065E4" w:rsidRDefault="00615988" w:rsidP="007065E4"/>
    <w:p w14:paraId="78E2107E" w14:textId="77777777" w:rsidR="007065E4" w:rsidRPr="007065E4" w:rsidRDefault="007065E4" w:rsidP="007065E4">
      <w:pPr>
        <w:jc w:val="center"/>
      </w:pPr>
      <w:r w:rsidRPr="007065E4">
        <w:t>++++++++++++++++++++++++++++++++++++++++++++++++++++++++++</w:t>
      </w:r>
    </w:p>
    <w:p w14:paraId="139F9F66" w14:textId="77777777" w:rsidR="007065E4" w:rsidRPr="007065E4" w:rsidRDefault="007065E4" w:rsidP="007065E4">
      <w:r w:rsidRPr="007065E4">
        <w:t>For inquiries:</w:t>
      </w:r>
    </w:p>
    <w:p w14:paraId="6DB2B5A3" w14:textId="77777777" w:rsidR="007065E4" w:rsidRPr="007065E4" w:rsidRDefault="007065E4" w:rsidP="007065E4"/>
    <w:bookmarkEnd w:id="0"/>
    <w:p w14:paraId="71A17489" w14:textId="08DC2BEF" w:rsidR="00615988" w:rsidRDefault="00615988" w:rsidP="00007C5B">
      <w:r>
        <w:fldChar w:fldCharType="begin"/>
      </w:r>
      <w:r>
        <w:instrText xml:space="preserve"> HYPERLINK "mailto:ClientServices@sca-appraisal.com" </w:instrText>
      </w:r>
      <w:r>
        <w:fldChar w:fldCharType="separate"/>
      </w:r>
      <w:r w:rsidRPr="007F62C2">
        <w:rPr>
          <w:rStyle w:val="Hyperlink"/>
        </w:rPr>
        <w:t>ClientServices@sca-appraisal.com</w:t>
      </w:r>
      <w:r>
        <w:fldChar w:fldCharType="end"/>
      </w:r>
    </w:p>
    <w:p w14:paraId="79526EC7" w14:textId="0054F71A" w:rsidR="00615988" w:rsidRDefault="00615988" w:rsidP="00007C5B">
      <w:r>
        <w:t>1-818-845-7621</w:t>
      </w:r>
    </w:p>
    <w:sectPr w:rsidR="00615988" w:rsidSect="00007C5B">
      <w:headerReference w:type="default" r:id="rId10"/>
      <w:footerReference w:type="defaul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EB713" w14:textId="77777777" w:rsidR="001C0DEF" w:rsidRDefault="001C0DEF" w:rsidP="00CF1F2F">
      <w:r>
        <w:separator/>
      </w:r>
    </w:p>
  </w:endnote>
  <w:endnote w:type="continuationSeparator" w:id="0">
    <w:p w14:paraId="7C405E51" w14:textId="77777777" w:rsidR="001C0DEF" w:rsidRDefault="001C0DEF" w:rsidP="00C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al-300">
    <w:panose1 w:val="02000503020000020004"/>
    <w:charset w:val="BA"/>
    <w:family w:val="auto"/>
    <w:pitch w:val="variable"/>
    <w:sig w:usb0="8000002F" w:usb1="4000004A" w:usb2="00000000" w:usb3="00000000" w:csb0="0000008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80519" w14:textId="77777777" w:rsidR="005E3377" w:rsidRPr="0018334A" w:rsidRDefault="00450BB5" w:rsidP="005E3377">
    <w:pPr>
      <w:pStyle w:val="Caption"/>
    </w:pPr>
    <w:r w:rsidRPr="0018334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6A089" wp14:editId="1629A2A8">
              <wp:simplePos x="0" y="0"/>
              <wp:positionH relativeFrom="column">
                <wp:posOffset>5514975</wp:posOffset>
              </wp:positionH>
              <wp:positionV relativeFrom="paragraph">
                <wp:posOffset>118110</wp:posOffset>
              </wp:positionV>
              <wp:extent cx="1352550" cy="15506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55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FE4C8" w14:textId="77777777" w:rsidR="00450BB5" w:rsidRDefault="00161369" w:rsidP="00450BB5">
                          <w:pP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>Corporate Office</w:t>
                          </w:r>
                        </w:p>
                        <w:p w14:paraId="4928C42B" w14:textId="77777777" w:rsidR="00AA5852" w:rsidRDefault="00450BB5" w:rsidP="00450BB5">
                          <w:pP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 xml:space="preserve">3817 W. Magnolia Burbank, </w:t>
                          </w:r>
                          <w:r w:rsidR="00161369"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>CA 91505</w:t>
                          </w:r>
                        </w:p>
                        <w:p w14:paraId="3BFA74AC" w14:textId="77777777" w:rsidR="00450BB5" w:rsidRDefault="00450BB5" w:rsidP="00450BB5">
                          <w:pP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</w:pPr>
                        </w:p>
                        <w:p w14:paraId="125AB62A" w14:textId="77777777" w:rsidR="00CE3048" w:rsidRDefault="00AA5852" w:rsidP="00450BB5">
                          <w:pP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>T</w:t>
                          </w:r>
                          <w:r w:rsidR="00161369"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>el 800-572-8010</w:t>
                          </w:r>
                        </w:p>
                        <w:p w14:paraId="3D0B2E44" w14:textId="77777777" w:rsidR="00CF1F2F" w:rsidRPr="00007C5B" w:rsidRDefault="00161369" w:rsidP="00450BB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>Fax 800-544-1332</w:t>
                          </w: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Dual-300" w:hAnsi="Dual-300"/>
                              <w:sz w:val="20"/>
                              <w:szCs w:val="20"/>
                            </w:rPr>
                            <w:tab/>
                          </w:r>
                          <w:r w:rsidR="00CF1F2F" w:rsidRPr="00007C5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CF1F2F" w:rsidRPr="00007C5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CF1F2F" w:rsidRPr="00007C5B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6A0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4.25pt;margin-top:9.3pt;width:106.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/qgQIAABA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" stroked="f">
              <v:textbox>
                <w:txbxContent>
                  <w:p w14:paraId="77EFE4C8" w14:textId="77777777" w:rsidR="00450BB5" w:rsidRDefault="00161369" w:rsidP="00450BB5">
                    <w:pPr>
                      <w:rPr>
                        <w:rFonts w:ascii="Dual-300" w:hAnsi="Dual-300"/>
                        <w:sz w:val="20"/>
                        <w:szCs w:val="20"/>
                      </w:rPr>
                    </w:pPr>
                    <w:r>
                      <w:rPr>
                        <w:rFonts w:ascii="Dual-300" w:hAnsi="Dual-300"/>
                        <w:sz w:val="20"/>
                        <w:szCs w:val="20"/>
                      </w:rPr>
                      <w:t>Corporate Office</w:t>
                    </w:r>
                  </w:p>
                  <w:p w14:paraId="4928C42B" w14:textId="77777777" w:rsidR="00AA5852" w:rsidRDefault="00450BB5" w:rsidP="00450BB5">
                    <w:pPr>
                      <w:rPr>
                        <w:rFonts w:ascii="Dual-300" w:hAnsi="Dual-300"/>
                        <w:sz w:val="20"/>
                        <w:szCs w:val="20"/>
                      </w:rPr>
                    </w:pPr>
                    <w:r>
                      <w:rPr>
                        <w:rFonts w:ascii="Dual-300" w:hAnsi="Dual-300"/>
                        <w:sz w:val="20"/>
                        <w:szCs w:val="20"/>
                      </w:rPr>
                      <w:t xml:space="preserve">3817 W. Magnolia Burbank, </w:t>
                    </w:r>
                    <w:r w:rsidR="00161369">
                      <w:rPr>
                        <w:rFonts w:ascii="Dual-300" w:hAnsi="Dual-300"/>
                        <w:sz w:val="20"/>
                        <w:szCs w:val="20"/>
                      </w:rPr>
                      <w:t>CA 91505</w:t>
                    </w:r>
                  </w:p>
                  <w:p w14:paraId="3BFA74AC" w14:textId="77777777" w:rsidR="00450BB5" w:rsidRDefault="00450BB5" w:rsidP="00450BB5">
                    <w:pPr>
                      <w:rPr>
                        <w:rFonts w:ascii="Dual-300" w:hAnsi="Dual-300"/>
                        <w:sz w:val="20"/>
                        <w:szCs w:val="20"/>
                      </w:rPr>
                    </w:pPr>
                  </w:p>
                  <w:p w14:paraId="125AB62A" w14:textId="77777777" w:rsidR="00CE3048" w:rsidRDefault="00AA5852" w:rsidP="00450BB5">
                    <w:pPr>
                      <w:rPr>
                        <w:rFonts w:ascii="Dual-300" w:hAnsi="Dual-300"/>
                        <w:sz w:val="20"/>
                        <w:szCs w:val="20"/>
                      </w:rPr>
                    </w:pPr>
                    <w:r>
                      <w:rPr>
                        <w:rFonts w:ascii="Dual-300" w:hAnsi="Dual-300"/>
                        <w:sz w:val="20"/>
                        <w:szCs w:val="20"/>
                      </w:rPr>
                      <w:t>T</w:t>
                    </w:r>
                    <w:r w:rsidR="00161369">
                      <w:rPr>
                        <w:rFonts w:ascii="Dual-300" w:hAnsi="Dual-300"/>
                        <w:sz w:val="20"/>
                        <w:szCs w:val="20"/>
                      </w:rPr>
                      <w:t>el 800-572-8010</w:t>
                    </w:r>
                  </w:p>
                  <w:p w14:paraId="3D0B2E44" w14:textId="77777777" w:rsidR="00CF1F2F" w:rsidRPr="00007C5B" w:rsidRDefault="00161369" w:rsidP="00450BB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Dual-300" w:hAnsi="Dual-300"/>
                        <w:sz w:val="20"/>
                        <w:szCs w:val="20"/>
                      </w:rPr>
                      <w:t>Fax 800-544-1332</w:t>
                    </w:r>
                    <w:r>
                      <w:rPr>
                        <w:rFonts w:ascii="Dual-300" w:hAnsi="Dual-300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Dual-300" w:hAnsi="Dual-300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Dual-300" w:hAnsi="Dual-300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Dual-300" w:hAnsi="Dual-300"/>
                        <w:sz w:val="20"/>
                        <w:szCs w:val="20"/>
                      </w:rPr>
                      <w:tab/>
                    </w:r>
                    <w:r w:rsidR="00CF1F2F" w:rsidRPr="00007C5B">
                      <w:rPr>
                        <w:sz w:val="20"/>
                        <w:szCs w:val="20"/>
                      </w:rPr>
                      <w:tab/>
                    </w:r>
                    <w:r w:rsidR="00CF1F2F" w:rsidRPr="00007C5B">
                      <w:rPr>
                        <w:sz w:val="20"/>
                        <w:szCs w:val="20"/>
                      </w:rPr>
                      <w:tab/>
                    </w:r>
                    <w:r w:rsidR="00CF1F2F" w:rsidRPr="00007C5B">
                      <w:rPr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1C0DEF">
      <w:pict w14:anchorId="5651B64F">
        <v:rect id="_x0000_i1026" style="width:462.85pt;height:1.6pt" o:hrpct="989" o:hralign="center" o:hrstd="t" o:hrnoshade="t" o:hr="t" fillcolor="#fe5000" stroked="f"/>
      </w:pict>
    </w:r>
    <w:r w:rsidR="005E3377">
      <w:t xml:space="preserve"> </w:t>
    </w:r>
  </w:p>
  <w:p w14:paraId="612867AC" w14:textId="77777777" w:rsidR="00CF1F2F" w:rsidRPr="0018334A" w:rsidRDefault="005E3377" w:rsidP="0018334A">
    <w:pPr>
      <w:pStyle w:val="Caption"/>
    </w:pPr>
    <w:r w:rsidRPr="0018334A">
      <w:t xml:space="preserve">   </w:t>
    </w:r>
    <w:r w:rsidR="00CF1F2F" w:rsidRPr="0018334A">
      <w:t>Follow Us Online</w:t>
    </w:r>
  </w:p>
  <w:p w14:paraId="661E1849" w14:textId="77777777" w:rsidR="00CF1F2F" w:rsidRPr="0018334A" w:rsidRDefault="00CF1F2F" w:rsidP="00CF1F2F">
    <w:pPr>
      <w:pStyle w:val="Caption"/>
    </w:pPr>
    <w:r w:rsidRPr="0018334A">
      <w:rPr>
        <w:noProof/>
      </w:rPr>
      <w:drawing>
        <wp:anchor distT="0" distB="0" distL="114300" distR="114300" simplePos="0" relativeHeight="251659264" behindDoc="0" locked="0" layoutInCell="1" allowOverlap="1" wp14:anchorId="17CBE625" wp14:editId="0448CD12">
          <wp:simplePos x="0" y="0"/>
          <wp:positionH relativeFrom="column">
            <wp:posOffset>45720</wp:posOffset>
          </wp:positionH>
          <wp:positionV relativeFrom="paragraph">
            <wp:posOffset>6350</wp:posOffset>
          </wp:positionV>
          <wp:extent cx="914400" cy="355600"/>
          <wp:effectExtent l="0" t="0" r="0" b="6350"/>
          <wp:wrapNone/>
          <wp:docPr id="3" name="Picture 3" descr="FollowUs - Letter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lowUs - Letter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68A74" w14:textId="77777777" w:rsidR="00CF1F2F" w:rsidRDefault="00CF1F2F" w:rsidP="0018334A"/>
  <w:p w14:paraId="494A4720" w14:textId="77777777" w:rsidR="00CF1F2F" w:rsidRDefault="00CF1F2F" w:rsidP="001833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46C8A" w14:textId="77777777" w:rsidR="001C0DEF" w:rsidRDefault="001C0DEF" w:rsidP="00CF1F2F">
      <w:r>
        <w:separator/>
      </w:r>
    </w:p>
  </w:footnote>
  <w:footnote w:type="continuationSeparator" w:id="0">
    <w:p w14:paraId="354C4F2C" w14:textId="77777777" w:rsidR="001C0DEF" w:rsidRDefault="001C0DEF" w:rsidP="00CF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FE26F" w14:textId="77777777" w:rsidR="00CF1F2F" w:rsidRDefault="007A3AC7" w:rsidP="007A3AC7">
    <w:pPr>
      <w:jc w:val="right"/>
    </w:pPr>
    <w:r>
      <w:rPr>
        <w:rFonts w:ascii="Dual-300" w:hAnsi="Dual-300"/>
        <w:noProof/>
      </w:rPr>
      <w:drawing>
        <wp:anchor distT="0" distB="0" distL="114300" distR="114300" simplePos="0" relativeHeight="251661312" behindDoc="1" locked="0" layoutInCell="1" allowOverlap="1" wp14:anchorId="2A029BA9" wp14:editId="411A6E26">
          <wp:simplePos x="0" y="0"/>
          <wp:positionH relativeFrom="column">
            <wp:posOffset>47625</wp:posOffset>
          </wp:positionH>
          <wp:positionV relativeFrom="paragraph">
            <wp:posOffset>-353695</wp:posOffset>
          </wp:positionV>
          <wp:extent cx="3067050" cy="620436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620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0D9">
      <w:rPr>
        <w:rFonts w:ascii="Dual-300" w:hAnsi="Dual-300"/>
      </w:rPr>
      <w:tab/>
    </w:r>
    <w:r w:rsidR="003A30D9">
      <w:rPr>
        <w:rFonts w:ascii="Dual-300" w:hAnsi="Dual-300"/>
      </w:rPr>
      <w:tab/>
    </w:r>
    <w:r w:rsidR="003A30D9">
      <w:rPr>
        <w:rFonts w:ascii="Dual-300" w:hAnsi="Dual-300"/>
      </w:rPr>
      <w:tab/>
    </w:r>
    <w:r w:rsidR="003A30D9">
      <w:rPr>
        <w:rFonts w:ascii="Dual-300" w:hAnsi="Dual-300"/>
      </w:rPr>
      <w:tab/>
    </w:r>
    <w:r w:rsidR="003A30D9">
      <w:rPr>
        <w:rFonts w:ascii="Dual-300" w:hAnsi="Dual-300"/>
      </w:rPr>
      <w:tab/>
    </w:r>
    <w:r w:rsidR="003A30D9">
      <w:rPr>
        <w:rFonts w:ascii="Dual-300" w:hAnsi="Dual-300"/>
      </w:rPr>
      <w:tab/>
      <w:t xml:space="preserve">      </w:t>
    </w:r>
    <w:r w:rsidR="00CF1F2F" w:rsidRPr="00007C5B">
      <w:rPr>
        <w:rFonts w:ascii="Dual-300" w:hAnsi="Dual-300"/>
      </w:rPr>
      <w:t>www.sca-appraisal.com</w:t>
    </w:r>
  </w:p>
  <w:p w14:paraId="563E71AC" w14:textId="77777777" w:rsidR="00CF1F2F" w:rsidRPr="0018334A" w:rsidRDefault="001C0DEF" w:rsidP="0018334A">
    <w:r>
      <w:pict w14:anchorId="2E0073C9">
        <v:rect id="_x0000_i1025" style="width:489.7pt;height:1.75pt" o:hrpct="990" o:hralign="center" o:hrstd="t" o:hrnoshade="t" o:hr="t" fillcolor="#fe500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4FB8"/>
    <w:multiLevelType w:val="hybridMultilevel"/>
    <w:tmpl w:val="32E28B32"/>
    <w:lvl w:ilvl="0" w:tplc="CDB8C37E">
      <w:start w:val="1"/>
      <w:numFmt w:val="bullet"/>
      <w:pStyle w:val="FR-LISTCHECKMARK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0528"/>
    <w:multiLevelType w:val="hybridMultilevel"/>
    <w:tmpl w:val="862CDD3E"/>
    <w:lvl w:ilvl="0" w:tplc="18D05698">
      <w:start w:val="1"/>
      <w:numFmt w:val="bullet"/>
      <w:pStyle w:val="FR-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1EC1"/>
    <w:multiLevelType w:val="multilevel"/>
    <w:tmpl w:val="BD10AD06"/>
    <w:lvl w:ilvl="0">
      <w:start w:val="1"/>
      <w:numFmt w:val="none"/>
      <w:pStyle w:val="FR-Headi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R-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2F"/>
    <w:rsid w:val="00007C5B"/>
    <w:rsid w:val="00071E5B"/>
    <w:rsid w:val="000D04FB"/>
    <w:rsid w:val="00102879"/>
    <w:rsid w:val="00135583"/>
    <w:rsid w:val="00161369"/>
    <w:rsid w:val="0018334A"/>
    <w:rsid w:val="0018375E"/>
    <w:rsid w:val="001C0DEF"/>
    <w:rsid w:val="002A6538"/>
    <w:rsid w:val="00311A29"/>
    <w:rsid w:val="00321A1F"/>
    <w:rsid w:val="00365C9B"/>
    <w:rsid w:val="003A30D9"/>
    <w:rsid w:val="003D0651"/>
    <w:rsid w:val="003E00A6"/>
    <w:rsid w:val="00427D5D"/>
    <w:rsid w:val="00450BB5"/>
    <w:rsid w:val="00506B92"/>
    <w:rsid w:val="005357C2"/>
    <w:rsid w:val="005A0224"/>
    <w:rsid w:val="005A4D74"/>
    <w:rsid w:val="005D2D37"/>
    <w:rsid w:val="005E3377"/>
    <w:rsid w:val="00615988"/>
    <w:rsid w:val="00677895"/>
    <w:rsid w:val="006E0CF7"/>
    <w:rsid w:val="007065E4"/>
    <w:rsid w:val="00770951"/>
    <w:rsid w:val="007867F1"/>
    <w:rsid w:val="007A0AE5"/>
    <w:rsid w:val="007A3AC7"/>
    <w:rsid w:val="007A55AE"/>
    <w:rsid w:val="007F21BF"/>
    <w:rsid w:val="00812D6C"/>
    <w:rsid w:val="00833DB4"/>
    <w:rsid w:val="00872421"/>
    <w:rsid w:val="008E4978"/>
    <w:rsid w:val="00926ACC"/>
    <w:rsid w:val="00975A1A"/>
    <w:rsid w:val="00A01539"/>
    <w:rsid w:val="00A475F9"/>
    <w:rsid w:val="00A84239"/>
    <w:rsid w:val="00A95041"/>
    <w:rsid w:val="00A9619A"/>
    <w:rsid w:val="00AA5852"/>
    <w:rsid w:val="00AC5005"/>
    <w:rsid w:val="00AD7678"/>
    <w:rsid w:val="00AE3352"/>
    <w:rsid w:val="00AE6E43"/>
    <w:rsid w:val="00AF5403"/>
    <w:rsid w:val="00BB6FB6"/>
    <w:rsid w:val="00BC25D5"/>
    <w:rsid w:val="00BF4191"/>
    <w:rsid w:val="00C17847"/>
    <w:rsid w:val="00C83C62"/>
    <w:rsid w:val="00CE3048"/>
    <w:rsid w:val="00CF1F2F"/>
    <w:rsid w:val="00CF25A0"/>
    <w:rsid w:val="00D006EB"/>
    <w:rsid w:val="00D71CFD"/>
    <w:rsid w:val="00D723CE"/>
    <w:rsid w:val="00D84DDA"/>
    <w:rsid w:val="00DB33FB"/>
    <w:rsid w:val="00DD4D96"/>
    <w:rsid w:val="00E1471E"/>
    <w:rsid w:val="00E520CF"/>
    <w:rsid w:val="00E66BC8"/>
    <w:rsid w:val="00EA4FA4"/>
    <w:rsid w:val="00EB31AD"/>
    <w:rsid w:val="00F340EC"/>
    <w:rsid w:val="00F74223"/>
    <w:rsid w:val="00F965FF"/>
    <w:rsid w:val="00FC2FC4"/>
    <w:rsid w:val="00FD7050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E2467"/>
  <w15:docId w15:val="{3981916F-6390-483F-B309-8431E2F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CF1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F2F"/>
  </w:style>
  <w:style w:type="paragraph" w:styleId="Footer">
    <w:name w:val="footer"/>
    <w:basedOn w:val="Normal"/>
    <w:link w:val="FooterChar"/>
    <w:uiPriority w:val="99"/>
    <w:unhideWhenUsed/>
    <w:locked/>
    <w:rsid w:val="00CF1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F2F"/>
  </w:style>
  <w:style w:type="paragraph" w:styleId="NoSpacing">
    <w:name w:val="No Spacing"/>
    <w:uiPriority w:val="1"/>
    <w:qFormat/>
    <w:rsid w:val="00CF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BODYTEXT">
    <w:name w:val="FR-BODY TEXT"/>
    <w:basedOn w:val="Normal"/>
    <w:link w:val="FR-BODYTEXTChar"/>
    <w:rsid w:val="00CF1F2F"/>
    <w:pPr>
      <w:spacing w:after="240"/>
      <w:jc w:val="both"/>
    </w:pPr>
    <w:rPr>
      <w:rFonts w:ascii="Calibri" w:hAnsi="Calibri" w:cs="Calibri"/>
      <w:sz w:val="22"/>
      <w:szCs w:val="22"/>
    </w:rPr>
  </w:style>
  <w:style w:type="paragraph" w:customStyle="1" w:styleId="FR-Heading1">
    <w:name w:val="FR-Heading 1"/>
    <w:basedOn w:val="Normal"/>
    <w:next w:val="FR-BODYTEXT"/>
    <w:rsid w:val="00CF1F2F"/>
    <w:pPr>
      <w:keepNext/>
      <w:keepLines/>
      <w:numPr>
        <w:numId w:val="3"/>
      </w:numPr>
      <w:spacing w:after="60"/>
      <w:jc w:val="both"/>
    </w:pPr>
    <w:rPr>
      <w:rFonts w:ascii="Calibri" w:hAnsi="Calibri" w:cs="Calibri"/>
      <w:sz w:val="22"/>
      <w:szCs w:val="22"/>
    </w:rPr>
  </w:style>
  <w:style w:type="paragraph" w:customStyle="1" w:styleId="FR-Heading2">
    <w:name w:val="FR-Heading 2"/>
    <w:basedOn w:val="Normal"/>
    <w:next w:val="FR-BODYTEXT"/>
    <w:rsid w:val="00CF1F2F"/>
    <w:pPr>
      <w:numPr>
        <w:ilvl w:val="1"/>
        <w:numId w:val="3"/>
      </w:numPr>
      <w:spacing w:after="240"/>
    </w:pPr>
    <w:rPr>
      <w:rFonts w:ascii="Calibri" w:hAnsi="Calibri"/>
      <w:sz w:val="22"/>
      <w:u w:val="single"/>
    </w:rPr>
  </w:style>
  <w:style w:type="paragraph" w:customStyle="1" w:styleId="FR-LISTBULLET">
    <w:name w:val="FR-LIST BULLET"/>
    <w:basedOn w:val="Normal"/>
    <w:rsid w:val="00CF1F2F"/>
    <w:pPr>
      <w:numPr>
        <w:numId w:val="1"/>
      </w:numPr>
      <w:jc w:val="both"/>
    </w:pPr>
    <w:rPr>
      <w:rFonts w:ascii="Calibri" w:hAnsi="Calibri" w:cs="Calibri"/>
      <w:sz w:val="22"/>
      <w:szCs w:val="22"/>
    </w:rPr>
  </w:style>
  <w:style w:type="paragraph" w:customStyle="1" w:styleId="FR-LISTCHECKMARK">
    <w:name w:val="FR-LIST CHECKMARK"/>
    <w:basedOn w:val="NoSpacing"/>
    <w:rsid w:val="00CF1F2F"/>
    <w:pPr>
      <w:numPr>
        <w:numId w:val="2"/>
      </w:numPr>
    </w:pPr>
    <w:rPr>
      <w:rFonts w:ascii="Calibri" w:hAnsi="Calibri" w:cs="Calibri"/>
      <w:sz w:val="22"/>
      <w:szCs w:val="22"/>
    </w:rPr>
  </w:style>
  <w:style w:type="character" w:customStyle="1" w:styleId="FR-BODYTEXTChar">
    <w:name w:val="FR-BODY TEXT Char"/>
    <w:link w:val="FR-BODYTEXT"/>
    <w:rsid w:val="00CF1F2F"/>
    <w:rPr>
      <w:rFonts w:ascii="Calibri" w:eastAsia="Times New Roman" w:hAnsi="Calibri" w:cs="Calibri"/>
    </w:rPr>
  </w:style>
  <w:style w:type="paragraph" w:styleId="Caption">
    <w:name w:val="caption"/>
    <w:basedOn w:val="Normal"/>
    <w:next w:val="Normal"/>
    <w:qFormat/>
    <w:rsid w:val="00CF1F2F"/>
    <w:rPr>
      <w:i/>
      <w:sz w:val="16"/>
    </w:rPr>
  </w:style>
  <w:style w:type="character" w:styleId="Hyperlink">
    <w:name w:val="Hyperlink"/>
    <w:basedOn w:val="DefaultParagraphFont"/>
    <w:uiPriority w:val="99"/>
    <w:unhideWhenUsed/>
    <w:rsid w:val="00706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6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ientServices@sca-apprais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4188-802A-4708-9A5B-037A7483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Warner</dc:creator>
  <cp:lastModifiedBy>SCA-Phil</cp:lastModifiedBy>
  <cp:revision>2</cp:revision>
  <cp:lastPrinted>2014-11-18T19:54:00Z</cp:lastPrinted>
  <dcterms:created xsi:type="dcterms:W3CDTF">2020-06-26T18:44:00Z</dcterms:created>
  <dcterms:modified xsi:type="dcterms:W3CDTF">2020-06-26T18:44:00Z</dcterms:modified>
</cp:coreProperties>
</file>