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3ABFF" w14:textId="77777777" w:rsidR="004B3718" w:rsidRPr="004B3718" w:rsidRDefault="004B3718" w:rsidP="004B3718">
      <w:pPr>
        <w:rPr>
          <w:rFonts w:ascii="Times New Roman" w:hAnsi="Times New Roman" w:cs="Times New Roman"/>
          <w:b/>
          <w:bCs/>
          <w:sz w:val="36"/>
          <w:szCs w:val="36"/>
        </w:rPr>
      </w:pPr>
      <w:bookmarkStart w:id="0" w:name="_Hlk142393966"/>
      <w:proofErr w:type="spellStart"/>
      <w:r w:rsidRPr="004B3718">
        <w:rPr>
          <w:rFonts w:ascii="Times New Roman" w:hAnsi="Times New Roman" w:cs="Times New Roman"/>
          <w:b/>
          <w:bCs/>
          <w:sz w:val="36"/>
          <w:szCs w:val="36"/>
        </w:rPr>
        <w:t>CanariaBio</w:t>
      </w:r>
      <w:proofErr w:type="spellEnd"/>
      <w:r w:rsidRPr="004B3718">
        <w:rPr>
          <w:rFonts w:ascii="Times New Roman" w:hAnsi="Times New Roman" w:cs="Times New Roman"/>
          <w:b/>
          <w:bCs/>
          <w:sz w:val="36"/>
          <w:szCs w:val="36"/>
        </w:rPr>
        <w:t xml:space="preserve"> Announces Enrollment Completion of Phase 2 study of Oregovomab in combination with Niraparib in the treatment of recurrent Ovarian Cancer</w:t>
      </w:r>
    </w:p>
    <w:p w14:paraId="1FEA3DCA" w14:textId="77777777" w:rsidR="004B3718" w:rsidRPr="004B3718" w:rsidRDefault="004B3718" w:rsidP="004B3718">
      <w:pPr>
        <w:rPr>
          <w:rFonts w:ascii="Times New Roman" w:hAnsi="Times New Roman" w:cs="Times New Roman"/>
          <w:sz w:val="24"/>
          <w:szCs w:val="24"/>
        </w:rPr>
      </w:pPr>
    </w:p>
    <w:p w14:paraId="7851344A" w14:textId="77777777" w:rsidR="004B3718" w:rsidRPr="004B3718" w:rsidRDefault="004B3718" w:rsidP="004B3718">
      <w:pPr>
        <w:rPr>
          <w:rFonts w:ascii="Times New Roman" w:hAnsi="Times New Roman" w:cs="Times New Roman"/>
          <w:sz w:val="24"/>
          <w:szCs w:val="24"/>
        </w:rPr>
      </w:pPr>
      <w:proofErr w:type="spellStart"/>
      <w:r w:rsidRPr="004B3718">
        <w:rPr>
          <w:rFonts w:ascii="Times New Roman" w:hAnsi="Times New Roman" w:cs="Times New Roman"/>
          <w:sz w:val="24"/>
          <w:szCs w:val="24"/>
        </w:rPr>
        <w:t>CanariaBio</w:t>
      </w:r>
      <w:proofErr w:type="spellEnd"/>
      <w:r w:rsidRPr="004B3718">
        <w:rPr>
          <w:rFonts w:ascii="Times New Roman" w:hAnsi="Times New Roman" w:cs="Times New Roman"/>
          <w:sz w:val="24"/>
          <w:szCs w:val="24"/>
        </w:rPr>
        <w:t xml:space="preserve">, a KOSDAQ-listed and a leading late-stage biotechnology company, announces the successful enrolment completion of a Phase 2 study of oregovomab in combination with niraparib (ZEJULA)ZEJULA () for treatment of patients with platinum sensitive recurrent ovarian cancer. </w:t>
      </w:r>
    </w:p>
    <w:p w14:paraId="5E4FE6C7" w14:textId="77777777" w:rsidR="004B3718" w:rsidRPr="004B3718" w:rsidRDefault="004B3718" w:rsidP="004B3718">
      <w:pPr>
        <w:rPr>
          <w:rFonts w:ascii="Times New Roman" w:hAnsi="Times New Roman" w:cs="Times New Roman"/>
          <w:sz w:val="24"/>
          <w:szCs w:val="24"/>
        </w:rPr>
      </w:pPr>
      <w:r w:rsidRPr="004B3718">
        <w:rPr>
          <w:rFonts w:ascii="Times New Roman" w:hAnsi="Times New Roman" w:cs="Times New Roman"/>
          <w:sz w:val="24"/>
          <w:szCs w:val="24"/>
        </w:rPr>
        <w:t xml:space="preserve">This trial, known as FLORA-4 (NCT05335993) is being conducted in collaboration with GSK. The study will assess the immunological and clinical activity, early humoral response, and disease control rate of concomitant oregovomab and daily oral niraparib. This will be a preliminary investigation of the interaction of indirect immunization with oregovomab and concomitant niraparib therapy and the immune modulatory effects associated with PARP inhibition. The key aim of the study is to explore if a non-chemotherapy combination of oregovomab and niraparib would potentially extend the platinum free remission period which is known to have </w:t>
      </w:r>
      <w:proofErr w:type="gramStart"/>
      <w:r w:rsidRPr="004B3718">
        <w:rPr>
          <w:rFonts w:ascii="Times New Roman" w:hAnsi="Times New Roman" w:cs="Times New Roman"/>
          <w:sz w:val="24"/>
          <w:szCs w:val="24"/>
        </w:rPr>
        <w:t>an</w:t>
      </w:r>
      <w:proofErr w:type="gramEnd"/>
      <w:r w:rsidRPr="004B3718">
        <w:rPr>
          <w:rFonts w:ascii="Times New Roman" w:hAnsi="Times New Roman" w:cs="Times New Roman"/>
          <w:sz w:val="24"/>
          <w:szCs w:val="24"/>
        </w:rPr>
        <w:t xml:space="preserve"> favorable impact on subsequent treatment with platinum based combination chemotherapy.</w:t>
      </w:r>
    </w:p>
    <w:p w14:paraId="3A554FB6" w14:textId="77777777" w:rsidR="004B3718" w:rsidRPr="004B3718" w:rsidRDefault="004B3718" w:rsidP="004B3718">
      <w:pPr>
        <w:rPr>
          <w:rFonts w:ascii="Times New Roman" w:hAnsi="Times New Roman" w:cs="Times New Roman"/>
          <w:sz w:val="24"/>
          <w:szCs w:val="24"/>
        </w:rPr>
      </w:pPr>
      <w:r w:rsidRPr="004B3718">
        <w:rPr>
          <w:rFonts w:ascii="Times New Roman" w:hAnsi="Times New Roman" w:cs="Times New Roman"/>
          <w:sz w:val="24"/>
          <w:szCs w:val="24"/>
        </w:rPr>
        <w:t xml:space="preserve">Ovarian cancer is known for its high recurrence rate. In this difficult landscape, 'Oregovomab' has the potential of emerging as a promising immunotherapeutic agent. Through rigorous Phase II clinical trials, 'oregovomab' has not only demonstrated its safety profile but also showcased remarkable results by extending PFS by approximately 30 months when combined with chemotherapy, compared to conventional chemotherapy alone. </w:t>
      </w:r>
    </w:p>
    <w:p w14:paraId="75DFD6C6" w14:textId="77777777" w:rsidR="004B3718" w:rsidRPr="004B3718" w:rsidRDefault="004B3718" w:rsidP="004B3718">
      <w:pPr>
        <w:rPr>
          <w:rFonts w:ascii="Times New Roman" w:hAnsi="Times New Roman" w:cs="Times New Roman"/>
          <w:b/>
          <w:bCs/>
          <w:sz w:val="24"/>
          <w:szCs w:val="24"/>
        </w:rPr>
      </w:pPr>
      <w:r w:rsidRPr="004B3718">
        <w:rPr>
          <w:rFonts w:ascii="Times New Roman" w:hAnsi="Times New Roman" w:cs="Times New Roman"/>
          <w:b/>
          <w:bCs/>
          <w:sz w:val="24"/>
          <w:szCs w:val="24"/>
        </w:rPr>
        <w:t>About Oregovomab</w:t>
      </w:r>
    </w:p>
    <w:p w14:paraId="273F6C15" w14:textId="77777777" w:rsidR="004B3718" w:rsidRPr="004B3718" w:rsidRDefault="004B3718" w:rsidP="004B3718">
      <w:pPr>
        <w:rPr>
          <w:rFonts w:ascii="Times New Roman" w:hAnsi="Times New Roman" w:cs="Times New Roman"/>
          <w:sz w:val="24"/>
          <w:szCs w:val="24"/>
        </w:rPr>
      </w:pPr>
      <w:r w:rsidRPr="004B3718">
        <w:rPr>
          <w:rFonts w:ascii="Times New Roman" w:hAnsi="Times New Roman" w:cs="Times New Roman"/>
          <w:sz w:val="24"/>
          <w:szCs w:val="24"/>
        </w:rPr>
        <w:t xml:space="preserve">‘Oregovomab’ is a murine monoclonal antibody against CA 125, a biomarker commonly found in ovarian cancer. Indirect immunization with ‘oregovomab’ interacts with immune modulating properties of infused paclitaxel and carboplatin resulting in synergistic clinical benefits as observed in a Phase II trial.  In a randomized Phase II clinical trial of 97 patients, treatment with ‘oregovomab’ in combination with chemotherapy had demonstrated a highly statistically significant and clinically meaningful outcome for both progression-free and overall survival compared to standard of care chemotherapy (carboplatin and paclitaxel). The risk of progression and of death was reduced by more than 50% when compared to control arm, and safety data showed that ' oregovomab’ did not add incremental toxicity to the chemotherapy regimen. Clinical and translational results were published in </w:t>
      </w:r>
      <w:r w:rsidRPr="004B3718">
        <w:rPr>
          <w:rFonts w:ascii="Times New Roman" w:hAnsi="Times New Roman" w:cs="Times New Roman"/>
          <w:i/>
          <w:iCs/>
          <w:sz w:val="24"/>
          <w:szCs w:val="24"/>
        </w:rPr>
        <w:t>Gynecology Oncology (2020) 156:523-529</w:t>
      </w:r>
      <w:r w:rsidRPr="004B3718">
        <w:rPr>
          <w:rFonts w:ascii="Times New Roman" w:hAnsi="Times New Roman" w:cs="Times New Roman"/>
          <w:sz w:val="24"/>
          <w:szCs w:val="24"/>
        </w:rPr>
        <w:t xml:space="preserve"> and </w:t>
      </w:r>
      <w:r w:rsidRPr="004B3718">
        <w:rPr>
          <w:rFonts w:ascii="Times New Roman" w:hAnsi="Times New Roman" w:cs="Times New Roman"/>
          <w:i/>
          <w:iCs/>
          <w:sz w:val="24"/>
          <w:szCs w:val="24"/>
        </w:rPr>
        <w:t>Cancer Immunology and Immunotherapy (2020) 69: 383-397</w:t>
      </w:r>
      <w:r w:rsidRPr="004B3718">
        <w:rPr>
          <w:rFonts w:ascii="Times New Roman" w:hAnsi="Times New Roman" w:cs="Times New Roman"/>
          <w:sz w:val="24"/>
          <w:szCs w:val="24"/>
        </w:rPr>
        <w:t>, respectively.</w:t>
      </w:r>
    </w:p>
    <w:p w14:paraId="472228BC" w14:textId="77777777" w:rsidR="004B3718" w:rsidRPr="004B3718" w:rsidRDefault="004B3718" w:rsidP="004B3718">
      <w:pPr>
        <w:rPr>
          <w:rFonts w:ascii="Times New Roman" w:eastAsia="Calibri" w:hAnsi="Times New Roman" w:cs="Times New Roman"/>
          <w:color w:val="0A084A"/>
          <w:sz w:val="24"/>
          <w:szCs w:val="24"/>
        </w:rPr>
      </w:pPr>
    </w:p>
    <w:p w14:paraId="04819C9A" w14:textId="77777777" w:rsidR="004B3718" w:rsidRPr="004B3718" w:rsidRDefault="004B3718" w:rsidP="004B3718">
      <w:pPr>
        <w:rPr>
          <w:rFonts w:ascii="Times New Roman" w:hAnsi="Times New Roman" w:cs="Times New Roman"/>
          <w:b/>
          <w:bCs/>
          <w:sz w:val="24"/>
          <w:szCs w:val="24"/>
        </w:rPr>
      </w:pPr>
      <w:r w:rsidRPr="004B3718">
        <w:rPr>
          <w:rFonts w:ascii="Times New Roman" w:hAnsi="Times New Roman" w:cs="Times New Roman"/>
          <w:b/>
          <w:bCs/>
          <w:sz w:val="24"/>
          <w:szCs w:val="24"/>
        </w:rPr>
        <w:t xml:space="preserve">About </w:t>
      </w:r>
      <w:proofErr w:type="spellStart"/>
      <w:r w:rsidRPr="004B3718">
        <w:rPr>
          <w:rFonts w:ascii="Times New Roman" w:hAnsi="Times New Roman" w:cs="Times New Roman"/>
          <w:b/>
          <w:bCs/>
          <w:sz w:val="24"/>
          <w:szCs w:val="24"/>
        </w:rPr>
        <w:t>CanariaBio</w:t>
      </w:r>
      <w:proofErr w:type="spellEnd"/>
      <w:r w:rsidRPr="004B3718">
        <w:rPr>
          <w:rFonts w:ascii="Times New Roman" w:hAnsi="Times New Roman" w:cs="Times New Roman"/>
          <w:b/>
          <w:bCs/>
          <w:sz w:val="24"/>
          <w:szCs w:val="24"/>
        </w:rPr>
        <w:t xml:space="preserve"> Inc.</w:t>
      </w:r>
    </w:p>
    <w:p w14:paraId="7B616D6C" w14:textId="77777777" w:rsidR="004B3718" w:rsidRPr="004B3718" w:rsidRDefault="004B3718" w:rsidP="004B3718">
      <w:pPr>
        <w:rPr>
          <w:rFonts w:ascii="Times New Roman" w:hAnsi="Times New Roman" w:cs="Times New Roman"/>
          <w:sz w:val="24"/>
          <w:szCs w:val="24"/>
        </w:rPr>
      </w:pPr>
      <w:proofErr w:type="spellStart"/>
      <w:r w:rsidRPr="004B3718">
        <w:rPr>
          <w:rFonts w:ascii="Times New Roman" w:hAnsi="Times New Roman" w:cs="Times New Roman"/>
          <w:sz w:val="24"/>
          <w:szCs w:val="24"/>
        </w:rPr>
        <w:t>CanariaBio</w:t>
      </w:r>
      <w:proofErr w:type="spellEnd"/>
      <w:r w:rsidRPr="004B3718">
        <w:rPr>
          <w:rFonts w:ascii="Times New Roman" w:hAnsi="Times New Roman" w:cs="Times New Roman"/>
          <w:sz w:val="24"/>
          <w:szCs w:val="24"/>
        </w:rPr>
        <w:t xml:space="preserve"> Inc. is a Korean biopharmaceutical company focused on the development and commercialization of immunotherapies for cancer. </w:t>
      </w:r>
      <w:proofErr w:type="spellStart"/>
      <w:r w:rsidRPr="004B3718">
        <w:rPr>
          <w:rFonts w:ascii="Times New Roman" w:hAnsi="Times New Roman" w:cs="Times New Roman"/>
          <w:sz w:val="24"/>
          <w:szCs w:val="24"/>
        </w:rPr>
        <w:t>CanariaBio's</w:t>
      </w:r>
      <w:proofErr w:type="spellEnd"/>
      <w:r w:rsidRPr="004B3718">
        <w:rPr>
          <w:rFonts w:ascii="Times New Roman" w:hAnsi="Times New Roman" w:cs="Times New Roman"/>
          <w:sz w:val="24"/>
          <w:szCs w:val="24"/>
        </w:rPr>
        <w:t xml:space="preserve"> technology platform includes a portfolio of tumor antigen specific monoclonal immunoglobulins targeting CA-125, MUC1, PSA and Her2/neu. The company is exploring the therapeutic potential of these antibodies as indirect immunizers in combination with other immune modulating drugs or drug combinations to address unmet medical needs in oncology.</w:t>
      </w:r>
    </w:p>
    <w:p w14:paraId="63AFD240" w14:textId="77777777" w:rsidR="004B3718" w:rsidRPr="004B3718" w:rsidRDefault="004B3718" w:rsidP="004B3718">
      <w:pPr>
        <w:rPr>
          <w:rFonts w:ascii="Times New Roman" w:hAnsi="Times New Roman" w:cs="Times New Roman"/>
          <w:sz w:val="24"/>
          <w:szCs w:val="24"/>
        </w:rPr>
      </w:pPr>
    </w:p>
    <w:p w14:paraId="6B21D191" w14:textId="77777777" w:rsidR="004B3718" w:rsidRPr="004B3718" w:rsidRDefault="004B3718" w:rsidP="004B3718">
      <w:pPr>
        <w:rPr>
          <w:rFonts w:ascii="Times New Roman" w:hAnsi="Times New Roman" w:cs="Times New Roman"/>
          <w:b/>
          <w:bCs/>
          <w:sz w:val="24"/>
          <w:szCs w:val="24"/>
        </w:rPr>
      </w:pPr>
      <w:r w:rsidRPr="004B3718">
        <w:rPr>
          <w:rFonts w:ascii="Times New Roman" w:hAnsi="Times New Roman" w:cs="Times New Roman"/>
          <w:b/>
          <w:bCs/>
          <w:sz w:val="24"/>
          <w:szCs w:val="24"/>
        </w:rPr>
        <w:t>Forward Looking Statements</w:t>
      </w:r>
    </w:p>
    <w:p w14:paraId="0B718C3C" w14:textId="77777777" w:rsidR="004B3718" w:rsidRPr="004B3718" w:rsidRDefault="004B3718" w:rsidP="004B3718">
      <w:pPr>
        <w:rPr>
          <w:rFonts w:ascii="Times New Roman" w:hAnsi="Times New Roman" w:cs="Times New Roman"/>
          <w:sz w:val="24"/>
          <w:szCs w:val="24"/>
        </w:rPr>
      </w:pPr>
      <w:r w:rsidRPr="004B3718">
        <w:rPr>
          <w:rFonts w:ascii="Times New Roman" w:hAnsi="Times New Roman" w:cs="Times New Roman"/>
          <w:sz w:val="24"/>
          <w:szCs w:val="24"/>
        </w:rPr>
        <w:t xml:space="preserve">This press release includes forward-looking statements. In some cases, forward-looking statements can be identified by terminology such as "may," "should," "potential," "continue," "expects," "anticipates," "intends," "plans," "believes," "estimates," and similar expressions. These statements are based on </w:t>
      </w:r>
      <w:r w:rsidRPr="004B3718">
        <w:rPr>
          <w:rFonts w:ascii="Times New Roman" w:hAnsi="Times New Roman" w:cs="Times New Roman"/>
          <w:sz w:val="24"/>
          <w:szCs w:val="24"/>
        </w:rPr>
        <w:lastRenderedPageBreak/>
        <w:t xml:space="preserve">management's expectations and assumptions as of the date of this press release and are subject to </w:t>
      </w:r>
      <w:proofErr w:type="gramStart"/>
      <w:r w:rsidRPr="004B3718">
        <w:rPr>
          <w:rFonts w:ascii="Times New Roman" w:hAnsi="Times New Roman" w:cs="Times New Roman"/>
          <w:sz w:val="24"/>
          <w:szCs w:val="24"/>
        </w:rPr>
        <w:t>a number of</w:t>
      </w:r>
      <w:proofErr w:type="gramEnd"/>
      <w:r w:rsidRPr="004B3718">
        <w:rPr>
          <w:rFonts w:ascii="Times New Roman" w:hAnsi="Times New Roman" w:cs="Times New Roman"/>
          <w:sz w:val="24"/>
          <w:szCs w:val="24"/>
        </w:rPr>
        <w:t xml:space="preserve"> risks and uncertainties, many of which are difficult to predict that could cause actual results to differ materially from current expectations and assumptions from those set forth or implied by any forward-looking statements. The information in this release is provided only as of the date of this release and the company undertakes no obligation to update any forward-looking statements contained in this release based on new information, future events, or otherwise, except as required by law.</w:t>
      </w:r>
    </w:p>
    <w:bookmarkEnd w:id="0"/>
    <w:p w14:paraId="1E1D8449" w14:textId="77777777" w:rsidR="004B3718" w:rsidRDefault="004B3718" w:rsidP="004B3718"/>
    <w:p w14:paraId="26F4602B" w14:textId="77777777" w:rsidR="00000000" w:rsidRPr="004B3718" w:rsidRDefault="00000000"/>
    <w:sectPr w:rsidR="00931929" w:rsidRPr="004B3718" w:rsidSect="00CB39FB">
      <w:pgSz w:w="11909" w:h="16834"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718"/>
    <w:rsid w:val="00276730"/>
    <w:rsid w:val="004B3718"/>
    <w:rsid w:val="00AE14E8"/>
    <w:rsid w:val="00B576A5"/>
    <w:rsid w:val="00C25B7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19EE8"/>
  <w15:chartTrackingRefBased/>
  <w15:docId w15:val="{387143E6-EC8F-40F0-BC39-9015470C6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3718"/>
    <w:pPr>
      <w:jc w:val="left"/>
    </w:pPr>
    <w:rPr>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605</Words>
  <Characters>3451</Characters>
  <Application>Microsoft Office Word</Application>
  <DocSecurity>0</DocSecurity>
  <Lines>28</Lines>
  <Paragraphs>8</Paragraphs>
  <ScaleCrop>false</ScaleCrop>
  <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Jacquelyn Choi (최다정)</dc:creator>
  <cp:keywords/>
  <dc:description/>
  <cp:lastModifiedBy>Jacquelyn Choi (최다정)</cp:lastModifiedBy>
  <cp:revision>1</cp:revision>
  <dcterms:created xsi:type="dcterms:W3CDTF">2023-08-08T04:32:00Z</dcterms:created>
  <dcterms:modified xsi:type="dcterms:W3CDTF">2023-08-08T04:33:00Z</dcterms:modified>
</cp:coreProperties>
</file>