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694BF" w14:textId="77777777" w:rsidR="000348DE" w:rsidRPr="00F354C6" w:rsidRDefault="000348DE" w:rsidP="00212DAF">
      <w:pPr>
        <w:widowControl w:val="0"/>
        <w:jc w:val="both"/>
        <w:rPr>
          <w:rFonts w:asciiTheme="majorHAnsi" w:hAnsiTheme="majorHAnsi" w:cstheme="majorHAnsi"/>
          <w:sz w:val="20"/>
          <w:szCs w:val="20"/>
        </w:rPr>
      </w:pPr>
    </w:p>
    <w:p w14:paraId="3395A18B" w14:textId="77777777" w:rsidR="000348DE" w:rsidRPr="00F354C6" w:rsidRDefault="00212DAF" w:rsidP="00212DAF">
      <w:pPr>
        <w:widowControl w:val="0"/>
        <w:spacing w:line="240" w:lineRule="auto"/>
        <w:ind w:right="21"/>
        <w:jc w:val="center"/>
        <w:rPr>
          <w:rFonts w:asciiTheme="majorHAnsi" w:hAnsiTheme="majorHAnsi" w:cstheme="majorHAnsi"/>
          <w:b/>
          <w:sz w:val="20"/>
          <w:szCs w:val="20"/>
        </w:rPr>
      </w:pPr>
      <w:r w:rsidRPr="00F354C6">
        <w:rPr>
          <w:rFonts w:asciiTheme="majorHAnsi" w:hAnsiTheme="majorHAnsi" w:cstheme="majorHAnsi"/>
          <w:b/>
          <w:noProof/>
          <w:sz w:val="20"/>
          <w:szCs w:val="20"/>
        </w:rPr>
        <w:drawing>
          <wp:inline distT="0" distB="0" distL="0" distR="0" wp14:anchorId="216F3121" wp14:editId="565C4C29">
            <wp:extent cx="1918800" cy="1782000"/>
            <wp:effectExtent l="0" t="0" r="5715" b="8890"/>
            <wp:docPr id="177259941" name="Picture 1" descr="A blue griffin with a tail and w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59941" name="Picture 1" descr="A blue griffin with a tail and wing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18800" cy="1782000"/>
                    </a:xfrm>
                    <a:prstGeom prst="rect">
                      <a:avLst/>
                    </a:prstGeom>
                  </pic:spPr>
                </pic:pic>
              </a:graphicData>
            </a:graphic>
          </wp:inline>
        </w:drawing>
      </w:r>
    </w:p>
    <w:p w14:paraId="06060147" w14:textId="77777777" w:rsidR="00212DAF" w:rsidRPr="00F354C6" w:rsidRDefault="00212DAF" w:rsidP="00212DAF">
      <w:pPr>
        <w:widowControl w:val="0"/>
        <w:spacing w:line="240" w:lineRule="auto"/>
        <w:ind w:right="21"/>
        <w:rPr>
          <w:rFonts w:asciiTheme="majorHAnsi" w:hAnsiTheme="majorHAnsi" w:cstheme="majorHAnsi"/>
          <w:b/>
          <w:sz w:val="20"/>
          <w:szCs w:val="20"/>
        </w:rPr>
      </w:pPr>
    </w:p>
    <w:p w14:paraId="678694C1" w14:textId="6E8FE5C9" w:rsidR="00212DAF" w:rsidRPr="00F354C6" w:rsidRDefault="00212DAF" w:rsidP="00212DAF">
      <w:pPr>
        <w:widowControl w:val="0"/>
        <w:spacing w:line="240" w:lineRule="auto"/>
        <w:ind w:right="21"/>
        <w:rPr>
          <w:rFonts w:asciiTheme="majorHAnsi" w:hAnsiTheme="majorHAnsi" w:cstheme="majorHAnsi"/>
          <w:b/>
          <w:sz w:val="20"/>
          <w:szCs w:val="20"/>
        </w:rPr>
        <w:sectPr w:rsidR="00212DAF" w:rsidRPr="00F354C6" w:rsidSect="00742E22">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pgNumType w:start="1"/>
          <w:cols w:space="720"/>
        </w:sectPr>
      </w:pPr>
    </w:p>
    <w:p w14:paraId="72CFD200" w14:textId="0589C970" w:rsidR="00693589" w:rsidRDefault="008A5FB9" w:rsidP="00BA6143">
      <w:pPr>
        <w:pStyle w:val="NormalWeb"/>
        <w:spacing w:before="0" w:beforeAutospacing="0" w:after="0" w:afterAutospacing="0"/>
        <w:jc w:val="both"/>
        <w:rPr>
          <w:rFonts w:asciiTheme="majorHAnsi" w:hAnsiTheme="majorHAnsi" w:cstheme="majorHAnsi"/>
          <w:b/>
          <w:color w:val="1D2228"/>
          <w:sz w:val="32"/>
          <w:szCs w:val="32"/>
          <w:lang w:val="en" w:eastAsia="en-US"/>
        </w:rPr>
      </w:pPr>
      <w:r w:rsidRPr="008A5FB9">
        <w:rPr>
          <w:rFonts w:asciiTheme="majorHAnsi" w:hAnsiTheme="majorHAnsi" w:cstheme="majorHAnsi"/>
          <w:b/>
          <w:color w:val="1D2228"/>
          <w:sz w:val="32"/>
          <w:szCs w:val="32"/>
          <w:lang w:val="en" w:eastAsia="en-US"/>
        </w:rPr>
        <w:t xml:space="preserve">Gryphon Digital Mining Announces </w:t>
      </w:r>
      <w:r w:rsidR="001E3758">
        <w:rPr>
          <w:rFonts w:asciiTheme="majorHAnsi" w:hAnsiTheme="majorHAnsi" w:cstheme="majorHAnsi"/>
          <w:b/>
          <w:color w:val="1D2228"/>
          <w:sz w:val="32"/>
          <w:szCs w:val="32"/>
          <w:lang w:val="en" w:eastAsia="en-US"/>
        </w:rPr>
        <w:t xml:space="preserve">Non-Brokered </w:t>
      </w:r>
      <w:r w:rsidRPr="008A5FB9">
        <w:rPr>
          <w:rFonts w:asciiTheme="majorHAnsi" w:hAnsiTheme="majorHAnsi" w:cstheme="majorHAnsi"/>
          <w:b/>
          <w:color w:val="1D2228"/>
          <w:sz w:val="32"/>
          <w:szCs w:val="32"/>
          <w:lang w:val="en" w:eastAsia="en-US"/>
        </w:rPr>
        <w:t>$2.8</w:t>
      </w:r>
      <w:r w:rsidR="007259A1">
        <w:rPr>
          <w:rFonts w:asciiTheme="majorHAnsi" w:hAnsiTheme="majorHAnsi" w:cstheme="majorHAnsi"/>
          <w:b/>
          <w:color w:val="1D2228"/>
          <w:sz w:val="32"/>
          <w:szCs w:val="32"/>
          <w:lang w:val="en" w:eastAsia="en-US"/>
        </w:rPr>
        <w:t>5</w:t>
      </w:r>
      <w:r w:rsidRPr="008A5FB9">
        <w:rPr>
          <w:rFonts w:asciiTheme="majorHAnsi" w:hAnsiTheme="majorHAnsi" w:cstheme="majorHAnsi"/>
          <w:b/>
          <w:color w:val="1D2228"/>
          <w:sz w:val="32"/>
          <w:szCs w:val="32"/>
          <w:lang w:val="en" w:eastAsia="en-US"/>
        </w:rPr>
        <w:t xml:space="preserve"> Million </w:t>
      </w:r>
      <w:r w:rsidR="00DE318E">
        <w:rPr>
          <w:rFonts w:asciiTheme="majorHAnsi" w:hAnsiTheme="majorHAnsi" w:cstheme="majorHAnsi"/>
          <w:b/>
          <w:color w:val="1D2228"/>
          <w:sz w:val="32"/>
          <w:szCs w:val="32"/>
          <w:lang w:val="en" w:eastAsia="en-US"/>
        </w:rPr>
        <w:t>Offering</w:t>
      </w:r>
      <w:r w:rsidRPr="008A5FB9">
        <w:rPr>
          <w:rFonts w:asciiTheme="majorHAnsi" w:hAnsiTheme="majorHAnsi" w:cstheme="majorHAnsi"/>
          <w:b/>
          <w:color w:val="1D2228"/>
          <w:sz w:val="32"/>
          <w:szCs w:val="32"/>
          <w:lang w:val="en" w:eastAsia="en-US"/>
        </w:rPr>
        <w:t xml:space="preserve"> With 100% Management and Majority Board Participation</w:t>
      </w:r>
    </w:p>
    <w:p w14:paraId="6C98FA49" w14:textId="77777777" w:rsidR="008A5FB9" w:rsidRDefault="008A5FB9" w:rsidP="00BA6143">
      <w:pPr>
        <w:pStyle w:val="NormalWeb"/>
        <w:spacing w:before="0" w:beforeAutospacing="0" w:after="0" w:afterAutospacing="0"/>
        <w:jc w:val="both"/>
        <w:rPr>
          <w:rFonts w:asciiTheme="majorHAnsi" w:hAnsiTheme="majorHAnsi" w:cstheme="majorHAnsi"/>
          <w:bCs/>
          <w:i/>
          <w:iCs/>
          <w:sz w:val="28"/>
          <w:szCs w:val="28"/>
        </w:rPr>
      </w:pPr>
    </w:p>
    <w:p w14:paraId="20674DFA" w14:textId="66E3E9AF" w:rsidR="008A5FB9" w:rsidRDefault="00C16185" w:rsidP="008A5FB9">
      <w:pPr>
        <w:pStyle w:val="NormalWeb"/>
        <w:spacing w:before="0" w:beforeAutospacing="0" w:after="0" w:afterAutospacing="0"/>
        <w:jc w:val="both"/>
        <w:rPr>
          <w:rFonts w:asciiTheme="majorHAnsi" w:hAnsiTheme="majorHAnsi" w:cstheme="majorHAnsi"/>
          <w:color w:val="374151"/>
          <w:sz w:val="20"/>
          <w:szCs w:val="20"/>
        </w:rPr>
      </w:pPr>
      <w:r w:rsidRPr="00F354C6">
        <w:rPr>
          <w:rFonts w:asciiTheme="majorHAnsi" w:hAnsiTheme="majorHAnsi" w:cstheme="majorHAnsi"/>
          <w:b/>
          <w:sz w:val="20"/>
          <w:szCs w:val="20"/>
        </w:rPr>
        <w:t xml:space="preserve">Las Vegas, NV — </w:t>
      </w:r>
      <w:r w:rsidR="005C2168">
        <w:rPr>
          <w:rFonts w:asciiTheme="majorHAnsi" w:hAnsiTheme="majorHAnsi" w:cstheme="majorHAnsi"/>
          <w:b/>
          <w:sz w:val="20"/>
          <w:szCs w:val="20"/>
        </w:rPr>
        <w:t xml:space="preserve">January </w:t>
      </w:r>
      <w:r w:rsidR="00A638E9">
        <w:rPr>
          <w:rFonts w:asciiTheme="majorHAnsi" w:hAnsiTheme="majorHAnsi" w:cstheme="majorHAnsi"/>
          <w:b/>
          <w:sz w:val="20"/>
          <w:szCs w:val="20"/>
        </w:rPr>
        <w:t>10</w:t>
      </w:r>
      <w:r w:rsidRPr="00F354C6">
        <w:rPr>
          <w:rFonts w:asciiTheme="majorHAnsi" w:hAnsiTheme="majorHAnsi" w:cstheme="majorHAnsi"/>
          <w:b/>
          <w:sz w:val="20"/>
          <w:szCs w:val="20"/>
        </w:rPr>
        <w:t>, 202</w:t>
      </w:r>
      <w:r w:rsidR="005C2168">
        <w:rPr>
          <w:rFonts w:asciiTheme="majorHAnsi" w:hAnsiTheme="majorHAnsi" w:cstheme="majorHAnsi"/>
          <w:b/>
          <w:sz w:val="20"/>
          <w:szCs w:val="20"/>
        </w:rPr>
        <w:t>5</w:t>
      </w:r>
      <w:r w:rsidR="00355436" w:rsidRPr="00F354C6">
        <w:rPr>
          <w:rFonts w:asciiTheme="majorHAnsi" w:hAnsiTheme="majorHAnsi" w:cstheme="majorHAnsi"/>
          <w:b/>
          <w:sz w:val="20"/>
          <w:szCs w:val="20"/>
        </w:rPr>
        <w:t xml:space="preserve"> </w:t>
      </w:r>
      <w:r w:rsidR="00377D99">
        <w:rPr>
          <w:rFonts w:asciiTheme="majorHAnsi" w:hAnsiTheme="majorHAnsi" w:cstheme="majorHAnsi"/>
          <w:b/>
          <w:sz w:val="20"/>
          <w:szCs w:val="20"/>
        </w:rPr>
        <w:t>–</w:t>
      </w:r>
      <w:r w:rsidRPr="00F354C6">
        <w:rPr>
          <w:rFonts w:asciiTheme="majorHAnsi" w:hAnsiTheme="majorHAnsi" w:cstheme="majorHAnsi"/>
          <w:b/>
          <w:sz w:val="20"/>
          <w:szCs w:val="20"/>
        </w:rPr>
        <w:t xml:space="preserve"> </w:t>
      </w:r>
      <w:hyperlink r:id="rId16" w:history="1">
        <w:r w:rsidRPr="00F354C6">
          <w:rPr>
            <w:rStyle w:val="Hyperlink"/>
            <w:rFonts w:asciiTheme="majorHAnsi" w:hAnsiTheme="majorHAnsi" w:cstheme="majorHAnsi"/>
            <w:sz w:val="20"/>
            <w:szCs w:val="20"/>
          </w:rPr>
          <w:t>Gryphon Digital Mining</w:t>
        </w:r>
      </w:hyperlink>
      <w:r w:rsidR="00264C1F">
        <w:rPr>
          <w:rStyle w:val="Hyperlink"/>
          <w:rFonts w:asciiTheme="majorHAnsi" w:hAnsiTheme="majorHAnsi" w:cstheme="majorHAnsi"/>
          <w:sz w:val="20"/>
          <w:szCs w:val="20"/>
        </w:rPr>
        <w:t>,</w:t>
      </w:r>
      <w:r w:rsidR="00A924C5">
        <w:rPr>
          <w:rStyle w:val="Hyperlink"/>
          <w:rFonts w:asciiTheme="majorHAnsi" w:hAnsiTheme="majorHAnsi" w:cstheme="majorHAnsi"/>
          <w:sz w:val="20"/>
          <w:szCs w:val="20"/>
        </w:rPr>
        <w:t xml:space="preserve"> Inc.</w:t>
      </w:r>
      <w:r w:rsidR="00264C1F">
        <w:rPr>
          <w:rStyle w:val="Hyperlink"/>
          <w:rFonts w:asciiTheme="majorHAnsi" w:hAnsiTheme="majorHAnsi" w:cstheme="majorHAnsi"/>
          <w:sz w:val="20"/>
          <w:szCs w:val="20"/>
        </w:rPr>
        <w:t xml:space="preserve"> (Nasdaq: GRYP) </w:t>
      </w:r>
      <w:r w:rsidRPr="00F354C6">
        <w:rPr>
          <w:rFonts w:asciiTheme="majorHAnsi" w:hAnsiTheme="majorHAnsi" w:cstheme="majorHAnsi"/>
          <w:color w:val="374151"/>
          <w:sz w:val="20"/>
          <w:szCs w:val="20"/>
        </w:rPr>
        <w:t xml:space="preserve">(“Gryphon” or the “Company”), </w:t>
      </w:r>
      <w:r w:rsidR="002A0139" w:rsidRPr="002A0139">
        <w:rPr>
          <w:rFonts w:asciiTheme="majorHAnsi" w:hAnsiTheme="majorHAnsi" w:cstheme="majorHAnsi"/>
          <w:color w:val="374151"/>
          <w:sz w:val="20"/>
          <w:szCs w:val="20"/>
        </w:rPr>
        <w:t>an innovative venture in the bitcoin and AI space dedicated to helping bring digital assets to the market</w:t>
      </w:r>
      <w:r w:rsidR="008A5FB9">
        <w:rPr>
          <w:rFonts w:asciiTheme="majorHAnsi" w:hAnsiTheme="majorHAnsi" w:cstheme="majorHAnsi"/>
          <w:color w:val="374151"/>
          <w:sz w:val="20"/>
          <w:szCs w:val="20"/>
        </w:rPr>
        <w:t xml:space="preserve">, </w:t>
      </w:r>
      <w:r w:rsidR="008A5FB9" w:rsidRPr="008A5FB9">
        <w:rPr>
          <w:rFonts w:asciiTheme="majorHAnsi" w:hAnsiTheme="majorHAnsi" w:cstheme="majorHAnsi"/>
          <w:color w:val="374151"/>
          <w:sz w:val="20"/>
          <w:szCs w:val="20"/>
        </w:rPr>
        <w:t xml:space="preserve">today announced that it has </w:t>
      </w:r>
      <w:r w:rsidR="00DE318E">
        <w:rPr>
          <w:rFonts w:asciiTheme="majorHAnsi" w:hAnsiTheme="majorHAnsi" w:cstheme="majorHAnsi"/>
          <w:color w:val="374151"/>
          <w:sz w:val="20"/>
          <w:szCs w:val="20"/>
        </w:rPr>
        <w:t>signed</w:t>
      </w:r>
      <w:r w:rsidR="00DE318E" w:rsidRPr="008A5FB9">
        <w:rPr>
          <w:rFonts w:asciiTheme="majorHAnsi" w:hAnsiTheme="majorHAnsi" w:cstheme="majorHAnsi"/>
          <w:color w:val="374151"/>
          <w:sz w:val="20"/>
          <w:szCs w:val="20"/>
        </w:rPr>
        <w:t xml:space="preserve"> </w:t>
      </w:r>
      <w:r w:rsidR="008A5FB9" w:rsidRPr="008A5FB9">
        <w:rPr>
          <w:rFonts w:asciiTheme="majorHAnsi" w:hAnsiTheme="majorHAnsi" w:cstheme="majorHAnsi"/>
          <w:color w:val="374151"/>
          <w:sz w:val="20"/>
          <w:szCs w:val="20"/>
        </w:rPr>
        <w:t xml:space="preserve">a non-brokered </w:t>
      </w:r>
      <w:r w:rsidR="00DE318E">
        <w:rPr>
          <w:rFonts w:asciiTheme="majorHAnsi" w:hAnsiTheme="majorHAnsi" w:cstheme="majorHAnsi"/>
          <w:color w:val="374151"/>
          <w:sz w:val="20"/>
          <w:szCs w:val="20"/>
        </w:rPr>
        <w:t>offering</w:t>
      </w:r>
      <w:r w:rsidR="008A5FB9" w:rsidRPr="008A5FB9">
        <w:rPr>
          <w:rFonts w:asciiTheme="majorHAnsi" w:hAnsiTheme="majorHAnsi" w:cstheme="majorHAnsi"/>
          <w:color w:val="374151"/>
          <w:sz w:val="20"/>
          <w:szCs w:val="20"/>
        </w:rPr>
        <w:t xml:space="preserve"> of its common stock for total gross proceeds of approximately $2.8</w:t>
      </w:r>
      <w:r w:rsidR="007259A1">
        <w:rPr>
          <w:rFonts w:asciiTheme="majorHAnsi" w:hAnsiTheme="majorHAnsi" w:cstheme="majorHAnsi"/>
          <w:color w:val="374151"/>
          <w:sz w:val="20"/>
          <w:szCs w:val="20"/>
        </w:rPr>
        <w:t>5</w:t>
      </w:r>
      <w:r w:rsidR="008A5FB9" w:rsidRPr="008A5FB9">
        <w:rPr>
          <w:rFonts w:asciiTheme="majorHAnsi" w:hAnsiTheme="majorHAnsi" w:cstheme="majorHAnsi"/>
          <w:color w:val="374151"/>
          <w:sz w:val="20"/>
          <w:szCs w:val="20"/>
        </w:rPr>
        <w:t xml:space="preserve"> million. The </w:t>
      </w:r>
      <w:r w:rsidR="00DE318E">
        <w:rPr>
          <w:rFonts w:asciiTheme="majorHAnsi" w:hAnsiTheme="majorHAnsi" w:cstheme="majorHAnsi"/>
          <w:color w:val="374151"/>
          <w:sz w:val="20"/>
          <w:szCs w:val="20"/>
        </w:rPr>
        <w:t>offering</w:t>
      </w:r>
      <w:r w:rsidR="008A5FB9" w:rsidRPr="008A5FB9">
        <w:rPr>
          <w:rFonts w:asciiTheme="majorHAnsi" w:hAnsiTheme="majorHAnsi" w:cstheme="majorHAnsi"/>
          <w:color w:val="374151"/>
          <w:sz w:val="20"/>
          <w:szCs w:val="20"/>
        </w:rPr>
        <w:t xml:space="preserve"> saw 100% participation from the management team and a majority of the board members, demonstrating strong internal confidence in the Company's strategic direction.</w:t>
      </w:r>
    </w:p>
    <w:p w14:paraId="1908AF30" w14:textId="748B5E18" w:rsidR="008A5FB9" w:rsidRPr="008A5FB9" w:rsidRDefault="008A5FB9" w:rsidP="008A5FB9">
      <w:pPr>
        <w:pStyle w:val="NormalWeb"/>
        <w:jc w:val="both"/>
        <w:rPr>
          <w:rFonts w:asciiTheme="majorHAnsi" w:hAnsiTheme="majorHAnsi" w:cstheme="majorHAnsi"/>
          <w:color w:val="374151"/>
          <w:sz w:val="20"/>
          <w:szCs w:val="20"/>
        </w:rPr>
      </w:pPr>
      <w:r w:rsidRPr="008A5FB9">
        <w:rPr>
          <w:rFonts w:asciiTheme="majorHAnsi" w:hAnsiTheme="majorHAnsi" w:cstheme="majorHAnsi"/>
          <w:color w:val="374151"/>
          <w:sz w:val="20"/>
          <w:szCs w:val="20"/>
        </w:rPr>
        <w:t>The Company issued</w:t>
      </w:r>
      <w:r w:rsidR="00DE318E">
        <w:rPr>
          <w:rFonts w:asciiTheme="majorHAnsi" w:hAnsiTheme="majorHAnsi" w:cstheme="majorHAnsi"/>
          <w:color w:val="374151"/>
          <w:sz w:val="20"/>
          <w:szCs w:val="20"/>
        </w:rPr>
        <w:t xml:space="preserve"> third-party investors</w:t>
      </w:r>
      <w:r w:rsidRPr="008A5FB9">
        <w:rPr>
          <w:rFonts w:asciiTheme="majorHAnsi" w:hAnsiTheme="majorHAnsi" w:cstheme="majorHAnsi"/>
          <w:color w:val="374151"/>
          <w:sz w:val="20"/>
          <w:szCs w:val="20"/>
        </w:rPr>
        <w:t xml:space="preserve"> </w:t>
      </w:r>
      <w:r w:rsidR="007F7AA9">
        <w:rPr>
          <w:rFonts w:asciiTheme="majorHAnsi" w:hAnsiTheme="majorHAnsi" w:cstheme="majorHAnsi"/>
          <w:color w:val="374151"/>
          <w:sz w:val="20"/>
          <w:szCs w:val="20"/>
        </w:rPr>
        <w:t xml:space="preserve">approximately </w:t>
      </w:r>
      <w:r w:rsidR="007259A1">
        <w:rPr>
          <w:rFonts w:asciiTheme="majorHAnsi" w:hAnsiTheme="majorHAnsi" w:cstheme="majorHAnsi"/>
          <w:color w:val="374151"/>
          <w:sz w:val="20"/>
          <w:szCs w:val="20"/>
        </w:rPr>
        <w:t>6.3</w:t>
      </w:r>
      <w:r w:rsidRPr="008A5FB9">
        <w:rPr>
          <w:rFonts w:asciiTheme="majorHAnsi" w:hAnsiTheme="majorHAnsi" w:cstheme="majorHAnsi"/>
          <w:color w:val="374151"/>
          <w:sz w:val="20"/>
          <w:szCs w:val="20"/>
        </w:rPr>
        <w:t xml:space="preserve"> million shares of its common stock at a purchase price of $0.40 per share, with accompanying warrants exercisable at $1.50 per share.</w:t>
      </w:r>
      <w:r w:rsidR="001E3758">
        <w:rPr>
          <w:rFonts w:asciiTheme="majorHAnsi" w:hAnsiTheme="majorHAnsi" w:cstheme="majorHAnsi"/>
          <w:color w:val="374151"/>
          <w:sz w:val="20"/>
          <w:szCs w:val="20"/>
        </w:rPr>
        <w:t xml:space="preserve">  Management and Board purchased</w:t>
      </w:r>
      <w:r w:rsidR="007259A1">
        <w:rPr>
          <w:rFonts w:asciiTheme="majorHAnsi" w:hAnsiTheme="majorHAnsi" w:cstheme="majorHAnsi"/>
          <w:color w:val="374151"/>
          <w:sz w:val="20"/>
          <w:szCs w:val="20"/>
        </w:rPr>
        <w:t xml:space="preserve"> </w:t>
      </w:r>
      <w:proofErr w:type="gramStart"/>
      <w:r w:rsidR="007259A1">
        <w:rPr>
          <w:rFonts w:asciiTheme="majorHAnsi" w:hAnsiTheme="majorHAnsi" w:cstheme="majorHAnsi"/>
          <w:color w:val="374151"/>
          <w:sz w:val="20"/>
          <w:szCs w:val="20"/>
        </w:rPr>
        <w:t xml:space="preserve">approximately </w:t>
      </w:r>
      <w:r w:rsidR="001E3758">
        <w:rPr>
          <w:rFonts w:asciiTheme="majorHAnsi" w:hAnsiTheme="majorHAnsi" w:cstheme="majorHAnsi"/>
          <w:color w:val="374151"/>
          <w:sz w:val="20"/>
          <w:szCs w:val="20"/>
        </w:rPr>
        <w:t xml:space="preserve"> </w:t>
      </w:r>
      <w:r w:rsidR="007259A1">
        <w:rPr>
          <w:rFonts w:asciiTheme="majorHAnsi" w:hAnsiTheme="majorHAnsi" w:cstheme="majorHAnsi"/>
          <w:color w:val="374151"/>
          <w:sz w:val="20"/>
          <w:szCs w:val="20"/>
        </w:rPr>
        <w:t>629,000</w:t>
      </w:r>
      <w:proofErr w:type="gramEnd"/>
      <w:r w:rsidR="00DE318E">
        <w:rPr>
          <w:rFonts w:asciiTheme="majorHAnsi" w:hAnsiTheme="majorHAnsi" w:cstheme="majorHAnsi"/>
          <w:color w:val="374151"/>
          <w:sz w:val="20"/>
          <w:szCs w:val="20"/>
        </w:rPr>
        <w:t xml:space="preserve"> </w:t>
      </w:r>
      <w:r w:rsidR="001E3758">
        <w:rPr>
          <w:rFonts w:asciiTheme="majorHAnsi" w:hAnsiTheme="majorHAnsi" w:cstheme="majorHAnsi"/>
          <w:color w:val="374151"/>
          <w:sz w:val="20"/>
          <w:szCs w:val="20"/>
        </w:rPr>
        <w:t>shares at $0.</w:t>
      </w:r>
      <w:r w:rsidR="007259A1">
        <w:rPr>
          <w:rFonts w:asciiTheme="majorHAnsi" w:hAnsiTheme="majorHAnsi" w:cstheme="majorHAnsi"/>
          <w:color w:val="374151"/>
          <w:sz w:val="20"/>
          <w:szCs w:val="20"/>
        </w:rPr>
        <w:t xml:space="preserve">516 </w:t>
      </w:r>
      <w:r w:rsidR="001E3758">
        <w:rPr>
          <w:rFonts w:asciiTheme="majorHAnsi" w:hAnsiTheme="majorHAnsi" w:cstheme="majorHAnsi"/>
          <w:color w:val="374151"/>
          <w:sz w:val="20"/>
          <w:szCs w:val="20"/>
        </w:rPr>
        <w:t>per share, with accompanying warrants exercisable at $1.50 per share.</w:t>
      </w:r>
    </w:p>
    <w:p w14:paraId="7D3570F1" w14:textId="21A5BCD3" w:rsidR="008A5FB9" w:rsidRPr="008A5FB9" w:rsidRDefault="008A5FB9" w:rsidP="008A5FB9">
      <w:pPr>
        <w:pStyle w:val="NormalWeb"/>
        <w:jc w:val="both"/>
        <w:rPr>
          <w:rFonts w:asciiTheme="majorHAnsi" w:hAnsiTheme="majorHAnsi" w:cstheme="majorHAnsi"/>
          <w:color w:val="374151"/>
          <w:sz w:val="20"/>
          <w:szCs w:val="20"/>
        </w:rPr>
      </w:pPr>
      <w:r w:rsidRPr="008A5FB9">
        <w:rPr>
          <w:rFonts w:asciiTheme="majorHAnsi" w:hAnsiTheme="majorHAnsi" w:cstheme="majorHAnsi"/>
          <w:color w:val="374151"/>
          <w:sz w:val="20"/>
          <w:szCs w:val="20"/>
        </w:rPr>
        <w:t xml:space="preserve">This </w:t>
      </w:r>
      <w:r w:rsidR="00DE318E">
        <w:rPr>
          <w:rFonts w:asciiTheme="majorHAnsi" w:hAnsiTheme="majorHAnsi" w:cstheme="majorHAnsi"/>
          <w:color w:val="374151"/>
          <w:sz w:val="20"/>
          <w:szCs w:val="20"/>
        </w:rPr>
        <w:t>offering</w:t>
      </w:r>
      <w:r w:rsidRPr="008A5FB9">
        <w:rPr>
          <w:rFonts w:asciiTheme="majorHAnsi" w:hAnsiTheme="majorHAnsi" w:cstheme="majorHAnsi"/>
          <w:color w:val="374151"/>
          <w:sz w:val="20"/>
          <w:szCs w:val="20"/>
        </w:rPr>
        <w:t xml:space="preserve"> represents an initial step toward funding Gryphon's recently announced significant expansion projects, including:</w:t>
      </w:r>
    </w:p>
    <w:p w14:paraId="0D756B42" w14:textId="6D8F143C" w:rsidR="008A5FB9" w:rsidRDefault="008A5FB9" w:rsidP="008A5FB9">
      <w:pPr>
        <w:pStyle w:val="NormalWeb"/>
        <w:numPr>
          <w:ilvl w:val="0"/>
          <w:numId w:val="13"/>
        </w:numPr>
        <w:jc w:val="both"/>
        <w:rPr>
          <w:rFonts w:asciiTheme="majorHAnsi" w:hAnsiTheme="majorHAnsi" w:cstheme="majorHAnsi"/>
          <w:color w:val="374151"/>
          <w:sz w:val="20"/>
          <w:szCs w:val="20"/>
        </w:rPr>
      </w:pPr>
      <w:hyperlink r:id="rId17" w:history="1">
        <w:r w:rsidRPr="006C2AD5">
          <w:rPr>
            <w:rStyle w:val="Hyperlink"/>
            <w:rFonts w:asciiTheme="majorHAnsi" w:hAnsiTheme="majorHAnsi" w:cstheme="majorHAnsi"/>
            <w:sz w:val="20"/>
            <w:szCs w:val="20"/>
          </w:rPr>
          <w:t>A definitive agreement for an HPC/AI asset in Alberta scalable to 4GW, announced January 10, 2025</w:t>
        </w:r>
      </w:hyperlink>
    </w:p>
    <w:p w14:paraId="290F2030" w14:textId="00ADB8C1" w:rsidR="008A5FB9" w:rsidRPr="006C2AD5" w:rsidRDefault="008A5FB9" w:rsidP="008A5FB9">
      <w:pPr>
        <w:pStyle w:val="NormalWeb"/>
        <w:numPr>
          <w:ilvl w:val="0"/>
          <w:numId w:val="13"/>
        </w:numPr>
        <w:jc w:val="both"/>
        <w:rPr>
          <w:rFonts w:asciiTheme="majorHAnsi" w:hAnsiTheme="majorHAnsi" w:cstheme="majorHAnsi"/>
          <w:color w:val="374151"/>
          <w:sz w:val="20"/>
          <w:szCs w:val="20"/>
        </w:rPr>
      </w:pPr>
      <w:hyperlink r:id="rId18" w:history="1">
        <w:r w:rsidRPr="006C2AD5">
          <w:rPr>
            <w:rStyle w:val="Hyperlink"/>
            <w:rFonts w:asciiTheme="majorHAnsi" w:hAnsiTheme="majorHAnsi" w:cstheme="majorHAnsi"/>
            <w:sz w:val="20"/>
            <w:szCs w:val="20"/>
          </w:rPr>
          <w:t xml:space="preserve">A </w:t>
        </w:r>
        <w:r w:rsidR="0047467B" w:rsidRPr="006C2AD5">
          <w:rPr>
            <w:rStyle w:val="Hyperlink"/>
            <w:rFonts w:asciiTheme="majorHAnsi" w:hAnsiTheme="majorHAnsi" w:cstheme="majorHAnsi"/>
            <w:sz w:val="20"/>
            <w:szCs w:val="20"/>
          </w:rPr>
          <w:t xml:space="preserve">definitive </w:t>
        </w:r>
        <w:r w:rsidRPr="006C2AD5">
          <w:rPr>
            <w:rStyle w:val="Hyperlink"/>
            <w:rFonts w:asciiTheme="majorHAnsi" w:hAnsiTheme="majorHAnsi" w:cstheme="majorHAnsi"/>
            <w:sz w:val="20"/>
            <w:szCs w:val="20"/>
          </w:rPr>
          <w:t>agreement for</w:t>
        </w:r>
        <w:r w:rsidR="006C2AD5" w:rsidRPr="006C2AD5">
          <w:rPr>
            <w:rStyle w:val="Hyperlink"/>
            <w:rFonts w:asciiTheme="majorHAnsi" w:hAnsiTheme="majorHAnsi" w:cstheme="majorHAnsi"/>
            <w:sz w:val="20"/>
            <w:szCs w:val="20"/>
          </w:rPr>
          <w:t xml:space="preserve"> natural gas assets</w:t>
        </w:r>
        <w:r w:rsidR="0047467B" w:rsidRPr="006C2AD5">
          <w:rPr>
            <w:rStyle w:val="Hyperlink"/>
            <w:rFonts w:asciiTheme="majorHAnsi" w:hAnsiTheme="majorHAnsi" w:cstheme="majorHAnsi"/>
            <w:sz w:val="20"/>
            <w:szCs w:val="20"/>
          </w:rPr>
          <w:t xml:space="preserve"> in British Columbia</w:t>
        </w:r>
        <w:r w:rsidR="006C2AD5" w:rsidRPr="006C2AD5">
          <w:rPr>
            <w:rStyle w:val="Hyperlink"/>
            <w:rFonts w:asciiTheme="majorHAnsi" w:hAnsiTheme="majorHAnsi" w:cstheme="majorHAnsi"/>
            <w:sz w:val="20"/>
            <w:szCs w:val="20"/>
          </w:rPr>
          <w:t xml:space="preserve"> for</w:t>
        </w:r>
        <w:r w:rsidRPr="006C2AD5">
          <w:rPr>
            <w:rStyle w:val="Hyperlink"/>
            <w:rFonts w:asciiTheme="majorHAnsi" w:hAnsiTheme="majorHAnsi" w:cstheme="majorHAnsi"/>
            <w:sz w:val="20"/>
            <w:szCs w:val="20"/>
          </w:rPr>
          <w:t xml:space="preserve"> low-cost power scalable to 1GW, announced December 10, 2024</w:t>
        </w:r>
      </w:hyperlink>
    </w:p>
    <w:p w14:paraId="44528750" w14:textId="1D4EFB1B" w:rsidR="008A5FB9" w:rsidRDefault="008A5FB9" w:rsidP="008A5FB9">
      <w:pPr>
        <w:pStyle w:val="NormalWeb"/>
        <w:jc w:val="both"/>
        <w:rPr>
          <w:rFonts w:asciiTheme="majorHAnsi" w:hAnsiTheme="majorHAnsi" w:cstheme="majorHAnsi"/>
          <w:color w:val="374151"/>
          <w:sz w:val="20"/>
          <w:szCs w:val="20"/>
        </w:rPr>
      </w:pPr>
      <w:r w:rsidRPr="008A5FB9">
        <w:rPr>
          <w:rFonts w:asciiTheme="majorHAnsi" w:hAnsiTheme="majorHAnsi" w:cstheme="majorHAnsi"/>
          <w:color w:val="374151"/>
          <w:sz w:val="20"/>
          <w:szCs w:val="20"/>
        </w:rPr>
        <w:t xml:space="preserve">"The full participation of our management team and strong support from our board in this </w:t>
      </w:r>
      <w:r w:rsidR="00DE318E">
        <w:rPr>
          <w:rFonts w:asciiTheme="majorHAnsi" w:hAnsiTheme="majorHAnsi" w:cstheme="majorHAnsi"/>
          <w:color w:val="374151"/>
          <w:sz w:val="20"/>
          <w:szCs w:val="20"/>
        </w:rPr>
        <w:t>offering</w:t>
      </w:r>
      <w:r w:rsidRPr="008A5FB9">
        <w:rPr>
          <w:rFonts w:asciiTheme="majorHAnsi" w:hAnsiTheme="majorHAnsi" w:cstheme="majorHAnsi"/>
          <w:color w:val="374151"/>
          <w:sz w:val="20"/>
          <w:szCs w:val="20"/>
        </w:rPr>
        <w:t xml:space="preserve"> underscores our collective confidence in Gryphon's strategic initiatives and growth potential," said</w:t>
      </w:r>
      <w:r w:rsidR="006C2AD5">
        <w:rPr>
          <w:rFonts w:asciiTheme="majorHAnsi" w:hAnsiTheme="majorHAnsi" w:cstheme="majorHAnsi"/>
          <w:color w:val="374151"/>
          <w:sz w:val="20"/>
          <w:szCs w:val="20"/>
        </w:rPr>
        <w:t xml:space="preserve"> Steve Gutterman</w:t>
      </w:r>
      <w:r w:rsidRPr="008A5FB9">
        <w:rPr>
          <w:rFonts w:asciiTheme="majorHAnsi" w:hAnsiTheme="majorHAnsi" w:cstheme="majorHAnsi"/>
          <w:color w:val="374151"/>
          <w:sz w:val="20"/>
          <w:szCs w:val="20"/>
        </w:rPr>
        <w:t>, CEO of Gryphon Digital Mining. "This initial capital raise was structured to maximize shareholder value while minimizing dilution as we begin executing on our transformational projects. We are taking a methodical approach to our capital formation strategy, carefully balancing growth opportunities with shareholder interests. This is just the first step as we pursue our significant HPC/AI and bitcoin mining opportunities</w:t>
      </w:r>
      <w:r w:rsidR="001E3758">
        <w:rPr>
          <w:rFonts w:asciiTheme="majorHAnsi" w:hAnsiTheme="majorHAnsi" w:cstheme="majorHAnsi"/>
          <w:color w:val="374151"/>
          <w:sz w:val="20"/>
          <w:szCs w:val="20"/>
        </w:rPr>
        <w:t xml:space="preserve"> and look to strengthen our balance sheet through cash and bitcoin.  W</w:t>
      </w:r>
      <w:r w:rsidRPr="008A5FB9">
        <w:rPr>
          <w:rFonts w:asciiTheme="majorHAnsi" w:hAnsiTheme="majorHAnsi" w:cstheme="majorHAnsi"/>
          <w:color w:val="374151"/>
          <w:sz w:val="20"/>
          <w:szCs w:val="20"/>
        </w:rPr>
        <w:t>e</w:t>
      </w:r>
      <w:r w:rsidR="001E3758">
        <w:rPr>
          <w:rFonts w:asciiTheme="majorHAnsi" w:hAnsiTheme="majorHAnsi" w:cstheme="majorHAnsi"/>
          <w:color w:val="374151"/>
          <w:sz w:val="20"/>
          <w:szCs w:val="20"/>
        </w:rPr>
        <w:t xml:space="preserve"> will </w:t>
      </w:r>
      <w:r w:rsidRPr="008A5FB9">
        <w:rPr>
          <w:rFonts w:asciiTheme="majorHAnsi" w:hAnsiTheme="majorHAnsi" w:cstheme="majorHAnsi"/>
          <w:color w:val="374151"/>
          <w:sz w:val="20"/>
          <w:szCs w:val="20"/>
        </w:rPr>
        <w:t>updat</w:t>
      </w:r>
      <w:r w:rsidR="001E3758">
        <w:rPr>
          <w:rFonts w:asciiTheme="majorHAnsi" w:hAnsiTheme="majorHAnsi" w:cstheme="majorHAnsi"/>
          <w:color w:val="374151"/>
          <w:sz w:val="20"/>
          <w:szCs w:val="20"/>
        </w:rPr>
        <w:t>e</w:t>
      </w:r>
      <w:r w:rsidRPr="008A5FB9">
        <w:rPr>
          <w:rFonts w:asciiTheme="majorHAnsi" w:hAnsiTheme="majorHAnsi" w:cstheme="majorHAnsi"/>
          <w:color w:val="374151"/>
          <w:sz w:val="20"/>
          <w:szCs w:val="20"/>
        </w:rPr>
        <w:t xml:space="preserve"> our shareholders as we advance our strategic funding initiatives and project developments in the most value-accretive manner possible."</w:t>
      </w:r>
    </w:p>
    <w:p w14:paraId="47FFDBCD" w14:textId="77777777" w:rsidR="006C2AD5" w:rsidRDefault="006C2AD5" w:rsidP="008A5FB9">
      <w:pPr>
        <w:pStyle w:val="NormalWeb"/>
        <w:jc w:val="both"/>
        <w:rPr>
          <w:rFonts w:asciiTheme="majorHAnsi" w:hAnsiTheme="majorHAnsi" w:cstheme="majorHAnsi"/>
          <w:color w:val="374151"/>
          <w:sz w:val="20"/>
          <w:szCs w:val="20"/>
        </w:rPr>
      </w:pPr>
    </w:p>
    <w:p w14:paraId="36EA1974" w14:textId="77777777" w:rsidR="006C2AD5" w:rsidRPr="00F354C6" w:rsidRDefault="006C2AD5" w:rsidP="006C2AD5">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sidRPr="00F354C6">
        <w:rPr>
          <w:rFonts w:asciiTheme="majorHAnsi" w:eastAsia="Calibri" w:hAnsiTheme="majorHAnsi" w:cstheme="majorHAnsi"/>
          <w:b/>
          <w:color w:val="000000"/>
          <w:sz w:val="20"/>
          <w:szCs w:val="20"/>
        </w:rPr>
        <w:t xml:space="preserve">About Gryphon Digital Mining </w:t>
      </w:r>
    </w:p>
    <w:p w14:paraId="4DDF401F" w14:textId="77777777" w:rsidR="006C2AD5" w:rsidRDefault="006C2AD5" w:rsidP="006C2AD5">
      <w:pPr>
        <w:widowControl w:val="0"/>
        <w:pBdr>
          <w:top w:val="nil"/>
          <w:left w:val="nil"/>
          <w:bottom w:val="nil"/>
          <w:right w:val="nil"/>
          <w:between w:val="nil"/>
        </w:pBdr>
        <w:spacing w:line="240" w:lineRule="auto"/>
        <w:rPr>
          <w:rFonts w:asciiTheme="majorHAnsi" w:eastAsia="Calibri" w:hAnsiTheme="majorHAnsi" w:cstheme="majorHAnsi"/>
          <w:bCs/>
          <w:color w:val="000000"/>
          <w:sz w:val="20"/>
          <w:szCs w:val="20"/>
        </w:rPr>
      </w:pPr>
      <w:r w:rsidRPr="002A0139">
        <w:rPr>
          <w:rFonts w:asciiTheme="majorHAnsi" w:eastAsia="Calibri" w:hAnsiTheme="majorHAnsi" w:cstheme="majorHAnsi"/>
          <w:bCs/>
          <w:color w:val="000000"/>
          <w:sz w:val="20"/>
          <w:szCs w:val="20"/>
        </w:rPr>
        <w:t xml:space="preserve">Gryphon Digital Mining, Inc. is an innovative venture in the bitcoin and AI space dedicated to helping bring digital assets to the market. With a talented leadership team coming from globally recognized brands, Gryphon has assembled thought leaders to improve digital asset network infrastructure. More information is available on </w:t>
      </w:r>
      <w:hyperlink r:id="rId19" w:history="1">
        <w:r w:rsidRPr="001B142C">
          <w:rPr>
            <w:rStyle w:val="Hyperlink"/>
            <w:rFonts w:asciiTheme="majorHAnsi" w:eastAsia="Calibri" w:hAnsiTheme="majorHAnsi" w:cstheme="majorHAnsi"/>
            <w:bCs/>
            <w:sz w:val="20"/>
            <w:szCs w:val="20"/>
          </w:rPr>
          <w:t>https://gryphondigitalmining.com/</w:t>
        </w:r>
      </w:hyperlink>
      <w:r>
        <w:rPr>
          <w:rFonts w:asciiTheme="majorHAnsi" w:eastAsia="Calibri" w:hAnsiTheme="majorHAnsi" w:cstheme="majorHAnsi"/>
          <w:bCs/>
          <w:color w:val="000000"/>
          <w:sz w:val="20"/>
          <w:szCs w:val="20"/>
        </w:rPr>
        <w:t xml:space="preserve"> </w:t>
      </w:r>
      <w:r w:rsidRPr="002A0139">
        <w:rPr>
          <w:rFonts w:asciiTheme="majorHAnsi" w:eastAsia="Calibri" w:hAnsiTheme="majorHAnsi" w:cstheme="majorHAnsi"/>
          <w:bCs/>
          <w:color w:val="000000"/>
          <w:sz w:val="20"/>
          <w:szCs w:val="20"/>
        </w:rPr>
        <w:t xml:space="preserve">  </w:t>
      </w:r>
    </w:p>
    <w:p w14:paraId="08ABBBF5" w14:textId="77777777" w:rsidR="006C2AD5" w:rsidRPr="00F354C6" w:rsidRDefault="006C2AD5" w:rsidP="006C2AD5">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p>
    <w:p w14:paraId="3F565F8D" w14:textId="77777777" w:rsidR="006C2AD5" w:rsidRPr="00F354C6" w:rsidRDefault="006C2AD5" w:rsidP="006C2AD5">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sidRPr="00F354C6">
        <w:rPr>
          <w:rFonts w:asciiTheme="majorHAnsi" w:eastAsia="Calibri" w:hAnsiTheme="majorHAnsi" w:cstheme="majorHAnsi"/>
          <w:b/>
          <w:color w:val="000000"/>
          <w:sz w:val="20"/>
          <w:szCs w:val="20"/>
        </w:rPr>
        <w:t>Cautionary Statements Regarding Forward-Looking Statements</w:t>
      </w:r>
    </w:p>
    <w:p w14:paraId="6F9C6AE1" w14:textId="0B2FEDAB" w:rsidR="006C2AD5" w:rsidRPr="00F354C6" w:rsidRDefault="006C2AD5" w:rsidP="006C2AD5">
      <w:pPr>
        <w:widowControl w:val="0"/>
        <w:pBdr>
          <w:top w:val="nil"/>
          <w:left w:val="nil"/>
          <w:bottom w:val="nil"/>
          <w:right w:val="nil"/>
          <w:between w:val="nil"/>
        </w:pBdr>
        <w:spacing w:line="240" w:lineRule="auto"/>
        <w:rPr>
          <w:rFonts w:asciiTheme="majorHAnsi" w:eastAsia="Calibri" w:hAnsiTheme="majorHAnsi" w:cstheme="majorHAnsi"/>
          <w:bCs/>
          <w:color w:val="000000"/>
          <w:sz w:val="20"/>
          <w:szCs w:val="20"/>
        </w:rPr>
      </w:pPr>
      <w:r w:rsidRPr="00F354C6">
        <w:rPr>
          <w:rFonts w:asciiTheme="majorHAnsi" w:eastAsia="Calibri" w:hAnsiTheme="majorHAnsi" w:cstheme="majorHAnsi"/>
          <w:bCs/>
          <w:color w:val="000000"/>
          <w:sz w:val="20"/>
          <w:szCs w:val="20"/>
        </w:rPr>
        <w:t>This press release contains forward-looking statements within the meaning of Section 27A of the Securities Act of 1933, as amended (the “Securities Act”), and Section 21E of the Securities Exchange Act of 1934, as amended (the “Exchange Act”). Statements that refer to projections, forecasts or other characterizations of future events or circumstances, including any underlying assumptions, are forward-looking statements. Forward-looking statements are typically identified by words such as “plan,” “believe,” “expect,” “anticipate,” “intend,” “outlook,” “estimate,” “forecast,” “project,” “continue,” “could,” “may,” “might,” “possible,” “potential,” “predict,” “should,” “would” and other similar words and expressions, but the absence of these words does not mean that a statement is not forward-looking.</w:t>
      </w:r>
      <w:r>
        <w:rPr>
          <w:rFonts w:asciiTheme="majorHAnsi" w:eastAsia="Calibri" w:hAnsiTheme="majorHAnsi" w:cstheme="majorHAnsi"/>
          <w:bCs/>
          <w:color w:val="000000"/>
          <w:sz w:val="20"/>
          <w:szCs w:val="20"/>
        </w:rPr>
        <w:t xml:space="preserve"> </w:t>
      </w:r>
      <w:r w:rsidRPr="00677912">
        <w:rPr>
          <w:rFonts w:asciiTheme="majorHAnsi" w:eastAsia="Calibri" w:hAnsiTheme="majorHAnsi" w:cstheme="majorHAnsi"/>
          <w:bCs/>
          <w:color w:val="000000"/>
          <w:sz w:val="20"/>
          <w:szCs w:val="20"/>
        </w:rPr>
        <w:t>Forward-looking statements may include, for example, statements about the</w:t>
      </w:r>
      <w:r>
        <w:rPr>
          <w:rFonts w:asciiTheme="majorHAnsi" w:eastAsia="Calibri" w:hAnsiTheme="majorHAnsi" w:cstheme="majorHAnsi"/>
          <w:bCs/>
          <w:color w:val="000000"/>
          <w:sz w:val="20"/>
          <w:szCs w:val="20"/>
        </w:rPr>
        <w:t xml:space="preserve"> Company’s ability to close the </w:t>
      </w:r>
      <w:r w:rsidRPr="00677912">
        <w:rPr>
          <w:rFonts w:asciiTheme="majorHAnsi" w:eastAsia="Calibri" w:hAnsiTheme="majorHAnsi" w:cstheme="majorHAnsi"/>
          <w:bCs/>
          <w:color w:val="000000"/>
          <w:sz w:val="20"/>
          <w:szCs w:val="20"/>
        </w:rPr>
        <w:t xml:space="preserve"> </w:t>
      </w:r>
      <w:r>
        <w:rPr>
          <w:rFonts w:asciiTheme="majorHAnsi" w:eastAsia="Calibri" w:hAnsiTheme="majorHAnsi" w:cstheme="majorHAnsi"/>
          <w:bCs/>
          <w:color w:val="000000"/>
          <w:sz w:val="20"/>
          <w:szCs w:val="20"/>
        </w:rPr>
        <w:t>acquisition with Captus Energy and in British Columbia; the total consideration for the acquisition</w:t>
      </w:r>
      <w:r w:rsidR="00DE318E">
        <w:rPr>
          <w:rFonts w:asciiTheme="majorHAnsi" w:eastAsia="Calibri" w:hAnsiTheme="majorHAnsi" w:cstheme="majorHAnsi"/>
          <w:bCs/>
          <w:color w:val="000000"/>
          <w:sz w:val="20"/>
          <w:szCs w:val="20"/>
        </w:rPr>
        <w:t>s</w:t>
      </w:r>
      <w:r>
        <w:rPr>
          <w:rFonts w:asciiTheme="majorHAnsi" w:eastAsia="Calibri" w:hAnsiTheme="majorHAnsi" w:cstheme="majorHAnsi"/>
          <w:bCs/>
          <w:color w:val="000000"/>
          <w:sz w:val="20"/>
          <w:szCs w:val="20"/>
        </w:rPr>
        <w:t xml:space="preserve">; the ability of the assets acquired or to be acquired to produce energy at both the cost and the volume anticipated; the results of diligence reviews; the engagement, and the results of such engagement, with regulatory bodies, First Nations, local stakeholders and norther communities; green initiatives; plans to expand the Company’s business to include AI and high performance computing; the </w:t>
      </w:r>
      <w:r w:rsidRPr="00677912">
        <w:rPr>
          <w:rFonts w:asciiTheme="majorHAnsi" w:eastAsia="Calibri" w:hAnsiTheme="majorHAnsi" w:cstheme="majorHAnsi"/>
          <w:bCs/>
          <w:color w:val="000000"/>
          <w:sz w:val="20"/>
          <w:szCs w:val="20"/>
        </w:rPr>
        <w:t>future financial performance of the Company</w:t>
      </w:r>
      <w:r>
        <w:rPr>
          <w:rFonts w:asciiTheme="majorHAnsi" w:eastAsia="Calibri" w:hAnsiTheme="majorHAnsi" w:cstheme="majorHAnsi"/>
          <w:bCs/>
          <w:color w:val="000000"/>
          <w:sz w:val="20"/>
          <w:szCs w:val="20"/>
        </w:rPr>
        <w:t>;</w:t>
      </w:r>
      <w:r w:rsidRPr="00677912">
        <w:rPr>
          <w:rFonts w:asciiTheme="majorHAnsi" w:eastAsia="Calibri" w:hAnsiTheme="majorHAnsi" w:cstheme="majorHAnsi"/>
          <w:bCs/>
          <w:color w:val="000000"/>
          <w:sz w:val="20"/>
          <w:szCs w:val="20"/>
        </w:rPr>
        <w:t xml:space="preserve"> changes in the Company’s strategy</w:t>
      </w:r>
      <w:r>
        <w:rPr>
          <w:rFonts w:asciiTheme="majorHAnsi" w:eastAsia="Calibri" w:hAnsiTheme="majorHAnsi" w:cstheme="majorHAnsi"/>
          <w:bCs/>
          <w:color w:val="000000"/>
          <w:sz w:val="20"/>
          <w:szCs w:val="20"/>
        </w:rPr>
        <w:t xml:space="preserve"> and</w:t>
      </w:r>
      <w:r w:rsidRPr="00677912">
        <w:rPr>
          <w:rFonts w:asciiTheme="majorHAnsi" w:eastAsia="Calibri" w:hAnsiTheme="majorHAnsi" w:cstheme="majorHAnsi"/>
          <w:bCs/>
          <w:color w:val="000000"/>
          <w:sz w:val="20"/>
          <w:szCs w:val="20"/>
        </w:rPr>
        <w:t xml:space="preserve"> future operations</w:t>
      </w:r>
      <w:r>
        <w:rPr>
          <w:rFonts w:asciiTheme="majorHAnsi" w:eastAsia="Calibri" w:hAnsiTheme="majorHAnsi" w:cstheme="majorHAnsi"/>
          <w:bCs/>
          <w:color w:val="000000"/>
          <w:sz w:val="20"/>
          <w:szCs w:val="20"/>
        </w:rPr>
        <w:t>;</w:t>
      </w:r>
      <w:r w:rsidRPr="00677912">
        <w:rPr>
          <w:rFonts w:asciiTheme="majorHAnsi" w:eastAsia="Calibri" w:hAnsiTheme="majorHAnsi" w:cstheme="majorHAnsi"/>
          <w:bCs/>
          <w:color w:val="000000"/>
          <w:sz w:val="20"/>
          <w:szCs w:val="20"/>
        </w:rPr>
        <w:t xml:space="preserve"> financial position</w:t>
      </w:r>
      <w:r>
        <w:rPr>
          <w:rFonts w:asciiTheme="majorHAnsi" w:eastAsia="Calibri" w:hAnsiTheme="majorHAnsi" w:cstheme="majorHAnsi"/>
          <w:bCs/>
          <w:color w:val="000000"/>
          <w:sz w:val="20"/>
          <w:szCs w:val="20"/>
        </w:rPr>
        <w:t>;</w:t>
      </w:r>
      <w:r w:rsidRPr="00677912">
        <w:rPr>
          <w:rFonts w:asciiTheme="majorHAnsi" w:eastAsia="Calibri" w:hAnsiTheme="majorHAnsi" w:cstheme="majorHAnsi"/>
          <w:bCs/>
          <w:color w:val="000000"/>
          <w:sz w:val="20"/>
          <w:szCs w:val="20"/>
        </w:rPr>
        <w:t xml:space="preserve"> estimated revenues and losses</w:t>
      </w:r>
      <w:r>
        <w:rPr>
          <w:rFonts w:asciiTheme="majorHAnsi" w:eastAsia="Calibri" w:hAnsiTheme="majorHAnsi" w:cstheme="majorHAnsi"/>
          <w:bCs/>
          <w:color w:val="000000"/>
          <w:sz w:val="20"/>
          <w:szCs w:val="20"/>
        </w:rPr>
        <w:t>;</w:t>
      </w:r>
      <w:r w:rsidRPr="00677912">
        <w:rPr>
          <w:rFonts w:asciiTheme="majorHAnsi" w:eastAsia="Calibri" w:hAnsiTheme="majorHAnsi" w:cstheme="majorHAnsi"/>
          <w:bCs/>
          <w:color w:val="000000"/>
          <w:sz w:val="20"/>
          <w:szCs w:val="20"/>
        </w:rPr>
        <w:t xml:space="preserve"> projected costs</w:t>
      </w:r>
      <w:r>
        <w:rPr>
          <w:rFonts w:asciiTheme="majorHAnsi" w:eastAsia="Calibri" w:hAnsiTheme="majorHAnsi" w:cstheme="majorHAnsi"/>
          <w:bCs/>
          <w:color w:val="000000"/>
          <w:sz w:val="20"/>
          <w:szCs w:val="20"/>
        </w:rPr>
        <w:t>;</w:t>
      </w:r>
      <w:r w:rsidRPr="00677912">
        <w:rPr>
          <w:rFonts w:asciiTheme="majorHAnsi" w:eastAsia="Calibri" w:hAnsiTheme="majorHAnsi" w:cstheme="majorHAnsi"/>
          <w:bCs/>
          <w:color w:val="000000"/>
          <w:sz w:val="20"/>
          <w:szCs w:val="20"/>
        </w:rPr>
        <w:t xml:space="preserve"> prospects, plans and objectives of management</w:t>
      </w:r>
      <w:r>
        <w:rPr>
          <w:rFonts w:asciiTheme="majorHAnsi" w:eastAsia="Calibri" w:hAnsiTheme="majorHAnsi" w:cstheme="majorHAnsi"/>
          <w:bCs/>
          <w:color w:val="000000"/>
          <w:sz w:val="20"/>
          <w:szCs w:val="20"/>
        </w:rPr>
        <w:t xml:space="preserve">; </w:t>
      </w:r>
      <w:r w:rsidRPr="00677912">
        <w:rPr>
          <w:rFonts w:asciiTheme="majorHAnsi" w:eastAsia="Calibri" w:hAnsiTheme="majorHAnsi" w:cstheme="majorHAnsi"/>
          <w:bCs/>
          <w:color w:val="000000"/>
          <w:sz w:val="20"/>
          <w:szCs w:val="20"/>
        </w:rPr>
        <w:t>and</w:t>
      </w:r>
      <w:r>
        <w:rPr>
          <w:rFonts w:asciiTheme="majorHAnsi" w:eastAsia="Calibri" w:hAnsiTheme="majorHAnsi" w:cstheme="majorHAnsi"/>
          <w:bCs/>
          <w:color w:val="000000"/>
          <w:sz w:val="20"/>
          <w:szCs w:val="20"/>
        </w:rPr>
        <w:t xml:space="preserve"> future</w:t>
      </w:r>
      <w:r w:rsidRPr="00677912">
        <w:rPr>
          <w:rFonts w:asciiTheme="majorHAnsi" w:eastAsia="Calibri" w:hAnsiTheme="majorHAnsi" w:cstheme="majorHAnsi"/>
          <w:bCs/>
          <w:color w:val="000000"/>
          <w:sz w:val="20"/>
          <w:szCs w:val="20"/>
        </w:rPr>
        <w:t xml:space="preserve"> acquisition activity.</w:t>
      </w:r>
    </w:p>
    <w:p w14:paraId="5EBD1E97" w14:textId="77777777" w:rsidR="006C2AD5" w:rsidRPr="00F354C6" w:rsidRDefault="006C2AD5" w:rsidP="006C2AD5">
      <w:pPr>
        <w:widowControl w:val="0"/>
        <w:pBdr>
          <w:top w:val="nil"/>
          <w:left w:val="nil"/>
          <w:bottom w:val="nil"/>
          <w:right w:val="nil"/>
          <w:between w:val="nil"/>
        </w:pBdr>
        <w:spacing w:line="240" w:lineRule="auto"/>
        <w:rPr>
          <w:rFonts w:asciiTheme="majorHAnsi" w:eastAsia="Calibri" w:hAnsiTheme="majorHAnsi" w:cstheme="majorHAnsi"/>
          <w:bCs/>
          <w:color w:val="000000"/>
          <w:sz w:val="20"/>
          <w:szCs w:val="20"/>
        </w:rPr>
      </w:pPr>
    </w:p>
    <w:p w14:paraId="184B736E" w14:textId="77777777" w:rsidR="006C2AD5" w:rsidRPr="00677912" w:rsidRDefault="006C2AD5" w:rsidP="006C2AD5">
      <w:pPr>
        <w:widowControl w:val="0"/>
        <w:pBdr>
          <w:top w:val="nil"/>
          <w:left w:val="nil"/>
          <w:bottom w:val="nil"/>
          <w:right w:val="nil"/>
          <w:between w:val="nil"/>
        </w:pBdr>
        <w:spacing w:line="240" w:lineRule="auto"/>
        <w:rPr>
          <w:rFonts w:asciiTheme="majorHAnsi" w:eastAsia="Calibri" w:hAnsiTheme="majorHAnsi" w:cstheme="majorHAnsi"/>
          <w:bCs/>
          <w:color w:val="000000"/>
          <w:sz w:val="20"/>
          <w:szCs w:val="20"/>
        </w:rPr>
      </w:pPr>
      <w:r w:rsidRPr="00F354C6">
        <w:rPr>
          <w:rFonts w:asciiTheme="majorHAnsi" w:eastAsia="Calibri" w:hAnsiTheme="majorHAnsi" w:cstheme="majorHAnsi"/>
          <w:bCs/>
          <w:color w:val="000000"/>
          <w:sz w:val="20"/>
          <w:szCs w:val="20"/>
        </w:rPr>
        <w:t xml:space="preserve">The forward-looking statements are based on management’s current expectations and assumptions about future events </w:t>
      </w:r>
      <w:r>
        <w:rPr>
          <w:rFonts w:asciiTheme="majorHAnsi" w:eastAsia="Calibri" w:hAnsiTheme="majorHAnsi" w:cstheme="majorHAnsi"/>
          <w:bCs/>
          <w:color w:val="000000"/>
          <w:sz w:val="20"/>
          <w:szCs w:val="20"/>
        </w:rPr>
        <w:t xml:space="preserve">and financial results </w:t>
      </w:r>
      <w:r w:rsidRPr="00F354C6">
        <w:rPr>
          <w:rFonts w:asciiTheme="majorHAnsi" w:eastAsia="Calibri" w:hAnsiTheme="majorHAnsi" w:cstheme="majorHAnsi"/>
          <w:bCs/>
          <w:color w:val="000000"/>
          <w:sz w:val="20"/>
          <w:szCs w:val="20"/>
        </w:rPr>
        <w:t xml:space="preserve">and are based on currently available information as to the outcome and timing of future events. The forward-looking statements speak only as of the date of this press release or as of the date they are made. Except as otherwise required by applicable law, Gryphon disclaims any duty to update any forward-looking statements, all of which are expressly qualified by the statements in this section, to reflect events or circumstances after the date of this press release. Gryphon cautions you that these forward-looking statements are subject to numerous risks and uncertainties, most of which are difficult to predict and many of which are beyond the control of Gryphon. In addition, Gryphon cautions you that the forward-looking statements contained in this press release are subject to the risks set forth in our filings with the Securities and Exchange Commission (the "SEC"), including the section titled “Risk Factors” in the </w:t>
      </w:r>
      <w:r>
        <w:rPr>
          <w:rFonts w:asciiTheme="majorHAnsi" w:eastAsia="Calibri" w:hAnsiTheme="majorHAnsi" w:cstheme="majorHAnsi"/>
          <w:bCs/>
          <w:color w:val="000000"/>
          <w:sz w:val="20"/>
          <w:szCs w:val="20"/>
        </w:rPr>
        <w:t xml:space="preserve">Annual Report on Form 10-K </w:t>
      </w:r>
      <w:r w:rsidRPr="00F354C6">
        <w:rPr>
          <w:rFonts w:asciiTheme="majorHAnsi" w:eastAsia="Calibri" w:hAnsiTheme="majorHAnsi" w:cstheme="majorHAnsi"/>
          <w:bCs/>
          <w:color w:val="000000"/>
          <w:sz w:val="20"/>
          <w:szCs w:val="20"/>
        </w:rPr>
        <w:t xml:space="preserve">filed with the SEC by Gryphon on </w:t>
      </w:r>
      <w:r>
        <w:rPr>
          <w:rFonts w:asciiTheme="majorHAnsi" w:eastAsia="Calibri" w:hAnsiTheme="majorHAnsi" w:cstheme="majorHAnsi"/>
          <w:bCs/>
          <w:color w:val="000000"/>
          <w:sz w:val="20"/>
          <w:szCs w:val="20"/>
        </w:rPr>
        <w:t>April 1</w:t>
      </w:r>
      <w:r w:rsidRPr="00F354C6">
        <w:rPr>
          <w:rFonts w:asciiTheme="majorHAnsi" w:eastAsia="Calibri" w:hAnsiTheme="majorHAnsi" w:cstheme="majorHAnsi"/>
          <w:bCs/>
          <w:color w:val="000000"/>
          <w:sz w:val="20"/>
          <w:szCs w:val="20"/>
        </w:rPr>
        <w:t>, 2024</w:t>
      </w:r>
      <w:r>
        <w:rPr>
          <w:rFonts w:asciiTheme="majorHAnsi" w:eastAsia="Calibri" w:hAnsiTheme="majorHAnsi" w:cstheme="majorHAnsi"/>
          <w:bCs/>
          <w:color w:val="000000"/>
          <w:sz w:val="20"/>
          <w:szCs w:val="20"/>
        </w:rPr>
        <w:t>, as updated by the Company’s subsequent filings</w:t>
      </w:r>
      <w:r w:rsidRPr="00F354C6">
        <w:rPr>
          <w:rFonts w:asciiTheme="majorHAnsi" w:eastAsia="Calibri" w:hAnsiTheme="majorHAnsi" w:cstheme="majorHAnsi"/>
          <w:bCs/>
          <w:color w:val="000000"/>
          <w:sz w:val="20"/>
          <w:szCs w:val="20"/>
        </w:rPr>
        <w:t>.</w:t>
      </w:r>
    </w:p>
    <w:p w14:paraId="2197FE02" w14:textId="77777777" w:rsidR="006C2AD5" w:rsidRPr="00F354C6" w:rsidRDefault="006C2AD5" w:rsidP="006C2AD5">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p>
    <w:p w14:paraId="5EF84B4C" w14:textId="77777777" w:rsidR="006C2AD5" w:rsidRPr="00F354C6" w:rsidRDefault="006C2AD5" w:rsidP="006C2AD5">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sidRPr="00F354C6">
        <w:rPr>
          <w:rFonts w:asciiTheme="majorHAnsi" w:eastAsia="Calibri" w:hAnsiTheme="majorHAnsi" w:cstheme="majorHAnsi"/>
          <w:b/>
          <w:color w:val="000000"/>
          <w:sz w:val="20"/>
          <w:szCs w:val="20"/>
        </w:rPr>
        <w:t xml:space="preserve">INVESTOR CONTACT: </w:t>
      </w:r>
    </w:p>
    <w:p w14:paraId="766D81C4" w14:textId="77777777" w:rsidR="006C2AD5" w:rsidRDefault="006C2AD5" w:rsidP="006C2AD5">
      <w:pPr>
        <w:widowControl w:val="0"/>
        <w:spacing w:line="482" w:lineRule="auto"/>
        <w:ind w:right="1978" w:firstLine="5"/>
        <w:jc w:val="both"/>
        <w:rPr>
          <w:rFonts w:asciiTheme="majorHAnsi" w:hAnsiTheme="majorHAnsi" w:cstheme="majorHAnsi"/>
          <w:sz w:val="20"/>
          <w:szCs w:val="20"/>
        </w:rPr>
      </w:pPr>
    </w:p>
    <w:p w14:paraId="62183044" w14:textId="77777777" w:rsidR="006C2AD5" w:rsidRDefault="006C2AD5" w:rsidP="006C2AD5">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Pr>
          <w:rFonts w:asciiTheme="majorHAnsi" w:eastAsia="Calibri" w:hAnsiTheme="majorHAnsi" w:cstheme="majorHAnsi"/>
          <w:b/>
          <w:color w:val="000000"/>
          <w:sz w:val="20"/>
          <w:szCs w:val="20"/>
        </w:rPr>
        <w:t xml:space="preserve">Name: </w:t>
      </w:r>
      <w:r w:rsidRPr="002C78E2">
        <w:rPr>
          <w:rFonts w:asciiTheme="majorHAnsi" w:eastAsia="Calibri" w:hAnsiTheme="majorHAnsi" w:cstheme="majorHAnsi"/>
          <w:b/>
          <w:color w:val="000000"/>
          <w:sz w:val="20"/>
          <w:szCs w:val="20"/>
        </w:rPr>
        <w:t xml:space="preserve">James Carbonara </w:t>
      </w:r>
    </w:p>
    <w:p w14:paraId="5500887A" w14:textId="77777777" w:rsidR="006C2AD5" w:rsidRDefault="006C2AD5" w:rsidP="006C2AD5">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Pr>
          <w:rFonts w:asciiTheme="majorHAnsi" w:eastAsia="Calibri" w:hAnsiTheme="majorHAnsi" w:cstheme="majorHAnsi"/>
          <w:b/>
          <w:color w:val="000000"/>
          <w:sz w:val="20"/>
          <w:szCs w:val="20"/>
        </w:rPr>
        <w:t xml:space="preserve">Company: </w:t>
      </w:r>
      <w:r w:rsidRPr="002C78E2">
        <w:rPr>
          <w:rFonts w:asciiTheme="majorHAnsi" w:eastAsia="Calibri" w:hAnsiTheme="majorHAnsi" w:cstheme="majorHAnsi"/>
          <w:b/>
          <w:color w:val="000000"/>
          <w:sz w:val="20"/>
          <w:szCs w:val="20"/>
        </w:rPr>
        <w:t xml:space="preserve">Hayden IR </w:t>
      </w:r>
    </w:p>
    <w:p w14:paraId="1080A01E" w14:textId="77777777" w:rsidR="006C2AD5" w:rsidRDefault="006C2AD5" w:rsidP="006C2AD5">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Pr>
          <w:rFonts w:asciiTheme="majorHAnsi" w:eastAsia="Calibri" w:hAnsiTheme="majorHAnsi" w:cstheme="majorHAnsi"/>
          <w:b/>
          <w:color w:val="000000"/>
          <w:sz w:val="20"/>
          <w:szCs w:val="20"/>
        </w:rPr>
        <w:t xml:space="preserve">Phone: </w:t>
      </w:r>
      <w:r w:rsidRPr="002C78E2">
        <w:rPr>
          <w:rFonts w:asciiTheme="majorHAnsi" w:eastAsia="Calibri" w:hAnsiTheme="majorHAnsi" w:cstheme="majorHAnsi"/>
          <w:b/>
          <w:color w:val="000000"/>
          <w:sz w:val="20"/>
          <w:szCs w:val="20"/>
        </w:rPr>
        <w:t xml:space="preserve">(646)-755-7412 </w:t>
      </w:r>
    </w:p>
    <w:p w14:paraId="318B52AD" w14:textId="77777777" w:rsidR="006C2AD5" w:rsidRPr="00F354C6" w:rsidRDefault="006C2AD5" w:rsidP="006C2AD5">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highlight w:val="white"/>
        </w:rPr>
      </w:pPr>
      <w:r>
        <w:rPr>
          <w:rFonts w:asciiTheme="majorHAnsi" w:eastAsia="Calibri" w:hAnsiTheme="majorHAnsi" w:cstheme="majorHAnsi"/>
          <w:b/>
          <w:color w:val="000000"/>
          <w:sz w:val="20"/>
          <w:szCs w:val="20"/>
        </w:rPr>
        <w:t xml:space="preserve">Email: </w:t>
      </w:r>
      <w:r w:rsidRPr="002C78E2">
        <w:rPr>
          <w:rFonts w:asciiTheme="majorHAnsi" w:eastAsia="Calibri" w:hAnsiTheme="majorHAnsi" w:cstheme="majorHAnsi"/>
          <w:b/>
          <w:color w:val="000000"/>
          <w:sz w:val="20"/>
          <w:szCs w:val="20"/>
        </w:rPr>
        <w:t>james@haydenir.com</w:t>
      </w:r>
    </w:p>
    <w:p w14:paraId="0F51AAA3" w14:textId="77777777" w:rsidR="00B275F7" w:rsidRPr="00F354C6" w:rsidRDefault="00B275F7" w:rsidP="009D55CB">
      <w:pPr>
        <w:widowControl w:val="0"/>
        <w:spacing w:line="482" w:lineRule="auto"/>
        <w:ind w:right="1978" w:firstLine="5"/>
        <w:jc w:val="both"/>
        <w:rPr>
          <w:rFonts w:asciiTheme="majorHAnsi" w:hAnsiTheme="majorHAnsi" w:cstheme="majorHAnsi"/>
          <w:sz w:val="20"/>
          <w:szCs w:val="20"/>
        </w:rPr>
      </w:pPr>
    </w:p>
    <w:sectPr w:rsidR="00B275F7" w:rsidRPr="00F354C6">
      <w:type w:val="continuous"/>
      <w:pgSz w:w="12240" w:h="15840"/>
      <w:pgMar w:top="1440" w:right="1396"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F5BD1" w14:textId="77777777" w:rsidR="00D90A00" w:rsidRDefault="00D90A00">
      <w:pPr>
        <w:spacing w:line="240" w:lineRule="auto"/>
      </w:pPr>
      <w:r>
        <w:separator/>
      </w:r>
    </w:p>
  </w:endnote>
  <w:endnote w:type="continuationSeparator" w:id="0">
    <w:p w14:paraId="6EDDECE3" w14:textId="77777777" w:rsidR="00D90A00" w:rsidRDefault="00D90A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1DB6F" w14:textId="77777777" w:rsidR="00451370" w:rsidRDefault="004513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E651F" w14:textId="5F6F60CC" w:rsidR="00186FD1" w:rsidRPr="001E67E5" w:rsidRDefault="00186FD1">
    <w:pPr>
      <w:pStyle w:val="Footer"/>
      <w:rPr>
        <w:vanish/>
      </w:rPr>
    </w:pPr>
    <w:r w:rsidRPr="001E67E5">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694F2" w14:textId="77777777" w:rsidR="000348DE" w:rsidRDefault="00C16185">
    <w:pPr>
      <w:pBdr>
        <w:top w:val="nil"/>
        <w:left w:val="nil"/>
        <w:bottom w:val="nil"/>
        <w:right w:val="nil"/>
        <w:between w:val="nil"/>
      </w:pBdr>
      <w:tabs>
        <w:tab w:val="center" w:pos="4680"/>
        <w:tab w:val="right" w:pos="9360"/>
      </w:tabs>
      <w:spacing w:line="240" w:lineRule="auto"/>
      <w:rPr>
        <w:color w:val="000000"/>
      </w:rPr>
    </w:pPr>
    <w:r>
      <w:rPr>
        <w:noProof/>
        <w:lang w:val="en-US"/>
      </w:rPr>
      <mc:AlternateContent>
        <mc:Choice Requires="wps">
          <w:drawing>
            <wp:anchor distT="0" distB="0" distL="114300" distR="114300" simplePos="0" relativeHeight="251657216" behindDoc="1" locked="0" layoutInCell="1" allowOverlap="1" wp14:anchorId="678694F4" wp14:editId="678694F5">
              <wp:simplePos x="0" y="0"/>
              <wp:positionH relativeFrom="column">
                <wp:posOffset>114300</wp:posOffset>
              </wp:positionH>
              <wp:positionV relativeFrom="paragraph">
                <wp:posOffset>0</wp:posOffset>
              </wp:positionV>
              <wp:extent cx="2569845" cy="265430"/>
              <wp:effectExtent l="0" t="0" r="0" b="0"/>
              <wp:wrapNone/>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9845" cy="265430"/>
                      </a:xfrm>
                      <a:custGeom>
                        <a:avLst/>
                        <a:gdLst/>
                        <a:ahLst/>
                        <a:cxnLst/>
                        <a:rect l="l" t="t" r="r" b="b"/>
                        <a:pathLst>
                          <a:path w="2560320" h="255905" extrusionOk="0">
                            <a:moveTo>
                              <a:pt x="0" y="0"/>
                            </a:moveTo>
                            <a:lnTo>
                              <a:pt x="0" y="255905"/>
                            </a:lnTo>
                            <a:lnTo>
                              <a:pt x="2560320" y="255905"/>
                            </a:lnTo>
                            <a:lnTo>
                              <a:pt x="2560320" y="0"/>
                            </a:lnTo>
                            <a:close/>
                          </a:path>
                        </a:pathLst>
                      </a:custGeom>
                      <a:noFill/>
                      <a:ln>
                        <a:noFill/>
                      </a:ln>
                    </wps:spPr>
                    <wps:txbx>
                      <w:txbxContent>
                        <w:p w14:paraId="678694FA" w14:textId="77777777" w:rsidR="000348DE" w:rsidRDefault="00C16185">
                          <w:pPr>
                            <w:spacing w:line="200" w:lineRule="auto"/>
                            <w:textDirection w:val="btLr"/>
                          </w:pPr>
                          <w:r>
                            <w:rPr>
                              <w:color w:val="000000"/>
                              <w:sz w:val="15"/>
                            </w:rPr>
                            <w:t xml:space="preserve">312429784.2 </w:t>
                          </w:r>
                        </w:p>
                        <w:p w14:paraId="678694FB" w14:textId="77777777" w:rsidR="000348DE" w:rsidRDefault="000348DE">
                          <w:pPr>
                            <w:spacing w:line="200" w:lineRule="auto"/>
                            <w:textDirection w:val="btLr"/>
                          </w:pPr>
                        </w:p>
                      </w:txbxContent>
                    </wps:txbx>
                    <wps:bodyPr spcFirstLastPara="1" wrap="square" lIns="114300" tIns="0" rIns="114300" bIns="0" anchor="t" anchorCtr="0">
                      <a:noAutofit/>
                    </wps:bodyPr>
                  </wps:wsp>
                </a:graphicData>
              </a:graphic>
              <wp14:sizeRelH relativeFrom="page">
                <wp14:pctWidth>0</wp14:pctWidth>
              </wp14:sizeRelH>
              <wp14:sizeRelV relativeFrom="page">
                <wp14:pctHeight>0</wp14:pctHeight>
              </wp14:sizeRelV>
            </wp:anchor>
          </w:drawing>
        </mc:Choice>
        <mc:Fallback>
          <w:pict>
            <v:shape w14:anchorId="678694F4" id="Freeform: Shape 2" o:spid="_x0000_s1026" style="position:absolute;margin-left:9pt;margin-top:0;width:202.35pt;height:20.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560320,2559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" adj="-11796480,,5400" path="m,l,255905r2560320,l2560320,,,xe" filled="f" stroked="f">
              <v:stroke joinstyle="miter"/>
              <v:formulas/>
              <v:path arrowok="t" o:extrusionok="f" o:connecttype="custom" textboxrect="0,0,2560320,255905"/>
              <v:textbox inset="9pt,0,9pt,0">
                <w:txbxContent>
                  <w:p w14:paraId="678694FA" w14:textId="77777777" w:rsidR="000348DE" w:rsidRDefault="00C16185">
                    <w:pPr>
                      <w:spacing w:line="200" w:lineRule="auto"/>
                      <w:textDirection w:val="btLr"/>
                    </w:pPr>
                    <w:r>
                      <w:rPr>
                        <w:color w:val="000000"/>
                        <w:sz w:val="15"/>
                      </w:rPr>
                      <w:t xml:space="preserve">312429784.2 </w:t>
                    </w:r>
                  </w:p>
                  <w:p w14:paraId="678694FB" w14:textId="77777777" w:rsidR="000348DE" w:rsidRDefault="000348DE">
                    <w:pPr>
                      <w:spacing w:line="200" w:lineRule="auto"/>
                      <w:textDirection w:val="btLr"/>
                    </w:pPr>
                  </w:p>
                </w:txbxContent>
              </v:textbox>
            </v:shape>
          </w:pict>
        </mc:Fallback>
      </mc:AlternateContent>
    </w:r>
    <w:r w:rsidR="00D90A00">
      <w:rPr>
        <w:noProof/>
      </w:rPr>
      <w:pict w14:anchorId="105F1091">
        <v:shapetype id="_x0000_t202" coordsize="21600,21600" o:spt="202" path="m,l,21600r21600,l21600,xe">
          <v:stroke joinstyle="miter"/>
          <v:path gradientshapeok="t" o:connecttype="rect"/>
        </v:shapetype>
        <v:shape id="Text Box 2" o:spid="_x0000_s1025" type="#_x0000_t202" style="position:absolute;margin-left:0;margin-top:0;width:201.6pt;height:20.1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" filled="f" stroked="f">
          <v:textbox inset="0,0,0,0">
            <w:txbxContent>
              <w:p w14:paraId="678694FC" w14:textId="77777777" w:rsidR="000348DE" w:rsidRDefault="00C16185">
                <w:pPr>
                  <w:pStyle w:val="MacPacTrailer"/>
                </w:pPr>
                <w:r>
                  <w:t>C:\Users\dreibejc\Desktop\Gryphon\April 2023 Operational Update (JCD Comments).docx</w:t>
                </w:r>
              </w:p>
              <w:p w14:paraId="678694FD" w14:textId="77777777" w:rsidR="000348DE" w:rsidRDefault="000348DE">
                <w:pPr>
                  <w:pStyle w:val="MacPacTrailer"/>
                </w:pP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2CFD7" w14:textId="77777777" w:rsidR="00D90A00" w:rsidRDefault="00D90A00">
      <w:pPr>
        <w:spacing w:line="240" w:lineRule="auto"/>
      </w:pPr>
      <w:r>
        <w:separator/>
      </w:r>
    </w:p>
  </w:footnote>
  <w:footnote w:type="continuationSeparator" w:id="0">
    <w:p w14:paraId="318E9304" w14:textId="77777777" w:rsidR="00D90A00" w:rsidRDefault="00D90A0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3DA56" w14:textId="77777777" w:rsidR="00451370" w:rsidRDefault="004513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EEC7F" w14:textId="77777777" w:rsidR="00451370" w:rsidRDefault="0045137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3963E" w14:textId="77777777" w:rsidR="00451370" w:rsidRDefault="004513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D7BF2"/>
    <w:multiLevelType w:val="hybridMultilevel"/>
    <w:tmpl w:val="84E6C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E82F24"/>
    <w:multiLevelType w:val="multilevel"/>
    <w:tmpl w:val="50A087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4067A15"/>
    <w:multiLevelType w:val="hybridMultilevel"/>
    <w:tmpl w:val="B9DCB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F3CBF"/>
    <w:multiLevelType w:val="hybridMultilevel"/>
    <w:tmpl w:val="6F9AD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B70D88"/>
    <w:multiLevelType w:val="hybridMultilevel"/>
    <w:tmpl w:val="9B408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1121B8"/>
    <w:multiLevelType w:val="hybridMultilevel"/>
    <w:tmpl w:val="7C2C0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8B09C2"/>
    <w:multiLevelType w:val="multilevel"/>
    <w:tmpl w:val="1A826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DF22737"/>
    <w:multiLevelType w:val="hybridMultilevel"/>
    <w:tmpl w:val="52805C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F175F7"/>
    <w:multiLevelType w:val="multilevel"/>
    <w:tmpl w:val="B37AFB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564061D"/>
    <w:multiLevelType w:val="hybridMultilevel"/>
    <w:tmpl w:val="8D902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8780C08"/>
    <w:multiLevelType w:val="hybridMultilevel"/>
    <w:tmpl w:val="7EE49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287C92"/>
    <w:multiLevelType w:val="hybridMultilevel"/>
    <w:tmpl w:val="95161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844951"/>
    <w:multiLevelType w:val="multilevel"/>
    <w:tmpl w:val="CF7418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685499">
    <w:abstractNumId w:val="1"/>
  </w:num>
  <w:num w:numId="2" w16cid:durableId="1155023421">
    <w:abstractNumId w:val="6"/>
  </w:num>
  <w:num w:numId="3" w16cid:durableId="212423063">
    <w:abstractNumId w:val="8"/>
  </w:num>
  <w:num w:numId="4" w16cid:durableId="320500773">
    <w:abstractNumId w:val="2"/>
  </w:num>
  <w:num w:numId="5" w16cid:durableId="873272526">
    <w:abstractNumId w:val="9"/>
  </w:num>
  <w:num w:numId="6" w16cid:durableId="988292329">
    <w:abstractNumId w:val="7"/>
  </w:num>
  <w:num w:numId="7" w16cid:durableId="1128622947">
    <w:abstractNumId w:val="0"/>
  </w:num>
  <w:num w:numId="8" w16cid:durableId="1903709401">
    <w:abstractNumId w:val="10"/>
  </w:num>
  <w:num w:numId="9" w16cid:durableId="848712988">
    <w:abstractNumId w:val="11"/>
  </w:num>
  <w:num w:numId="10" w16cid:durableId="848444853">
    <w:abstractNumId w:val="5"/>
  </w:num>
  <w:num w:numId="11" w16cid:durableId="767851356">
    <w:abstractNumId w:val="12"/>
  </w:num>
  <w:num w:numId="12" w16cid:durableId="2058504660">
    <w:abstractNumId w:val="3"/>
  </w:num>
  <w:num w:numId="13" w16cid:durableId="90467879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trackRevision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ForteTempFile" w:val="C:\Users\mcrosby\AppData\Local\Temp\b17ed932-95d7-4935-b121-6d72ed1405a1.docx"/>
    <w:docVar w:name="zzmp10LastTrailerInserted" w:val="^`~#mp!@_;E#⌑┙┪55&lt;}}řm~”SOÈ6⌓KåRpŘ#m⌗‣⌈ˋc‣¯⌐!%eIxâ․Ûˋž%¥*@Iu%ÏÊ_y»Ŧ‟⌗ðË&quot;äÒ½þB⌡$wÉ⌐­⌟}\N¢⌑⌟õqnz(‟Y5ÖqÔÊ$(P[Ìmü›ÄZ$”|3¼BÓ⌂⌄Ñe:Þ⌂è88¸‣OWw¨l³OËauàZïſťÝ¶úƃ¼§ø\§9çŗ;¬ò£¤?'b8þ©ýÛ&gt;‟‣KlÃ_};?’þQB⌠øËyöeMLeìY×k&quot;¬sÒ§·³Ê_,※G²ÍÌóÌ⌉\]?ûCZÑuj)zÿ„~&amp;ŢàöïŘå¯F®T⌟a8011"/>
    <w:docVar w:name="zzmp10LastTrailerInserted_1078" w:val="^`~#mp!@_;E#⌑┙┪55&lt;}}řm~”SOÈ6⌓KåRpŘ#m⌗‣⌈ˋc‣¯⌐!%eIxâ․Ûˋž%¥*@Iu%ÏÊ_y»Ŧ‟⌗ðË&quot;äÒ½þB⌡$wÉ⌐­⌟}\N¢⌑⌟õqnz(‟Y5ÖqÔÊ$(P[Ìmü›ÄZ$”|3¼BÓ⌂⌄Ñe:Þ⌂è88¸‣OWw¨l³OËauàZïſťÝ¶úƃ¼§ø\§9çŗ;¬ò£¤?'b8þ©ýÛ&gt;‟‣KlÃ_};?’þQB⌠øËyöeMLeìY×k&quot;¬sÒ§·³Ê_,※G²ÍÌóÌ⌉\]?ûCZÑuj)zÿ„~&amp;ŢàöïŘå¯F®T⌟a8011"/>
    <w:docVar w:name="zzmp10mSEGsValidated" w:val="1"/>
    <w:docVar w:name="zzmpCompatibilityMode" w:val="15"/>
    <w:docVar w:name="zzmpLegacyTrailerRemoved" w:val="True"/>
  </w:docVars>
  <w:rsids>
    <w:rsidRoot w:val="000348DE"/>
    <w:rsid w:val="0000102F"/>
    <w:rsid w:val="000040FE"/>
    <w:rsid w:val="00006195"/>
    <w:rsid w:val="000066BF"/>
    <w:rsid w:val="00014FCB"/>
    <w:rsid w:val="000214FD"/>
    <w:rsid w:val="00021EFD"/>
    <w:rsid w:val="00024CE7"/>
    <w:rsid w:val="00025778"/>
    <w:rsid w:val="0002583C"/>
    <w:rsid w:val="00025C7D"/>
    <w:rsid w:val="00027745"/>
    <w:rsid w:val="000302E0"/>
    <w:rsid w:val="000347AC"/>
    <w:rsid w:val="000348DE"/>
    <w:rsid w:val="0004414D"/>
    <w:rsid w:val="00051457"/>
    <w:rsid w:val="000543A7"/>
    <w:rsid w:val="00055183"/>
    <w:rsid w:val="0005562F"/>
    <w:rsid w:val="0005690D"/>
    <w:rsid w:val="0005699C"/>
    <w:rsid w:val="00056AD2"/>
    <w:rsid w:val="000604F8"/>
    <w:rsid w:val="00061F81"/>
    <w:rsid w:val="00064E43"/>
    <w:rsid w:val="00066F65"/>
    <w:rsid w:val="00071471"/>
    <w:rsid w:val="00072F82"/>
    <w:rsid w:val="00073EB9"/>
    <w:rsid w:val="000816C6"/>
    <w:rsid w:val="00083D8E"/>
    <w:rsid w:val="000861FA"/>
    <w:rsid w:val="0008655F"/>
    <w:rsid w:val="00087CB6"/>
    <w:rsid w:val="00092346"/>
    <w:rsid w:val="00093ADD"/>
    <w:rsid w:val="00097143"/>
    <w:rsid w:val="000B2E1C"/>
    <w:rsid w:val="000C2197"/>
    <w:rsid w:val="000C382F"/>
    <w:rsid w:val="000C3A88"/>
    <w:rsid w:val="000C7395"/>
    <w:rsid w:val="000E1236"/>
    <w:rsid w:val="000E6A94"/>
    <w:rsid w:val="000F0D80"/>
    <w:rsid w:val="000F78F6"/>
    <w:rsid w:val="00101E90"/>
    <w:rsid w:val="00105ECF"/>
    <w:rsid w:val="0011335E"/>
    <w:rsid w:val="001137BB"/>
    <w:rsid w:val="00113F1B"/>
    <w:rsid w:val="00116F8A"/>
    <w:rsid w:val="0012336A"/>
    <w:rsid w:val="00123406"/>
    <w:rsid w:val="001260DE"/>
    <w:rsid w:val="0013314D"/>
    <w:rsid w:val="00134AEA"/>
    <w:rsid w:val="00140A59"/>
    <w:rsid w:val="00140C76"/>
    <w:rsid w:val="0014393C"/>
    <w:rsid w:val="00147192"/>
    <w:rsid w:val="00152328"/>
    <w:rsid w:val="001624B5"/>
    <w:rsid w:val="00166285"/>
    <w:rsid w:val="0017036D"/>
    <w:rsid w:val="00170EFB"/>
    <w:rsid w:val="00172018"/>
    <w:rsid w:val="001732F0"/>
    <w:rsid w:val="001737C1"/>
    <w:rsid w:val="001745E0"/>
    <w:rsid w:val="001747C2"/>
    <w:rsid w:val="001812D2"/>
    <w:rsid w:val="00181BDD"/>
    <w:rsid w:val="00186FD1"/>
    <w:rsid w:val="00190F45"/>
    <w:rsid w:val="00192AFB"/>
    <w:rsid w:val="0019378B"/>
    <w:rsid w:val="00193892"/>
    <w:rsid w:val="00195372"/>
    <w:rsid w:val="00197AF8"/>
    <w:rsid w:val="001A10DD"/>
    <w:rsid w:val="001A4863"/>
    <w:rsid w:val="001A6190"/>
    <w:rsid w:val="001A65F8"/>
    <w:rsid w:val="001A7055"/>
    <w:rsid w:val="001B6BD7"/>
    <w:rsid w:val="001C21B4"/>
    <w:rsid w:val="001C238B"/>
    <w:rsid w:val="001C3E07"/>
    <w:rsid w:val="001C3FBA"/>
    <w:rsid w:val="001C4C2B"/>
    <w:rsid w:val="001C500B"/>
    <w:rsid w:val="001C6E2D"/>
    <w:rsid w:val="001D013B"/>
    <w:rsid w:val="001D376F"/>
    <w:rsid w:val="001E0338"/>
    <w:rsid w:val="001E3758"/>
    <w:rsid w:val="001E52B8"/>
    <w:rsid w:val="001E62A5"/>
    <w:rsid w:val="001E67E5"/>
    <w:rsid w:val="001E755B"/>
    <w:rsid w:val="001F0AC3"/>
    <w:rsid w:val="001F0F22"/>
    <w:rsid w:val="001F5121"/>
    <w:rsid w:val="001F7BDB"/>
    <w:rsid w:val="001F7E12"/>
    <w:rsid w:val="00202DAA"/>
    <w:rsid w:val="002032C6"/>
    <w:rsid w:val="00204A72"/>
    <w:rsid w:val="002052BA"/>
    <w:rsid w:val="0021136F"/>
    <w:rsid w:val="0021230C"/>
    <w:rsid w:val="002127EE"/>
    <w:rsid w:val="002128ED"/>
    <w:rsid w:val="00212DAF"/>
    <w:rsid w:val="002155F5"/>
    <w:rsid w:val="0021713C"/>
    <w:rsid w:val="00221EE9"/>
    <w:rsid w:val="00222614"/>
    <w:rsid w:val="00224529"/>
    <w:rsid w:val="00226396"/>
    <w:rsid w:val="00230C50"/>
    <w:rsid w:val="00232D34"/>
    <w:rsid w:val="002358EA"/>
    <w:rsid w:val="00243230"/>
    <w:rsid w:val="002434DD"/>
    <w:rsid w:val="002455FD"/>
    <w:rsid w:val="00257AA9"/>
    <w:rsid w:val="002619D4"/>
    <w:rsid w:val="00262057"/>
    <w:rsid w:val="00264C1F"/>
    <w:rsid w:val="00266302"/>
    <w:rsid w:val="00266B67"/>
    <w:rsid w:val="00271BAD"/>
    <w:rsid w:val="0027436B"/>
    <w:rsid w:val="002806B6"/>
    <w:rsid w:val="002820B6"/>
    <w:rsid w:val="002828FE"/>
    <w:rsid w:val="00282942"/>
    <w:rsid w:val="0028737F"/>
    <w:rsid w:val="002902ED"/>
    <w:rsid w:val="00291BDF"/>
    <w:rsid w:val="00292ADB"/>
    <w:rsid w:val="00294D70"/>
    <w:rsid w:val="002970CE"/>
    <w:rsid w:val="00297DBC"/>
    <w:rsid w:val="002A0139"/>
    <w:rsid w:val="002A209C"/>
    <w:rsid w:val="002A247F"/>
    <w:rsid w:val="002A28C7"/>
    <w:rsid w:val="002A4155"/>
    <w:rsid w:val="002A73E8"/>
    <w:rsid w:val="002B3203"/>
    <w:rsid w:val="002C15D5"/>
    <w:rsid w:val="002C4B37"/>
    <w:rsid w:val="002C68E9"/>
    <w:rsid w:val="002C6C26"/>
    <w:rsid w:val="002D5040"/>
    <w:rsid w:val="002D6844"/>
    <w:rsid w:val="002D753E"/>
    <w:rsid w:val="002E04AE"/>
    <w:rsid w:val="002E103A"/>
    <w:rsid w:val="002E4947"/>
    <w:rsid w:val="002E5905"/>
    <w:rsid w:val="002E5A89"/>
    <w:rsid w:val="002F3968"/>
    <w:rsid w:val="002F3CB7"/>
    <w:rsid w:val="002F57D7"/>
    <w:rsid w:val="002F633F"/>
    <w:rsid w:val="0030717B"/>
    <w:rsid w:val="003135FC"/>
    <w:rsid w:val="00321EE6"/>
    <w:rsid w:val="00325321"/>
    <w:rsid w:val="003266C6"/>
    <w:rsid w:val="003268E0"/>
    <w:rsid w:val="00334E78"/>
    <w:rsid w:val="0033587E"/>
    <w:rsid w:val="00336474"/>
    <w:rsid w:val="00342529"/>
    <w:rsid w:val="003465F1"/>
    <w:rsid w:val="0035375E"/>
    <w:rsid w:val="0035502C"/>
    <w:rsid w:val="00355203"/>
    <w:rsid w:val="00355436"/>
    <w:rsid w:val="00361FF8"/>
    <w:rsid w:val="003679A3"/>
    <w:rsid w:val="0037098F"/>
    <w:rsid w:val="00371C4D"/>
    <w:rsid w:val="00371CDE"/>
    <w:rsid w:val="0037334D"/>
    <w:rsid w:val="00377D99"/>
    <w:rsid w:val="00382513"/>
    <w:rsid w:val="00385D60"/>
    <w:rsid w:val="00391980"/>
    <w:rsid w:val="00395513"/>
    <w:rsid w:val="003A027E"/>
    <w:rsid w:val="003B240E"/>
    <w:rsid w:val="003B6A65"/>
    <w:rsid w:val="003B7EF7"/>
    <w:rsid w:val="003C390F"/>
    <w:rsid w:val="003C5C1F"/>
    <w:rsid w:val="003D0232"/>
    <w:rsid w:val="003D035E"/>
    <w:rsid w:val="003D05D5"/>
    <w:rsid w:val="003D3A29"/>
    <w:rsid w:val="003D5DB7"/>
    <w:rsid w:val="003D794D"/>
    <w:rsid w:val="003E3368"/>
    <w:rsid w:val="003E5D44"/>
    <w:rsid w:val="003E650C"/>
    <w:rsid w:val="003F0ED6"/>
    <w:rsid w:val="003F28E5"/>
    <w:rsid w:val="003F6457"/>
    <w:rsid w:val="003F6520"/>
    <w:rsid w:val="003F71A6"/>
    <w:rsid w:val="00403D91"/>
    <w:rsid w:val="00405793"/>
    <w:rsid w:val="00410FFC"/>
    <w:rsid w:val="00413EA5"/>
    <w:rsid w:val="00415F69"/>
    <w:rsid w:val="00431D12"/>
    <w:rsid w:val="00434971"/>
    <w:rsid w:val="00440210"/>
    <w:rsid w:val="00441900"/>
    <w:rsid w:val="004460A4"/>
    <w:rsid w:val="00447FF8"/>
    <w:rsid w:val="00450E8C"/>
    <w:rsid w:val="00451218"/>
    <w:rsid w:val="00451370"/>
    <w:rsid w:val="004559A5"/>
    <w:rsid w:val="00455D64"/>
    <w:rsid w:val="00456944"/>
    <w:rsid w:val="00462F64"/>
    <w:rsid w:val="004652AD"/>
    <w:rsid w:val="00472AF3"/>
    <w:rsid w:val="0047377D"/>
    <w:rsid w:val="00473BEE"/>
    <w:rsid w:val="0047467B"/>
    <w:rsid w:val="00477231"/>
    <w:rsid w:val="004831DC"/>
    <w:rsid w:val="004867A2"/>
    <w:rsid w:val="00491FD7"/>
    <w:rsid w:val="004A0378"/>
    <w:rsid w:val="004A5150"/>
    <w:rsid w:val="004A533A"/>
    <w:rsid w:val="004A56FE"/>
    <w:rsid w:val="004A7AA0"/>
    <w:rsid w:val="004B011B"/>
    <w:rsid w:val="004B1F75"/>
    <w:rsid w:val="004B6562"/>
    <w:rsid w:val="004B713D"/>
    <w:rsid w:val="004B7BCD"/>
    <w:rsid w:val="004C1DBA"/>
    <w:rsid w:val="004C60CF"/>
    <w:rsid w:val="004C7A83"/>
    <w:rsid w:val="004D77FE"/>
    <w:rsid w:val="004D7A46"/>
    <w:rsid w:val="004E1D9A"/>
    <w:rsid w:val="004E1FCB"/>
    <w:rsid w:val="004E4438"/>
    <w:rsid w:val="004F181D"/>
    <w:rsid w:val="004F650A"/>
    <w:rsid w:val="005034EA"/>
    <w:rsid w:val="005037B0"/>
    <w:rsid w:val="005046AE"/>
    <w:rsid w:val="0050505C"/>
    <w:rsid w:val="0050730A"/>
    <w:rsid w:val="00512ADC"/>
    <w:rsid w:val="00516210"/>
    <w:rsid w:val="00520217"/>
    <w:rsid w:val="00522DC1"/>
    <w:rsid w:val="00526EA5"/>
    <w:rsid w:val="00526F91"/>
    <w:rsid w:val="0052755E"/>
    <w:rsid w:val="00532509"/>
    <w:rsid w:val="00532ED1"/>
    <w:rsid w:val="00534E40"/>
    <w:rsid w:val="00536A7A"/>
    <w:rsid w:val="00536F53"/>
    <w:rsid w:val="00536F98"/>
    <w:rsid w:val="0053749D"/>
    <w:rsid w:val="00550764"/>
    <w:rsid w:val="0056282D"/>
    <w:rsid w:val="00564DCD"/>
    <w:rsid w:val="00573D92"/>
    <w:rsid w:val="0058230A"/>
    <w:rsid w:val="00584876"/>
    <w:rsid w:val="00590B4F"/>
    <w:rsid w:val="00591DCB"/>
    <w:rsid w:val="00594342"/>
    <w:rsid w:val="0059474C"/>
    <w:rsid w:val="00595317"/>
    <w:rsid w:val="00595B45"/>
    <w:rsid w:val="005A6FE0"/>
    <w:rsid w:val="005B4494"/>
    <w:rsid w:val="005B4C7C"/>
    <w:rsid w:val="005B4FED"/>
    <w:rsid w:val="005C0AC0"/>
    <w:rsid w:val="005C2168"/>
    <w:rsid w:val="005C3516"/>
    <w:rsid w:val="005C35D6"/>
    <w:rsid w:val="005D10A2"/>
    <w:rsid w:val="005D44E5"/>
    <w:rsid w:val="005D5155"/>
    <w:rsid w:val="005E1123"/>
    <w:rsid w:val="005E341E"/>
    <w:rsid w:val="005E6378"/>
    <w:rsid w:val="005E7179"/>
    <w:rsid w:val="005F08E9"/>
    <w:rsid w:val="005F312B"/>
    <w:rsid w:val="005F73B5"/>
    <w:rsid w:val="00606C83"/>
    <w:rsid w:val="00606D1A"/>
    <w:rsid w:val="00606F54"/>
    <w:rsid w:val="0061095B"/>
    <w:rsid w:val="00610AD1"/>
    <w:rsid w:val="006129A4"/>
    <w:rsid w:val="00612FC0"/>
    <w:rsid w:val="00621B82"/>
    <w:rsid w:val="00622FC8"/>
    <w:rsid w:val="00624DE7"/>
    <w:rsid w:val="006339E3"/>
    <w:rsid w:val="00646907"/>
    <w:rsid w:val="00650646"/>
    <w:rsid w:val="006561C2"/>
    <w:rsid w:val="00657CF7"/>
    <w:rsid w:val="00660A5D"/>
    <w:rsid w:val="00663E6D"/>
    <w:rsid w:val="00664D40"/>
    <w:rsid w:val="00670EF4"/>
    <w:rsid w:val="00675AE9"/>
    <w:rsid w:val="006766E0"/>
    <w:rsid w:val="00677912"/>
    <w:rsid w:val="00683EE9"/>
    <w:rsid w:val="006872CF"/>
    <w:rsid w:val="00687494"/>
    <w:rsid w:val="00690BD4"/>
    <w:rsid w:val="00691A70"/>
    <w:rsid w:val="00693589"/>
    <w:rsid w:val="00694272"/>
    <w:rsid w:val="00696867"/>
    <w:rsid w:val="00697E65"/>
    <w:rsid w:val="006A034A"/>
    <w:rsid w:val="006A5313"/>
    <w:rsid w:val="006A55FD"/>
    <w:rsid w:val="006A7055"/>
    <w:rsid w:val="006B19DD"/>
    <w:rsid w:val="006C12F9"/>
    <w:rsid w:val="006C26B3"/>
    <w:rsid w:val="006C2AD5"/>
    <w:rsid w:val="006D396F"/>
    <w:rsid w:val="006D3C29"/>
    <w:rsid w:val="006D7853"/>
    <w:rsid w:val="006E0835"/>
    <w:rsid w:val="006E38E9"/>
    <w:rsid w:val="006E5D3D"/>
    <w:rsid w:val="006F0AA3"/>
    <w:rsid w:val="006F4A7A"/>
    <w:rsid w:val="006F4D6F"/>
    <w:rsid w:val="006F5D2C"/>
    <w:rsid w:val="006F6C67"/>
    <w:rsid w:val="00702D24"/>
    <w:rsid w:val="00705BA7"/>
    <w:rsid w:val="007102F9"/>
    <w:rsid w:val="0071072A"/>
    <w:rsid w:val="00710FC6"/>
    <w:rsid w:val="0071116D"/>
    <w:rsid w:val="007222DB"/>
    <w:rsid w:val="007226AE"/>
    <w:rsid w:val="00725361"/>
    <w:rsid w:val="007259A1"/>
    <w:rsid w:val="00730821"/>
    <w:rsid w:val="00733224"/>
    <w:rsid w:val="007332E9"/>
    <w:rsid w:val="007333B5"/>
    <w:rsid w:val="007358C2"/>
    <w:rsid w:val="00737249"/>
    <w:rsid w:val="0074116E"/>
    <w:rsid w:val="00741AFE"/>
    <w:rsid w:val="00742B25"/>
    <w:rsid w:val="00742E22"/>
    <w:rsid w:val="0074405C"/>
    <w:rsid w:val="00745732"/>
    <w:rsid w:val="007476DF"/>
    <w:rsid w:val="00752D95"/>
    <w:rsid w:val="00756903"/>
    <w:rsid w:val="007570D1"/>
    <w:rsid w:val="00757408"/>
    <w:rsid w:val="00757657"/>
    <w:rsid w:val="007600CE"/>
    <w:rsid w:val="007624C9"/>
    <w:rsid w:val="00762AFD"/>
    <w:rsid w:val="00771760"/>
    <w:rsid w:val="00772775"/>
    <w:rsid w:val="007760EB"/>
    <w:rsid w:val="00776C34"/>
    <w:rsid w:val="007772E2"/>
    <w:rsid w:val="00782168"/>
    <w:rsid w:val="00785B1F"/>
    <w:rsid w:val="0079542E"/>
    <w:rsid w:val="007A1F52"/>
    <w:rsid w:val="007A3B53"/>
    <w:rsid w:val="007B3B6F"/>
    <w:rsid w:val="007C0390"/>
    <w:rsid w:val="007C17F3"/>
    <w:rsid w:val="007C6AC6"/>
    <w:rsid w:val="007C74E9"/>
    <w:rsid w:val="007D0788"/>
    <w:rsid w:val="007D211E"/>
    <w:rsid w:val="007D30B2"/>
    <w:rsid w:val="007D3FCF"/>
    <w:rsid w:val="007D4602"/>
    <w:rsid w:val="007D48D9"/>
    <w:rsid w:val="007D787D"/>
    <w:rsid w:val="007D7DE9"/>
    <w:rsid w:val="007E294A"/>
    <w:rsid w:val="007E2BF0"/>
    <w:rsid w:val="007E5826"/>
    <w:rsid w:val="007F37E0"/>
    <w:rsid w:val="007F7AA9"/>
    <w:rsid w:val="00802FEF"/>
    <w:rsid w:val="00805431"/>
    <w:rsid w:val="00806793"/>
    <w:rsid w:val="00810E37"/>
    <w:rsid w:val="00814C81"/>
    <w:rsid w:val="008162EA"/>
    <w:rsid w:val="00831C2D"/>
    <w:rsid w:val="00832E77"/>
    <w:rsid w:val="0083423C"/>
    <w:rsid w:val="0083776B"/>
    <w:rsid w:val="0084283E"/>
    <w:rsid w:val="00845FA0"/>
    <w:rsid w:val="008521DB"/>
    <w:rsid w:val="00853D73"/>
    <w:rsid w:val="008562D9"/>
    <w:rsid w:val="008617A1"/>
    <w:rsid w:val="00865D78"/>
    <w:rsid w:val="0087365C"/>
    <w:rsid w:val="00880040"/>
    <w:rsid w:val="00880AE3"/>
    <w:rsid w:val="008816CD"/>
    <w:rsid w:val="008844D4"/>
    <w:rsid w:val="00890EF0"/>
    <w:rsid w:val="00891EF2"/>
    <w:rsid w:val="00897E76"/>
    <w:rsid w:val="008A5FB9"/>
    <w:rsid w:val="008B2D27"/>
    <w:rsid w:val="008B32E9"/>
    <w:rsid w:val="008B724A"/>
    <w:rsid w:val="008C6236"/>
    <w:rsid w:val="008D0F9A"/>
    <w:rsid w:val="008D107F"/>
    <w:rsid w:val="008D5EAD"/>
    <w:rsid w:val="008D6158"/>
    <w:rsid w:val="008D6485"/>
    <w:rsid w:val="008D64F0"/>
    <w:rsid w:val="008D659A"/>
    <w:rsid w:val="008D7014"/>
    <w:rsid w:val="008E2195"/>
    <w:rsid w:val="008E5F85"/>
    <w:rsid w:val="008E6FE8"/>
    <w:rsid w:val="008E79F5"/>
    <w:rsid w:val="008F4010"/>
    <w:rsid w:val="008F4DD4"/>
    <w:rsid w:val="008F5DB5"/>
    <w:rsid w:val="008F6DEA"/>
    <w:rsid w:val="008F6E08"/>
    <w:rsid w:val="00900CD9"/>
    <w:rsid w:val="00901139"/>
    <w:rsid w:val="0090404F"/>
    <w:rsid w:val="0090524B"/>
    <w:rsid w:val="009148B5"/>
    <w:rsid w:val="0091564C"/>
    <w:rsid w:val="00917D56"/>
    <w:rsid w:val="00921B13"/>
    <w:rsid w:val="0092386D"/>
    <w:rsid w:val="00927214"/>
    <w:rsid w:val="00927E04"/>
    <w:rsid w:val="00933465"/>
    <w:rsid w:val="00934FDE"/>
    <w:rsid w:val="00937C4C"/>
    <w:rsid w:val="00937CE0"/>
    <w:rsid w:val="00943FB4"/>
    <w:rsid w:val="00944F04"/>
    <w:rsid w:val="0094642A"/>
    <w:rsid w:val="00946574"/>
    <w:rsid w:val="00954231"/>
    <w:rsid w:val="00955B0C"/>
    <w:rsid w:val="00956DB1"/>
    <w:rsid w:val="009616BB"/>
    <w:rsid w:val="00961D1E"/>
    <w:rsid w:val="00962FBD"/>
    <w:rsid w:val="009659FE"/>
    <w:rsid w:val="009674DB"/>
    <w:rsid w:val="00970490"/>
    <w:rsid w:val="00971FED"/>
    <w:rsid w:val="00972271"/>
    <w:rsid w:val="0097776C"/>
    <w:rsid w:val="009816A7"/>
    <w:rsid w:val="00983049"/>
    <w:rsid w:val="00986B7A"/>
    <w:rsid w:val="00987B21"/>
    <w:rsid w:val="0099411E"/>
    <w:rsid w:val="009972E0"/>
    <w:rsid w:val="009A4DCB"/>
    <w:rsid w:val="009A74FC"/>
    <w:rsid w:val="009A7DD0"/>
    <w:rsid w:val="009B0C2F"/>
    <w:rsid w:val="009B2359"/>
    <w:rsid w:val="009B241F"/>
    <w:rsid w:val="009B2C80"/>
    <w:rsid w:val="009C08A0"/>
    <w:rsid w:val="009C11E5"/>
    <w:rsid w:val="009C2B8E"/>
    <w:rsid w:val="009C38A7"/>
    <w:rsid w:val="009C508A"/>
    <w:rsid w:val="009C7C1B"/>
    <w:rsid w:val="009D1D80"/>
    <w:rsid w:val="009D1E26"/>
    <w:rsid w:val="009D312B"/>
    <w:rsid w:val="009D3E3E"/>
    <w:rsid w:val="009D4A42"/>
    <w:rsid w:val="009D55CB"/>
    <w:rsid w:val="009E05AA"/>
    <w:rsid w:val="009E39E6"/>
    <w:rsid w:val="009F3C7B"/>
    <w:rsid w:val="009F4B7F"/>
    <w:rsid w:val="009F5674"/>
    <w:rsid w:val="00A01D57"/>
    <w:rsid w:val="00A140CF"/>
    <w:rsid w:val="00A141F2"/>
    <w:rsid w:val="00A15D07"/>
    <w:rsid w:val="00A2160C"/>
    <w:rsid w:val="00A21892"/>
    <w:rsid w:val="00A218EB"/>
    <w:rsid w:val="00A245E7"/>
    <w:rsid w:val="00A2579E"/>
    <w:rsid w:val="00A35AFA"/>
    <w:rsid w:val="00A40022"/>
    <w:rsid w:val="00A434FB"/>
    <w:rsid w:val="00A55ED4"/>
    <w:rsid w:val="00A57179"/>
    <w:rsid w:val="00A61EA8"/>
    <w:rsid w:val="00A631B3"/>
    <w:rsid w:val="00A638E9"/>
    <w:rsid w:val="00A639B0"/>
    <w:rsid w:val="00A66FAF"/>
    <w:rsid w:val="00A7111C"/>
    <w:rsid w:val="00A75470"/>
    <w:rsid w:val="00A8438F"/>
    <w:rsid w:val="00A91748"/>
    <w:rsid w:val="00A92043"/>
    <w:rsid w:val="00A924C5"/>
    <w:rsid w:val="00A94E72"/>
    <w:rsid w:val="00A96784"/>
    <w:rsid w:val="00A97243"/>
    <w:rsid w:val="00AA1B86"/>
    <w:rsid w:val="00AA2F04"/>
    <w:rsid w:val="00AB1378"/>
    <w:rsid w:val="00AB1616"/>
    <w:rsid w:val="00AB1B1B"/>
    <w:rsid w:val="00AB2A63"/>
    <w:rsid w:val="00AB2ED7"/>
    <w:rsid w:val="00AB4A08"/>
    <w:rsid w:val="00AB71EF"/>
    <w:rsid w:val="00AC01DE"/>
    <w:rsid w:val="00AC0B05"/>
    <w:rsid w:val="00AC58D4"/>
    <w:rsid w:val="00AD5655"/>
    <w:rsid w:val="00AD67DE"/>
    <w:rsid w:val="00AE46AC"/>
    <w:rsid w:val="00AF070C"/>
    <w:rsid w:val="00AF217D"/>
    <w:rsid w:val="00AF701D"/>
    <w:rsid w:val="00AF769B"/>
    <w:rsid w:val="00B00823"/>
    <w:rsid w:val="00B0299A"/>
    <w:rsid w:val="00B06FC1"/>
    <w:rsid w:val="00B07646"/>
    <w:rsid w:val="00B07909"/>
    <w:rsid w:val="00B10AF4"/>
    <w:rsid w:val="00B13C4B"/>
    <w:rsid w:val="00B14160"/>
    <w:rsid w:val="00B17988"/>
    <w:rsid w:val="00B24E3E"/>
    <w:rsid w:val="00B275F7"/>
    <w:rsid w:val="00B34C13"/>
    <w:rsid w:val="00B42164"/>
    <w:rsid w:val="00B43874"/>
    <w:rsid w:val="00B5005A"/>
    <w:rsid w:val="00B50A51"/>
    <w:rsid w:val="00B5215B"/>
    <w:rsid w:val="00B54024"/>
    <w:rsid w:val="00B54F1D"/>
    <w:rsid w:val="00B566D6"/>
    <w:rsid w:val="00B60106"/>
    <w:rsid w:val="00B62A18"/>
    <w:rsid w:val="00B65EE7"/>
    <w:rsid w:val="00B7072B"/>
    <w:rsid w:val="00B71512"/>
    <w:rsid w:val="00B76F98"/>
    <w:rsid w:val="00B81A74"/>
    <w:rsid w:val="00B82785"/>
    <w:rsid w:val="00B8657E"/>
    <w:rsid w:val="00B87F38"/>
    <w:rsid w:val="00B91072"/>
    <w:rsid w:val="00B96F7B"/>
    <w:rsid w:val="00B96FDF"/>
    <w:rsid w:val="00BA6143"/>
    <w:rsid w:val="00BA6780"/>
    <w:rsid w:val="00BB5D76"/>
    <w:rsid w:val="00BB5E60"/>
    <w:rsid w:val="00BB7EC9"/>
    <w:rsid w:val="00BC12C3"/>
    <w:rsid w:val="00BC1CA7"/>
    <w:rsid w:val="00BC2091"/>
    <w:rsid w:val="00BC2887"/>
    <w:rsid w:val="00BC52D7"/>
    <w:rsid w:val="00BD21AE"/>
    <w:rsid w:val="00BD34A1"/>
    <w:rsid w:val="00BD4A0A"/>
    <w:rsid w:val="00BD4D60"/>
    <w:rsid w:val="00BD64FA"/>
    <w:rsid w:val="00BE24FB"/>
    <w:rsid w:val="00BE3518"/>
    <w:rsid w:val="00BE5E94"/>
    <w:rsid w:val="00BF5A76"/>
    <w:rsid w:val="00C00326"/>
    <w:rsid w:val="00C009D5"/>
    <w:rsid w:val="00C041ED"/>
    <w:rsid w:val="00C05EDB"/>
    <w:rsid w:val="00C060CF"/>
    <w:rsid w:val="00C1274A"/>
    <w:rsid w:val="00C1414F"/>
    <w:rsid w:val="00C16185"/>
    <w:rsid w:val="00C166F6"/>
    <w:rsid w:val="00C203D2"/>
    <w:rsid w:val="00C25F5C"/>
    <w:rsid w:val="00C318F5"/>
    <w:rsid w:val="00C329C3"/>
    <w:rsid w:val="00C35FC3"/>
    <w:rsid w:val="00C423FB"/>
    <w:rsid w:val="00C439DD"/>
    <w:rsid w:val="00C45F2B"/>
    <w:rsid w:val="00C478AB"/>
    <w:rsid w:val="00C60ECB"/>
    <w:rsid w:val="00C61BCB"/>
    <w:rsid w:val="00C652E3"/>
    <w:rsid w:val="00C6775E"/>
    <w:rsid w:val="00C7085A"/>
    <w:rsid w:val="00C742D9"/>
    <w:rsid w:val="00C8353B"/>
    <w:rsid w:val="00C8584B"/>
    <w:rsid w:val="00C910C8"/>
    <w:rsid w:val="00C9501F"/>
    <w:rsid w:val="00CA1308"/>
    <w:rsid w:val="00CA18B6"/>
    <w:rsid w:val="00CA4ACB"/>
    <w:rsid w:val="00CC5952"/>
    <w:rsid w:val="00CD3F1B"/>
    <w:rsid w:val="00CD6E4A"/>
    <w:rsid w:val="00CD761C"/>
    <w:rsid w:val="00CE19C2"/>
    <w:rsid w:val="00CE26EF"/>
    <w:rsid w:val="00CE3445"/>
    <w:rsid w:val="00CE4116"/>
    <w:rsid w:val="00CE50B9"/>
    <w:rsid w:val="00CE7DE9"/>
    <w:rsid w:val="00CF02EC"/>
    <w:rsid w:val="00CF039C"/>
    <w:rsid w:val="00CF4CBF"/>
    <w:rsid w:val="00CF71D4"/>
    <w:rsid w:val="00CF788A"/>
    <w:rsid w:val="00D005AC"/>
    <w:rsid w:val="00D01CF6"/>
    <w:rsid w:val="00D04E6E"/>
    <w:rsid w:val="00D06086"/>
    <w:rsid w:val="00D066DC"/>
    <w:rsid w:val="00D071C0"/>
    <w:rsid w:val="00D07F85"/>
    <w:rsid w:val="00D11A38"/>
    <w:rsid w:val="00D15D63"/>
    <w:rsid w:val="00D15E72"/>
    <w:rsid w:val="00D16CA1"/>
    <w:rsid w:val="00D22D62"/>
    <w:rsid w:val="00D251AD"/>
    <w:rsid w:val="00D26F82"/>
    <w:rsid w:val="00D27A0C"/>
    <w:rsid w:val="00D305FD"/>
    <w:rsid w:val="00D378ED"/>
    <w:rsid w:val="00D40009"/>
    <w:rsid w:val="00D4370B"/>
    <w:rsid w:val="00D45FDD"/>
    <w:rsid w:val="00D531D8"/>
    <w:rsid w:val="00D55366"/>
    <w:rsid w:val="00D556F3"/>
    <w:rsid w:val="00D56096"/>
    <w:rsid w:val="00D566E5"/>
    <w:rsid w:val="00D57215"/>
    <w:rsid w:val="00D57272"/>
    <w:rsid w:val="00D602C7"/>
    <w:rsid w:val="00D71F00"/>
    <w:rsid w:val="00D73087"/>
    <w:rsid w:val="00D769F3"/>
    <w:rsid w:val="00D8154B"/>
    <w:rsid w:val="00D90A00"/>
    <w:rsid w:val="00D93681"/>
    <w:rsid w:val="00D94295"/>
    <w:rsid w:val="00DA0180"/>
    <w:rsid w:val="00DA04A7"/>
    <w:rsid w:val="00DA080A"/>
    <w:rsid w:val="00DA0EF1"/>
    <w:rsid w:val="00DA6ADF"/>
    <w:rsid w:val="00DB20DF"/>
    <w:rsid w:val="00DB2BEA"/>
    <w:rsid w:val="00DB7B8A"/>
    <w:rsid w:val="00DC0665"/>
    <w:rsid w:val="00DC06AF"/>
    <w:rsid w:val="00DC5CE8"/>
    <w:rsid w:val="00DC622E"/>
    <w:rsid w:val="00DC77F5"/>
    <w:rsid w:val="00DD3302"/>
    <w:rsid w:val="00DD4962"/>
    <w:rsid w:val="00DE318E"/>
    <w:rsid w:val="00DE3A33"/>
    <w:rsid w:val="00DE49E4"/>
    <w:rsid w:val="00DE5A80"/>
    <w:rsid w:val="00DE7B0B"/>
    <w:rsid w:val="00DF2A69"/>
    <w:rsid w:val="00DF3FF7"/>
    <w:rsid w:val="00DF62BA"/>
    <w:rsid w:val="00E0453F"/>
    <w:rsid w:val="00E1165E"/>
    <w:rsid w:val="00E13C3A"/>
    <w:rsid w:val="00E13C85"/>
    <w:rsid w:val="00E169AD"/>
    <w:rsid w:val="00E1727B"/>
    <w:rsid w:val="00E2081F"/>
    <w:rsid w:val="00E608D4"/>
    <w:rsid w:val="00E60CE5"/>
    <w:rsid w:val="00E612B0"/>
    <w:rsid w:val="00E64A55"/>
    <w:rsid w:val="00E64F01"/>
    <w:rsid w:val="00E70DA0"/>
    <w:rsid w:val="00E724EB"/>
    <w:rsid w:val="00E74E78"/>
    <w:rsid w:val="00E75455"/>
    <w:rsid w:val="00E75A4D"/>
    <w:rsid w:val="00E75A51"/>
    <w:rsid w:val="00E769CA"/>
    <w:rsid w:val="00E779CB"/>
    <w:rsid w:val="00E81CA5"/>
    <w:rsid w:val="00E8432A"/>
    <w:rsid w:val="00E860E7"/>
    <w:rsid w:val="00E87597"/>
    <w:rsid w:val="00E93E06"/>
    <w:rsid w:val="00E94575"/>
    <w:rsid w:val="00EA1EC8"/>
    <w:rsid w:val="00EA4355"/>
    <w:rsid w:val="00EA70D9"/>
    <w:rsid w:val="00EB0ECD"/>
    <w:rsid w:val="00EB242C"/>
    <w:rsid w:val="00EB7844"/>
    <w:rsid w:val="00EC1944"/>
    <w:rsid w:val="00EC5DF0"/>
    <w:rsid w:val="00ED15AF"/>
    <w:rsid w:val="00ED3AE7"/>
    <w:rsid w:val="00ED5F11"/>
    <w:rsid w:val="00ED66FA"/>
    <w:rsid w:val="00ED6890"/>
    <w:rsid w:val="00ED708A"/>
    <w:rsid w:val="00EE03A9"/>
    <w:rsid w:val="00EE32F4"/>
    <w:rsid w:val="00EE4160"/>
    <w:rsid w:val="00EF099C"/>
    <w:rsid w:val="00EF3720"/>
    <w:rsid w:val="00EF3C7C"/>
    <w:rsid w:val="00EF5ECE"/>
    <w:rsid w:val="00F00951"/>
    <w:rsid w:val="00F034AB"/>
    <w:rsid w:val="00F16370"/>
    <w:rsid w:val="00F17D71"/>
    <w:rsid w:val="00F21721"/>
    <w:rsid w:val="00F232C9"/>
    <w:rsid w:val="00F3409A"/>
    <w:rsid w:val="00F34D38"/>
    <w:rsid w:val="00F354C6"/>
    <w:rsid w:val="00F37187"/>
    <w:rsid w:val="00F37836"/>
    <w:rsid w:val="00F4013E"/>
    <w:rsid w:val="00F40626"/>
    <w:rsid w:val="00F42172"/>
    <w:rsid w:val="00F45B04"/>
    <w:rsid w:val="00F51EDB"/>
    <w:rsid w:val="00F52AE5"/>
    <w:rsid w:val="00F5346B"/>
    <w:rsid w:val="00F55F00"/>
    <w:rsid w:val="00F55FF7"/>
    <w:rsid w:val="00F640F4"/>
    <w:rsid w:val="00F64CFF"/>
    <w:rsid w:val="00F65639"/>
    <w:rsid w:val="00F67D0E"/>
    <w:rsid w:val="00F67EB1"/>
    <w:rsid w:val="00F7088E"/>
    <w:rsid w:val="00F724DF"/>
    <w:rsid w:val="00F7385C"/>
    <w:rsid w:val="00F7618F"/>
    <w:rsid w:val="00F77039"/>
    <w:rsid w:val="00F80F72"/>
    <w:rsid w:val="00F82544"/>
    <w:rsid w:val="00F85E0A"/>
    <w:rsid w:val="00F866B1"/>
    <w:rsid w:val="00F871A9"/>
    <w:rsid w:val="00F8734C"/>
    <w:rsid w:val="00F9080D"/>
    <w:rsid w:val="00F97A00"/>
    <w:rsid w:val="00F97E61"/>
    <w:rsid w:val="00FA21BE"/>
    <w:rsid w:val="00FA2A61"/>
    <w:rsid w:val="00FA4D21"/>
    <w:rsid w:val="00FA71B7"/>
    <w:rsid w:val="00FB2A52"/>
    <w:rsid w:val="00FB31BE"/>
    <w:rsid w:val="00FB36E3"/>
    <w:rsid w:val="00FB70BF"/>
    <w:rsid w:val="00FC04A8"/>
    <w:rsid w:val="00FC0C4B"/>
    <w:rsid w:val="00FC462C"/>
    <w:rsid w:val="00FC78F8"/>
    <w:rsid w:val="00FC79BA"/>
    <w:rsid w:val="00FD3080"/>
    <w:rsid w:val="00FD6869"/>
    <w:rsid w:val="00FD78FC"/>
    <w:rsid w:val="00FE12DA"/>
    <w:rsid w:val="00FE29F1"/>
    <w:rsid w:val="00FF1F50"/>
    <w:rsid w:val="00FF5184"/>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8694BF"/>
  <w15:docId w15:val="{3C5C40AC-2B02-444C-87DA-F34560AED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Revision">
    <w:name w:val="Revision"/>
    <w:hidden/>
    <w:uiPriority w:val="99"/>
    <w:semiHidden/>
    <w:pPr>
      <w:spacing w:line="240" w:lineRule="auto"/>
    </w:pPr>
  </w:style>
  <w:style w:type="character" w:styleId="Hyperlink">
    <w:name w:val="Hyperlink"/>
    <w:basedOn w:val="DefaultParagraphFont"/>
    <w:uiPriority w:val="99"/>
    <w:unhideWhenUsed/>
    <w:rPr>
      <w:color w:val="0000FF" w:themeColor="hyperlink"/>
      <w:u w:val="single"/>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style>
  <w:style w:type="paragraph" w:customStyle="1" w:styleId="MacPacTrailer">
    <w:name w:val="MacPac Trailer"/>
    <w:pPr>
      <w:widowControl w:val="0"/>
      <w:spacing w:line="200" w:lineRule="exact"/>
    </w:pPr>
    <w:rPr>
      <w:rFonts w:eastAsia="Times New Roman" w:cs="Times New Roman"/>
      <w:sz w:val="15"/>
      <w:lang w:val="en-US"/>
    </w:rPr>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FollowedHyperlink">
    <w:name w:val="FollowedHyperlink"/>
    <w:basedOn w:val="DefaultParagraphFont"/>
    <w:uiPriority w:val="99"/>
    <w:semiHidden/>
    <w:unhideWhenUsed/>
    <w:rPr>
      <w:color w:val="800080" w:themeColor="followedHyperlink"/>
      <w:u w:val="single"/>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UnresolvedMention3">
    <w:name w:val="Unresolved Mention3"/>
    <w:basedOn w:val="DefaultParagraphFont"/>
    <w:uiPriority w:val="99"/>
    <w:semiHidden/>
    <w:unhideWhenUsed/>
    <w:rPr>
      <w:color w:val="605E5C"/>
      <w:shd w:val="clear" w:color="auto" w:fill="E1DFDD"/>
    </w:rPr>
  </w:style>
  <w:style w:type="character" w:customStyle="1" w:styleId="UnresolvedMention4">
    <w:name w:val="Unresolved Mention4"/>
    <w:basedOn w:val="DefaultParagraphFont"/>
    <w:uiPriority w:val="99"/>
    <w:semiHidden/>
    <w:unhideWhenUsed/>
    <w:rPr>
      <w:color w:val="605E5C"/>
      <w:shd w:val="clear" w:color="auto" w:fill="E1DFDD"/>
    </w:rPr>
  </w:style>
  <w:style w:type="character" w:customStyle="1" w:styleId="UnresolvedMention5">
    <w:name w:val="Unresolved Mention5"/>
    <w:basedOn w:val="DefaultParagraphFont"/>
    <w:uiPriority w:val="99"/>
    <w:semiHidden/>
    <w:unhideWhenUsed/>
    <w:rPr>
      <w:color w:val="605E5C"/>
      <w:shd w:val="clear" w:color="auto" w:fill="E1DFDD"/>
    </w:rPr>
  </w:style>
  <w:style w:type="character" w:customStyle="1" w:styleId="UnresolvedMention6">
    <w:name w:val="Unresolved Mention6"/>
    <w:basedOn w:val="DefaultParagraphFont"/>
    <w:uiPriority w:val="99"/>
    <w:semiHidden/>
    <w:unhideWhenUsed/>
    <w:rPr>
      <w:color w:val="605E5C"/>
      <w:shd w:val="clear" w:color="auto" w:fill="E1DFDD"/>
    </w:rPr>
  </w:style>
  <w:style w:type="character" w:customStyle="1" w:styleId="UnresolvedMention7">
    <w:name w:val="Unresolved Mention7"/>
    <w:basedOn w:val="DefaultParagraphFont"/>
    <w:uiPriority w:val="99"/>
    <w:semiHidden/>
    <w:unhideWhenUsed/>
    <w:rPr>
      <w:color w:val="605E5C"/>
      <w:shd w:val="clear" w:color="auto" w:fill="E1DFDD"/>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customStyle="1" w:styleId="UnresolvedMention8">
    <w:name w:val="Unresolved Mention8"/>
    <w:basedOn w:val="DefaultParagraphFont"/>
    <w:uiPriority w:val="99"/>
    <w:semiHidden/>
    <w:unhideWhenUsed/>
    <w:rPr>
      <w:color w:val="605E5C"/>
      <w:shd w:val="clear" w:color="auto" w:fill="E1DFDD"/>
    </w:rPr>
  </w:style>
  <w:style w:type="character" w:styleId="UnresolvedMention">
    <w:name w:val="Unresolved Mention"/>
    <w:basedOn w:val="DefaultParagraphFont"/>
    <w:uiPriority w:val="99"/>
    <w:semiHidden/>
    <w:unhideWhenUsed/>
    <w:rsid w:val="00B275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2505907">
      <w:bodyDiv w:val="1"/>
      <w:marLeft w:val="0"/>
      <w:marRight w:val="0"/>
      <w:marTop w:val="0"/>
      <w:marBottom w:val="0"/>
      <w:divBdr>
        <w:top w:val="none" w:sz="0" w:space="0" w:color="auto"/>
        <w:left w:val="none" w:sz="0" w:space="0" w:color="auto"/>
        <w:bottom w:val="none" w:sz="0" w:space="0" w:color="auto"/>
        <w:right w:val="none" w:sz="0" w:space="0" w:color="auto"/>
      </w:divBdr>
    </w:div>
    <w:div w:id="521162614">
      <w:bodyDiv w:val="1"/>
      <w:marLeft w:val="0"/>
      <w:marRight w:val="0"/>
      <w:marTop w:val="0"/>
      <w:marBottom w:val="0"/>
      <w:divBdr>
        <w:top w:val="none" w:sz="0" w:space="0" w:color="auto"/>
        <w:left w:val="none" w:sz="0" w:space="0" w:color="auto"/>
        <w:bottom w:val="none" w:sz="0" w:space="0" w:color="auto"/>
        <w:right w:val="none" w:sz="0" w:space="0" w:color="auto"/>
      </w:divBdr>
    </w:div>
    <w:div w:id="639846710">
      <w:bodyDiv w:val="1"/>
      <w:marLeft w:val="0"/>
      <w:marRight w:val="0"/>
      <w:marTop w:val="0"/>
      <w:marBottom w:val="0"/>
      <w:divBdr>
        <w:top w:val="none" w:sz="0" w:space="0" w:color="auto"/>
        <w:left w:val="none" w:sz="0" w:space="0" w:color="auto"/>
        <w:bottom w:val="none" w:sz="0" w:space="0" w:color="auto"/>
        <w:right w:val="none" w:sz="0" w:space="0" w:color="auto"/>
      </w:divBdr>
    </w:div>
    <w:div w:id="809395370">
      <w:bodyDiv w:val="1"/>
      <w:marLeft w:val="0"/>
      <w:marRight w:val="0"/>
      <w:marTop w:val="0"/>
      <w:marBottom w:val="0"/>
      <w:divBdr>
        <w:top w:val="none" w:sz="0" w:space="0" w:color="auto"/>
        <w:left w:val="none" w:sz="0" w:space="0" w:color="auto"/>
        <w:bottom w:val="none" w:sz="0" w:space="0" w:color="auto"/>
        <w:right w:val="none" w:sz="0" w:space="0" w:color="auto"/>
      </w:divBdr>
    </w:div>
    <w:div w:id="858198468">
      <w:bodyDiv w:val="1"/>
      <w:marLeft w:val="0"/>
      <w:marRight w:val="0"/>
      <w:marTop w:val="0"/>
      <w:marBottom w:val="0"/>
      <w:divBdr>
        <w:top w:val="none" w:sz="0" w:space="0" w:color="auto"/>
        <w:left w:val="none" w:sz="0" w:space="0" w:color="auto"/>
        <w:bottom w:val="none" w:sz="0" w:space="0" w:color="auto"/>
        <w:right w:val="none" w:sz="0" w:space="0" w:color="auto"/>
      </w:divBdr>
    </w:div>
    <w:div w:id="1201746358">
      <w:bodyDiv w:val="1"/>
      <w:marLeft w:val="0"/>
      <w:marRight w:val="0"/>
      <w:marTop w:val="0"/>
      <w:marBottom w:val="0"/>
      <w:divBdr>
        <w:top w:val="none" w:sz="0" w:space="0" w:color="auto"/>
        <w:left w:val="none" w:sz="0" w:space="0" w:color="auto"/>
        <w:bottom w:val="none" w:sz="0" w:space="0" w:color="auto"/>
        <w:right w:val="none" w:sz="0" w:space="0" w:color="auto"/>
      </w:divBdr>
      <w:divsChild>
        <w:div w:id="1594894964">
          <w:marLeft w:val="1411"/>
          <w:marRight w:val="0"/>
          <w:marTop w:val="0"/>
          <w:marBottom w:val="0"/>
          <w:divBdr>
            <w:top w:val="none" w:sz="0" w:space="0" w:color="auto"/>
            <w:left w:val="none" w:sz="0" w:space="0" w:color="auto"/>
            <w:bottom w:val="none" w:sz="0" w:space="0" w:color="auto"/>
            <w:right w:val="none" w:sz="0" w:space="0" w:color="auto"/>
          </w:divBdr>
        </w:div>
      </w:divsChild>
    </w:div>
    <w:div w:id="1207722000">
      <w:bodyDiv w:val="1"/>
      <w:marLeft w:val="0"/>
      <w:marRight w:val="0"/>
      <w:marTop w:val="0"/>
      <w:marBottom w:val="0"/>
      <w:divBdr>
        <w:top w:val="none" w:sz="0" w:space="0" w:color="auto"/>
        <w:left w:val="none" w:sz="0" w:space="0" w:color="auto"/>
        <w:bottom w:val="none" w:sz="0" w:space="0" w:color="auto"/>
        <w:right w:val="none" w:sz="0" w:space="0" w:color="auto"/>
      </w:divBdr>
    </w:div>
    <w:div w:id="1262910280">
      <w:bodyDiv w:val="1"/>
      <w:marLeft w:val="0"/>
      <w:marRight w:val="0"/>
      <w:marTop w:val="0"/>
      <w:marBottom w:val="0"/>
      <w:divBdr>
        <w:top w:val="none" w:sz="0" w:space="0" w:color="auto"/>
        <w:left w:val="none" w:sz="0" w:space="0" w:color="auto"/>
        <w:bottom w:val="none" w:sz="0" w:space="0" w:color="auto"/>
        <w:right w:val="none" w:sz="0" w:space="0" w:color="auto"/>
      </w:divBdr>
    </w:div>
    <w:div w:id="1443763155">
      <w:bodyDiv w:val="1"/>
      <w:marLeft w:val="0"/>
      <w:marRight w:val="0"/>
      <w:marTop w:val="0"/>
      <w:marBottom w:val="0"/>
      <w:divBdr>
        <w:top w:val="none" w:sz="0" w:space="0" w:color="auto"/>
        <w:left w:val="none" w:sz="0" w:space="0" w:color="auto"/>
        <w:bottom w:val="none" w:sz="0" w:space="0" w:color="auto"/>
        <w:right w:val="none" w:sz="0" w:space="0" w:color="auto"/>
      </w:divBdr>
    </w:div>
    <w:div w:id="20241621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s://www.accesswire.com/952391/gryphon-digital-mining-signs-definitive-agreement-for-natural-gas-assets-securing-low-cost-power-of-100-mw-expandable-and-scalable-to-1-gw"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www.accesswire.com/966406/gryphon-digital-mining-signs-definitive-agreement-for-hpcai-asset-scalable-to-4gw-of-green-energy-through-natural-gas-and-carbon-sequestration" TargetMode="External"/><Relationship Id="rId2" Type="http://schemas.openxmlformats.org/officeDocument/2006/relationships/customXml" Target="../customXml/item2.xml"/><Relationship Id="rId16" Type="http://schemas.openxmlformats.org/officeDocument/2006/relationships/hyperlink" Target="https://gryphondigitalmining.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https://gryphondigitalmining.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JRmbHKI6ZfrTHkm2V68RpETAoNw==">AMUW2mXPbzDO3vbohmwwBuaNMNM+cfxW3XMKeNGowQElTG0iOWriEkcwaYuYZ0l9Ug4CUzwqYzgogPH/CsZmf15IyZtqCVIIJS0vLl2faZPw/YoCNRMPa/M=</go:docsCustomData>
</go:gDocsCustomXmlDataStorage>
</file>

<file path=customXml/itemProps1.xml><?xml version="1.0" encoding="utf-8"?>
<ds:datastoreItem xmlns:ds="http://schemas.openxmlformats.org/officeDocument/2006/customXml" ds:itemID="{1D5BAAC3-1392-46F5-862E-76CAD83A009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911</Words>
  <Characters>5198</Characters>
  <Application>Microsoft Office Word</Application>
  <DocSecurity>0</DocSecurity>
  <PresentationFormat/>
  <Lines>43</Lines>
  <Paragraphs>12</Paragraphs>
  <ScaleCrop>false</ScaleCrop>
  <HeadingPairs>
    <vt:vector size="2" baseType="variant">
      <vt:variant>
        <vt:lpstr>Title</vt:lpstr>
      </vt:variant>
      <vt:variant>
        <vt:i4>1</vt:i4>
      </vt:variant>
    </vt:vector>
  </HeadingPairs>
  <TitlesOfParts>
    <vt:vector size="1" baseType="lpstr">
      <vt:lpstr>Gryphon - Operational Update PR February (AB Edits) (01332988).DOCX</vt:lpstr>
    </vt:vector>
  </TitlesOfParts>
  <Company>K&amp;L Gates LLP</Company>
  <LinksUpToDate>false</LinksUpToDate>
  <CharactersWithSpaces>6097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Gryphon - Operational Update PR February (AB Edits) (01332988).DOCX</dc:title>
  <dc:subject>Gryphon - Operational Update PR May edit.docx.1</dc:subject>
  <dc:creator>Dreibelbis, Jason C.</dc:creator>
  <cp:keywords/>
  <dc:description/>
  <cp:lastModifiedBy>James Carbonara</cp:lastModifiedBy>
  <cp:revision>2</cp:revision>
  <dcterms:created xsi:type="dcterms:W3CDTF">2025-01-13T22:25:00Z</dcterms:created>
  <dcterms:modified xsi:type="dcterms:W3CDTF">2025-01-13T22:25:00Z</dcterms:modified>
</cp:coreProperties>
</file>