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D28" w:rsidRPr="00720661" w:rsidRDefault="00D14D28" w:rsidP="00D14D28">
      <w:pPr>
        <w:pStyle w:val="NoSpacing"/>
        <w:rPr>
          <w:b/>
        </w:rPr>
      </w:pPr>
      <w:bookmarkStart w:id="0" w:name="_GoBack"/>
      <w:bookmarkEnd w:id="0"/>
      <w:r w:rsidRPr="00720661">
        <w:rPr>
          <w:rFonts w:ascii="Gisha" w:eastAsia="Times New Roman" w:hAnsi="Gisha" w:cs="Gisha"/>
          <w:noProof/>
          <w:sz w:val="24"/>
          <w:szCs w:val="20"/>
        </w:rPr>
        <w:drawing>
          <wp:anchor distT="0" distB="0" distL="114300" distR="114300" simplePos="0" relativeHeight="251659264" behindDoc="1" locked="0" layoutInCell="1" allowOverlap="1" wp14:anchorId="46875393" wp14:editId="509E14C1">
            <wp:simplePos x="0" y="0"/>
            <wp:positionH relativeFrom="column">
              <wp:posOffset>1057275</wp:posOffset>
            </wp:positionH>
            <wp:positionV relativeFrom="paragraph">
              <wp:posOffset>78740</wp:posOffset>
            </wp:positionV>
            <wp:extent cx="2990850" cy="627643"/>
            <wp:effectExtent l="0" t="0" r="0" b="1270"/>
            <wp:wrapNone/>
            <wp:docPr id="1" name="Picture 1"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3007270" cy="6310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D14D28" w:rsidRPr="00720661" w:rsidRDefault="00D14D28" w:rsidP="00D14D28">
      <w:pPr>
        <w:pStyle w:val="NoSpacing"/>
        <w:rPr>
          <w:b/>
        </w:rPr>
      </w:pPr>
    </w:p>
    <w:p w:rsidR="00D14D28" w:rsidRPr="00720661" w:rsidRDefault="00D14D28" w:rsidP="00D14D28">
      <w:pPr>
        <w:pStyle w:val="NoSpacing"/>
        <w:rPr>
          <w:b/>
        </w:rPr>
      </w:pPr>
    </w:p>
    <w:p w:rsidR="00D14D28" w:rsidRPr="00720661" w:rsidRDefault="00D14D28" w:rsidP="00D14D28">
      <w:pPr>
        <w:pStyle w:val="NoSpacing"/>
        <w:rPr>
          <w:b/>
        </w:rPr>
      </w:pPr>
    </w:p>
    <w:p w:rsidR="00D14D28" w:rsidRPr="00720661" w:rsidRDefault="00D14D28" w:rsidP="00D14D28">
      <w:pPr>
        <w:pStyle w:val="NoSpacing"/>
        <w:rPr>
          <w:b/>
        </w:rPr>
      </w:pPr>
    </w:p>
    <w:p w:rsidR="00D14D28" w:rsidRPr="00720661" w:rsidRDefault="00D14D28" w:rsidP="00D14D28">
      <w:pPr>
        <w:pStyle w:val="NoSpacing"/>
        <w:rPr>
          <w:b/>
        </w:rPr>
      </w:pPr>
      <w:r w:rsidRPr="00720661">
        <w:rPr>
          <w:b/>
        </w:rPr>
        <w:t>FOR IMMEDIATE RELEASE</w:t>
      </w:r>
    </w:p>
    <w:p w:rsidR="00D14D28" w:rsidRPr="00720661" w:rsidRDefault="00D14D28" w:rsidP="00D14D28">
      <w:pPr>
        <w:pStyle w:val="NoSpacing"/>
        <w:rPr>
          <w:b/>
        </w:rPr>
      </w:pPr>
    </w:p>
    <w:p w:rsidR="00D14D28" w:rsidRPr="00720661" w:rsidRDefault="00720661" w:rsidP="00380F9A">
      <w:pPr>
        <w:pStyle w:val="NoSpacing"/>
        <w:rPr>
          <w:b/>
          <w:sz w:val="32"/>
          <w:szCs w:val="32"/>
        </w:rPr>
      </w:pPr>
      <w:r>
        <w:rPr>
          <w:b/>
          <w:sz w:val="32"/>
          <w:szCs w:val="32"/>
        </w:rPr>
        <w:t>Association for Corporate Growth South Florida’s President’s Private Equity Award</w:t>
      </w:r>
      <w:r w:rsidR="00DC5382" w:rsidRPr="00720661">
        <w:rPr>
          <w:b/>
          <w:sz w:val="32"/>
          <w:szCs w:val="32"/>
        </w:rPr>
        <w:t xml:space="preserve">: </w:t>
      </w:r>
      <w:r w:rsidR="000000D1" w:rsidRPr="00720661">
        <w:rPr>
          <w:b/>
          <w:sz w:val="32"/>
          <w:szCs w:val="32"/>
        </w:rPr>
        <w:t>H.I.G. Capital</w:t>
      </w:r>
      <w:r w:rsidR="00FC33C1" w:rsidRPr="00720661">
        <w:rPr>
          <w:b/>
          <w:sz w:val="32"/>
          <w:szCs w:val="32"/>
        </w:rPr>
        <w:t>’s Acquisition of BIC Graphic</w:t>
      </w:r>
    </w:p>
    <w:p w:rsidR="00380F9A" w:rsidRPr="00720661" w:rsidRDefault="00380F9A" w:rsidP="00380F9A">
      <w:pPr>
        <w:pStyle w:val="NoSpacing"/>
        <w:rPr>
          <w:b/>
        </w:rPr>
      </w:pPr>
    </w:p>
    <w:p w:rsidR="006428C9" w:rsidRPr="00640599" w:rsidRDefault="00231CEB" w:rsidP="006428C9">
      <w:pPr>
        <w:autoSpaceDE w:val="0"/>
        <w:autoSpaceDN w:val="0"/>
        <w:adjustRightInd w:val="0"/>
        <w:spacing w:after="0" w:line="240" w:lineRule="auto"/>
        <w:rPr>
          <w:rFonts w:cstheme="minorHAnsi"/>
        </w:rPr>
      </w:pPr>
      <w:r w:rsidRPr="00720661">
        <w:rPr>
          <w:b/>
          <w:i/>
        </w:rPr>
        <w:t>South Florida</w:t>
      </w:r>
      <w:r w:rsidR="00D14D28" w:rsidRPr="00720661">
        <w:rPr>
          <w:b/>
          <w:i/>
        </w:rPr>
        <w:t xml:space="preserve">, </w:t>
      </w:r>
      <w:r w:rsidR="00B91E58" w:rsidRPr="00720661">
        <w:rPr>
          <w:b/>
          <w:i/>
        </w:rPr>
        <w:t xml:space="preserve">May </w:t>
      </w:r>
      <w:r w:rsidR="00BC7555">
        <w:rPr>
          <w:b/>
          <w:i/>
        </w:rPr>
        <w:t>23</w:t>
      </w:r>
      <w:r w:rsidR="00A03A03" w:rsidRPr="00720661">
        <w:rPr>
          <w:b/>
          <w:i/>
        </w:rPr>
        <w:t>, 2018</w:t>
      </w:r>
      <w:r w:rsidR="00D14D28" w:rsidRPr="00720661">
        <w:rPr>
          <w:b/>
        </w:rPr>
        <w:t>.</w:t>
      </w:r>
      <w:r w:rsidR="00D14D28" w:rsidRPr="00720661">
        <w:t xml:space="preserve"> The South Florida Chapter of the Association for Corporate Growth (ACG-South Florida) ann</w:t>
      </w:r>
      <w:r w:rsidR="00FB1C0B" w:rsidRPr="00720661">
        <w:t xml:space="preserve">ounced today </w:t>
      </w:r>
      <w:r w:rsidR="00F52DA5" w:rsidRPr="00720661">
        <w:t>the</w:t>
      </w:r>
      <w:r w:rsidR="00380F9A" w:rsidRPr="00720661">
        <w:t xml:space="preserve"> winner of the</w:t>
      </w:r>
      <w:r w:rsidR="000000D1" w:rsidRPr="00720661">
        <w:t xml:space="preserve"> inaugural “President’s Private Equity</w:t>
      </w:r>
      <w:r w:rsidR="00F210D6" w:rsidRPr="00720661">
        <w:t>”</w:t>
      </w:r>
      <w:r w:rsidR="00F52DA5" w:rsidRPr="00720661">
        <w:t xml:space="preserve"> award</w:t>
      </w:r>
      <w:r w:rsidR="00A03A03" w:rsidRPr="00720661">
        <w:t xml:space="preserve">. </w:t>
      </w:r>
      <w:r w:rsidR="000000D1" w:rsidRPr="00720661">
        <w:t xml:space="preserve">H.I.G. </w:t>
      </w:r>
      <w:r w:rsidR="000000D1">
        <w:t>Capital</w:t>
      </w:r>
      <w:r w:rsidR="00380F9A" w:rsidRPr="00CD309A">
        <w:t xml:space="preserve"> </w:t>
      </w:r>
      <w:r w:rsidR="00072033">
        <w:t>(“H</w:t>
      </w:r>
      <w:r w:rsidR="009C29D8">
        <w:t>.</w:t>
      </w:r>
      <w:r w:rsidR="00072033">
        <w:t>I</w:t>
      </w:r>
      <w:r w:rsidR="009C29D8">
        <w:t>.</w:t>
      </w:r>
      <w:r w:rsidR="00072033">
        <w:t>G</w:t>
      </w:r>
      <w:r w:rsidR="009C29D8">
        <w:t>.</w:t>
      </w:r>
      <w:r w:rsidR="00072033">
        <w:t xml:space="preserve">”) </w:t>
      </w:r>
      <w:r w:rsidR="00F210D6">
        <w:t xml:space="preserve">was </w:t>
      </w:r>
      <w:r w:rsidR="005E62D6">
        <w:t xml:space="preserve">selected </w:t>
      </w:r>
      <w:r w:rsidR="00F210D6">
        <w:t>fo</w:t>
      </w:r>
      <w:r w:rsidR="00CF2A03">
        <w:t xml:space="preserve">r </w:t>
      </w:r>
      <w:r w:rsidR="000000D1">
        <w:t xml:space="preserve">its superior </w:t>
      </w:r>
      <w:r w:rsidR="005E62D6">
        <w:t xml:space="preserve">track record of deal-making and </w:t>
      </w:r>
      <w:r w:rsidR="000000D1">
        <w:t>portfolio</w:t>
      </w:r>
      <w:r w:rsidR="00B91E58">
        <w:t xml:space="preserve"> company</w:t>
      </w:r>
      <w:r w:rsidR="00A03A03">
        <w:t xml:space="preserve"> growth</w:t>
      </w:r>
      <w:r w:rsidR="005E62D6">
        <w:t>.  H</w:t>
      </w:r>
      <w:r w:rsidR="007E3250">
        <w:t>.</w:t>
      </w:r>
      <w:r w:rsidR="005E62D6">
        <w:t>I</w:t>
      </w:r>
      <w:r w:rsidR="007E3250">
        <w:t>.</w:t>
      </w:r>
      <w:r w:rsidR="005E62D6">
        <w:t>G</w:t>
      </w:r>
      <w:r w:rsidR="007E3250">
        <w:t>.</w:t>
      </w:r>
      <w:r w:rsidR="005E62D6">
        <w:t xml:space="preserve">’s recent </w:t>
      </w:r>
      <w:r w:rsidR="00464862">
        <w:t>acquisition of</w:t>
      </w:r>
      <w:r w:rsidR="005E62D6">
        <w:t xml:space="preserve"> BIC Graphic North America is </w:t>
      </w:r>
      <w:r w:rsidR="006834DF">
        <w:t xml:space="preserve">an </w:t>
      </w:r>
      <w:r w:rsidR="005E62D6">
        <w:t xml:space="preserve">illustration of </w:t>
      </w:r>
      <w:r w:rsidR="006834DF">
        <w:t>both these areas of</w:t>
      </w:r>
      <w:r w:rsidR="005D785C">
        <w:t>+</w:t>
      </w:r>
      <w:r w:rsidR="006834DF">
        <w:t xml:space="preserve"> expertise</w:t>
      </w:r>
      <w:r w:rsidR="005E62D6">
        <w:t>.</w:t>
      </w:r>
      <w:r w:rsidR="000000D1">
        <w:t xml:space="preserve"> </w:t>
      </w:r>
    </w:p>
    <w:p w:rsidR="00A03A03" w:rsidRDefault="00A03A03" w:rsidP="00F210D6">
      <w:pPr>
        <w:pStyle w:val="NoSpacing"/>
      </w:pPr>
    </w:p>
    <w:p w:rsidR="005E62D6" w:rsidRPr="003A3001" w:rsidRDefault="005E62D6" w:rsidP="005E62D6">
      <w:pPr>
        <w:autoSpaceDE w:val="0"/>
        <w:autoSpaceDN w:val="0"/>
        <w:adjustRightInd w:val="0"/>
        <w:spacing w:after="0" w:line="240" w:lineRule="auto"/>
        <w:rPr>
          <w:b/>
        </w:rPr>
      </w:pPr>
      <w:r w:rsidRPr="003A3001">
        <w:rPr>
          <w:b/>
        </w:rPr>
        <w:t>About the BIC Graphic Acquisition</w:t>
      </w:r>
      <w:r>
        <w:rPr>
          <w:b/>
        </w:rPr>
        <w:t>:</w:t>
      </w:r>
    </w:p>
    <w:p w:rsidR="00570A41" w:rsidRDefault="005E62D6" w:rsidP="005E62D6">
      <w:pPr>
        <w:autoSpaceDE w:val="0"/>
        <w:autoSpaceDN w:val="0"/>
        <w:adjustRightInd w:val="0"/>
        <w:spacing w:after="0" w:line="240" w:lineRule="auto"/>
        <w:rPr>
          <w:rFonts w:cstheme="minorHAnsi"/>
          <w:color w:val="000000"/>
        </w:rPr>
      </w:pPr>
      <w:r>
        <w:t xml:space="preserve">In June 2017, an affiliate of H.I.G. Capital </w:t>
      </w:r>
      <w:r w:rsidRPr="00CE21C1">
        <w:rPr>
          <w:rFonts w:cstheme="minorHAnsi"/>
          <w:color w:val="000000"/>
        </w:rPr>
        <w:t xml:space="preserve">acquired BIC Graphic North America and the affiliated Asia sourcing operations (“BIC Graphic” or the “Company”) from Société BIC S.A. (“BIC”) (EPA:BB). </w:t>
      </w:r>
      <w:r>
        <w:rPr>
          <w:rFonts w:cstheme="minorHAnsi"/>
          <w:color w:val="000000"/>
        </w:rPr>
        <w:t xml:space="preserve"> BIC Graphic, headquartered in Clearwater, Florida and founded in 1969, has</w:t>
      </w:r>
      <w:r w:rsidRPr="00CE21C1">
        <w:rPr>
          <w:rFonts w:cstheme="minorHAnsi"/>
          <w:color w:val="000000"/>
        </w:rPr>
        <w:t xml:space="preserve"> sales </w:t>
      </w:r>
      <w:r>
        <w:rPr>
          <w:rFonts w:cstheme="minorHAnsi"/>
          <w:color w:val="000000"/>
        </w:rPr>
        <w:t xml:space="preserve">of </w:t>
      </w:r>
      <w:r w:rsidRPr="00CE21C1">
        <w:rPr>
          <w:rFonts w:cstheme="minorHAnsi"/>
          <w:color w:val="000000"/>
        </w:rPr>
        <w:t xml:space="preserve">over $300 million, </w:t>
      </w:r>
      <w:r>
        <w:rPr>
          <w:rFonts w:cstheme="minorHAnsi"/>
          <w:color w:val="000000"/>
        </w:rPr>
        <w:t xml:space="preserve">and </w:t>
      </w:r>
      <w:r w:rsidRPr="00CE21C1">
        <w:rPr>
          <w:rFonts w:cstheme="minorHAnsi"/>
          <w:color w:val="000000"/>
        </w:rPr>
        <w:t>is one of the largest suppliers in the promotional products industry, specializing in customized writing instruments, hard goods and calendars. BIC Graphic’s quality, innovation, and service are highly regarded by tens of thousands of distributor customers. The Company operates three manufacturing facilities across the United States plus a highly strategic product sourcing operation i</w:t>
      </w:r>
      <w:r w:rsidR="00072033">
        <w:rPr>
          <w:rFonts w:cstheme="minorHAnsi"/>
          <w:color w:val="000000"/>
        </w:rPr>
        <w:t xml:space="preserve">n Hong Kong and mainland China.  </w:t>
      </w:r>
    </w:p>
    <w:p w:rsidR="00570A41" w:rsidRDefault="00570A41" w:rsidP="005E62D6">
      <w:pPr>
        <w:autoSpaceDE w:val="0"/>
        <w:autoSpaceDN w:val="0"/>
        <w:adjustRightInd w:val="0"/>
        <w:spacing w:after="0" w:line="240" w:lineRule="auto"/>
        <w:rPr>
          <w:rFonts w:cstheme="minorHAnsi"/>
          <w:color w:val="000000"/>
        </w:rPr>
      </w:pPr>
    </w:p>
    <w:p w:rsidR="005E62D6" w:rsidRPr="00CE21C1" w:rsidRDefault="00072033" w:rsidP="005E62D6">
      <w:pPr>
        <w:autoSpaceDE w:val="0"/>
        <w:autoSpaceDN w:val="0"/>
        <w:adjustRightInd w:val="0"/>
        <w:spacing w:after="0" w:line="240" w:lineRule="auto"/>
        <w:rPr>
          <w:rFonts w:cstheme="minorHAnsi"/>
          <w:color w:val="000000"/>
        </w:rPr>
      </w:pPr>
      <w:r>
        <w:rPr>
          <w:rFonts w:cstheme="minorHAnsi"/>
          <w:color w:val="000000"/>
        </w:rPr>
        <w:t>The acquisition reflected a true partnership approach between H</w:t>
      </w:r>
      <w:r w:rsidR="00C50F7F">
        <w:rPr>
          <w:rFonts w:cstheme="minorHAnsi"/>
          <w:color w:val="000000"/>
        </w:rPr>
        <w:t>.</w:t>
      </w:r>
      <w:r>
        <w:rPr>
          <w:rFonts w:cstheme="minorHAnsi"/>
          <w:color w:val="000000"/>
        </w:rPr>
        <w:t>I</w:t>
      </w:r>
      <w:r w:rsidR="00C50F7F">
        <w:rPr>
          <w:rFonts w:cstheme="minorHAnsi"/>
          <w:color w:val="000000"/>
        </w:rPr>
        <w:t>.</w:t>
      </w:r>
      <w:r>
        <w:rPr>
          <w:rFonts w:cstheme="minorHAnsi"/>
          <w:color w:val="000000"/>
        </w:rPr>
        <w:t>G</w:t>
      </w:r>
      <w:r w:rsidR="00C50F7F">
        <w:rPr>
          <w:rFonts w:cstheme="minorHAnsi"/>
          <w:color w:val="000000"/>
        </w:rPr>
        <w:t>.</w:t>
      </w:r>
      <w:r>
        <w:rPr>
          <w:rFonts w:cstheme="minorHAnsi"/>
          <w:color w:val="000000"/>
        </w:rPr>
        <w:t xml:space="preserve">, </w:t>
      </w:r>
      <w:r w:rsidR="003A3001" w:rsidRPr="00CE21C1">
        <w:rPr>
          <w:rFonts w:cstheme="minorHAnsi"/>
          <w:color w:val="000000"/>
        </w:rPr>
        <w:t xml:space="preserve">Société </w:t>
      </w:r>
      <w:r>
        <w:rPr>
          <w:rFonts w:cstheme="minorHAnsi"/>
          <w:color w:val="000000"/>
        </w:rPr>
        <w:t>BIC, and the Company.</w:t>
      </w:r>
      <w:r w:rsidR="004E2096">
        <w:rPr>
          <w:rFonts w:cstheme="minorHAnsi"/>
          <w:color w:val="000000"/>
        </w:rPr>
        <w:t xml:space="preserve">  The groups worked together pre-close to complete the divestiture from BIC, and are pleased that the company is now a successful standalone entity.</w:t>
      </w:r>
    </w:p>
    <w:p w:rsidR="005E62D6" w:rsidRDefault="005E62D6" w:rsidP="005E62D6">
      <w:pPr>
        <w:autoSpaceDE w:val="0"/>
        <w:autoSpaceDN w:val="0"/>
        <w:adjustRightInd w:val="0"/>
        <w:spacing w:after="0" w:line="240" w:lineRule="auto"/>
        <w:rPr>
          <w:rFonts w:cstheme="minorHAnsi"/>
          <w:color w:val="000000"/>
        </w:rPr>
      </w:pPr>
    </w:p>
    <w:p w:rsidR="005E62D6" w:rsidRDefault="005E62D6" w:rsidP="005E62D6">
      <w:pPr>
        <w:autoSpaceDE w:val="0"/>
        <w:autoSpaceDN w:val="0"/>
        <w:adjustRightInd w:val="0"/>
        <w:spacing w:after="0" w:line="240" w:lineRule="auto"/>
        <w:rPr>
          <w:rFonts w:cstheme="minorHAnsi"/>
          <w:color w:val="000000"/>
        </w:rPr>
      </w:pPr>
      <w:r w:rsidRPr="00CE21C1">
        <w:rPr>
          <w:rFonts w:cstheme="minorHAnsi"/>
          <w:color w:val="000000"/>
        </w:rPr>
        <w:t xml:space="preserve">Camilo E. Horvilleur, Managing Director at H.I.G. </w:t>
      </w:r>
      <w:r>
        <w:rPr>
          <w:rFonts w:cstheme="minorHAnsi"/>
          <w:color w:val="000000"/>
        </w:rPr>
        <w:t xml:space="preserve">noted, </w:t>
      </w:r>
      <w:r w:rsidRPr="00CE21C1">
        <w:rPr>
          <w:rFonts w:cstheme="minorHAnsi"/>
          <w:color w:val="000000"/>
        </w:rPr>
        <w:t>“BIC Graphic is a clear leader in a consolidating market due to its compelling customer value proposition. To accelerate growth, we will further pursue innovative product development, and expand upon the Company's operational excellence and technology leadership. We see substantial opportunities to grow</w:t>
      </w:r>
      <w:r>
        <w:rPr>
          <w:rFonts w:cstheme="minorHAnsi"/>
          <w:color w:val="000000"/>
        </w:rPr>
        <w:t xml:space="preserve"> organically and through M&amp;A.  We have been thrilled with the Company’s performance since the acquisition, and are very pleased to have partnered with a new CEO, David Klatt, to lead the business through an accelerating growth plan.”  </w:t>
      </w:r>
    </w:p>
    <w:p w:rsidR="005E62D6" w:rsidRDefault="005E62D6" w:rsidP="005E62D6">
      <w:pPr>
        <w:autoSpaceDE w:val="0"/>
        <w:autoSpaceDN w:val="0"/>
        <w:adjustRightInd w:val="0"/>
        <w:spacing w:after="0" w:line="240" w:lineRule="auto"/>
        <w:rPr>
          <w:rFonts w:cstheme="minorHAnsi"/>
          <w:color w:val="000000"/>
        </w:rPr>
      </w:pPr>
    </w:p>
    <w:p w:rsidR="005E62D6" w:rsidRDefault="005E62D6" w:rsidP="00720661">
      <w:pPr>
        <w:autoSpaceDE w:val="0"/>
        <w:autoSpaceDN w:val="0"/>
        <w:adjustRightInd w:val="0"/>
        <w:spacing w:after="0" w:line="240" w:lineRule="auto"/>
        <w:rPr>
          <w:rFonts w:cstheme="minorHAnsi"/>
          <w:color w:val="000000"/>
        </w:rPr>
      </w:pPr>
      <w:r>
        <w:rPr>
          <w:rFonts w:cstheme="minorHAnsi"/>
          <w:color w:val="000000"/>
        </w:rPr>
        <w:t xml:space="preserve">BIC Graphic is </w:t>
      </w:r>
      <w:r w:rsidRPr="00CE21C1">
        <w:rPr>
          <w:rFonts w:cstheme="minorHAnsi"/>
          <w:color w:val="000000"/>
        </w:rPr>
        <w:t>the third investment in the promotional products industry for H.I.G.</w:t>
      </w:r>
      <w:r w:rsidR="004E2096">
        <w:rPr>
          <w:rFonts w:cstheme="minorHAnsi"/>
          <w:color w:val="000000"/>
        </w:rPr>
        <w:t xml:space="preserve">  </w:t>
      </w:r>
    </w:p>
    <w:p w:rsidR="00720661" w:rsidRPr="00720661" w:rsidRDefault="00720661" w:rsidP="00720661">
      <w:pPr>
        <w:autoSpaceDE w:val="0"/>
        <w:autoSpaceDN w:val="0"/>
        <w:adjustRightInd w:val="0"/>
        <w:spacing w:after="0" w:line="240" w:lineRule="auto"/>
        <w:rPr>
          <w:rFonts w:cstheme="minorHAnsi"/>
          <w:color w:val="000000"/>
        </w:rPr>
      </w:pPr>
    </w:p>
    <w:p w:rsidR="006428C9" w:rsidRPr="003A3001" w:rsidRDefault="005E62D6" w:rsidP="001315F6">
      <w:pPr>
        <w:spacing w:after="0"/>
        <w:rPr>
          <w:rFonts w:ascii="Calibri" w:eastAsia="Times New Roman" w:hAnsi="Calibri" w:cs="Times New Roman"/>
          <w:b/>
        </w:rPr>
      </w:pPr>
      <w:r w:rsidRPr="003A3001">
        <w:rPr>
          <w:rFonts w:ascii="Calibri" w:eastAsia="Times New Roman" w:hAnsi="Calibri" w:cs="Times New Roman"/>
          <w:b/>
        </w:rPr>
        <w:t xml:space="preserve">About </w:t>
      </w:r>
      <w:r w:rsidR="000000D1" w:rsidRPr="003A3001">
        <w:rPr>
          <w:rFonts w:ascii="Calibri" w:eastAsia="Times New Roman" w:hAnsi="Calibri" w:cs="Times New Roman"/>
          <w:b/>
        </w:rPr>
        <w:t>H.I.G. Capital</w:t>
      </w:r>
    </w:p>
    <w:p w:rsidR="00F77FB9" w:rsidRPr="003A3001" w:rsidRDefault="00F77FB9" w:rsidP="001315F6">
      <w:pPr>
        <w:pStyle w:val="NormalWeb"/>
        <w:spacing w:before="0" w:beforeAutospacing="0" w:after="0" w:afterAutospacing="0"/>
        <w:rPr>
          <w:rFonts w:asciiTheme="minorHAnsi" w:hAnsiTheme="minorHAnsi"/>
          <w:sz w:val="22"/>
          <w:szCs w:val="22"/>
          <w:lang w:val="en"/>
        </w:rPr>
      </w:pPr>
      <w:r w:rsidRPr="003A3001">
        <w:rPr>
          <w:rFonts w:asciiTheme="minorHAnsi" w:hAnsiTheme="minorHAnsi"/>
          <w:sz w:val="22"/>
          <w:szCs w:val="22"/>
          <w:lang w:val="en"/>
        </w:rPr>
        <w:t>H.I.G. is a leading global private equity and alternative assets investment firm with $25 billion of equity capital under management.* Based in Miami, and with offices in New York, Boston, Chicago, Dallas, Los Angeles, San Francisco, and Atlanta in the U.S., as well as international affiliate offices in London, Hamburg, Madrid, Milan, Paris, Bogotá, Mexico City and Rio de Janeiro, H.I.G. specializes in providing both debt and equity capital to small and mid-sized companies, utilizing a flexible and operationally focused / value-added approach:</w:t>
      </w:r>
    </w:p>
    <w:p w:rsidR="00F77FB9" w:rsidRPr="005C1F3D" w:rsidRDefault="00F77FB9" w:rsidP="00F77FB9">
      <w:pPr>
        <w:numPr>
          <w:ilvl w:val="0"/>
          <w:numId w:val="6"/>
        </w:numPr>
        <w:spacing w:before="100" w:beforeAutospacing="1" w:after="100" w:afterAutospacing="1" w:line="240" w:lineRule="auto"/>
        <w:rPr>
          <w:lang w:val="en"/>
        </w:rPr>
      </w:pPr>
      <w:r w:rsidRPr="00F77FB9">
        <w:rPr>
          <w:lang w:val="en"/>
        </w:rPr>
        <w:lastRenderedPageBreak/>
        <w:t>H.I.G.’s equity funds invest in management buyouts, recapitalizations and corporate carve-outs of both profitable as well as underperforming manufacturing and service businesses.</w:t>
      </w:r>
    </w:p>
    <w:p w:rsidR="00F77FB9" w:rsidRPr="00F77FB9" w:rsidRDefault="00F77FB9" w:rsidP="00F77FB9">
      <w:pPr>
        <w:numPr>
          <w:ilvl w:val="0"/>
          <w:numId w:val="6"/>
        </w:numPr>
        <w:spacing w:before="100" w:beforeAutospacing="1" w:after="100" w:afterAutospacing="1" w:line="240" w:lineRule="auto"/>
        <w:rPr>
          <w:lang w:val="en"/>
        </w:rPr>
      </w:pPr>
      <w:r w:rsidRPr="00F77FB9">
        <w:rPr>
          <w:lang w:val="en"/>
        </w:rPr>
        <w:t>H.I.G.’s debt funds invest in senior, unitranche and junior debt financing to companies across the size spectrum, both on a primary (direct origination) basis, as well as in the secondary markets. H.I.G. is also a leading CLO manager, through its WhiteHorse family of vehicles, and manages a publicly traded BDC, WhiteHorse Finance.</w:t>
      </w:r>
    </w:p>
    <w:p w:rsidR="00F77FB9" w:rsidRPr="00F77FB9" w:rsidRDefault="00F77FB9" w:rsidP="00F77FB9">
      <w:pPr>
        <w:numPr>
          <w:ilvl w:val="0"/>
          <w:numId w:val="6"/>
        </w:numPr>
        <w:spacing w:before="100" w:beforeAutospacing="1" w:after="100" w:afterAutospacing="1" w:line="240" w:lineRule="auto"/>
        <w:rPr>
          <w:lang w:val="en"/>
        </w:rPr>
      </w:pPr>
      <w:r w:rsidRPr="00F77FB9">
        <w:rPr>
          <w:lang w:val="en"/>
        </w:rPr>
        <w:t>H.I.G.’s real estate funds invest in value-added properties, which can benefit from improved asset management practices.</w:t>
      </w:r>
    </w:p>
    <w:p w:rsidR="00F77FB9" w:rsidRPr="003A3001" w:rsidRDefault="00F77FB9" w:rsidP="00F77FB9">
      <w:pPr>
        <w:pStyle w:val="NormalWeb"/>
        <w:rPr>
          <w:rFonts w:asciiTheme="minorHAnsi" w:hAnsiTheme="minorHAnsi"/>
          <w:sz w:val="22"/>
          <w:szCs w:val="22"/>
          <w:lang w:val="en"/>
        </w:rPr>
      </w:pPr>
      <w:r w:rsidRPr="003A3001">
        <w:rPr>
          <w:rFonts w:asciiTheme="minorHAnsi" w:hAnsiTheme="minorHAnsi"/>
          <w:sz w:val="22"/>
          <w:szCs w:val="22"/>
          <w:lang w:val="en"/>
        </w:rPr>
        <w:t xml:space="preserve">Since its founding in 1993, H.I.G. has invested in and managed more than 300 companies worldwide. The firm's current portfolio includes more than 100 companies with combined sales in excess of $30 billion. For more information, please refer to the H.I.G. website at </w:t>
      </w:r>
      <w:hyperlink r:id="rId7" w:history="1">
        <w:r w:rsidRPr="003A3001">
          <w:rPr>
            <w:rStyle w:val="Hyperlink"/>
            <w:rFonts w:asciiTheme="minorHAnsi" w:hAnsiTheme="minorHAnsi"/>
            <w:sz w:val="22"/>
            <w:szCs w:val="22"/>
            <w:lang w:val="en"/>
          </w:rPr>
          <w:t>www.higcapital.com</w:t>
        </w:r>
      </w:hyperlink>
      <w:r w:rsidRPr="003A3001">
        <w:rPr>
          <w:rFonts w:asciiTheme="minorHAnsi" w:hAnsiTheme="minorHAnsi"/>
          <w:sz w:val="22"/>
          <w:szCs w:val="22"/>
          <w:lang w:val="en"/>
        </w:rPr>
        <w:t>.</w:t>
      </w:r>
    </w:p>
    <w:p w:rsidR="00F77FB9" w:rsidRPr="003A3001" w:rsidRDefault="00F77FB9" w:rsidP="00F77FB9">
      <w:pPr>
        <w:pStyle w:val="foot-note"/>
        <w:rPr>
          <w:rFonts w:asciiTheme="minorHAnsi" w:hAnsiTheme="minorHAnsi"/>
          <w:sz w:val="16"/>
          <w:szCs w:val="16"/>
          <w:lang w:val="en"/>
        </w:rPr>
      </w:pPr>
      <w:r w:rsidRPr="003A3001">
        <w:rPr>
          <w:rFonts w:asciiTheme="minorHAnsi" w:hAnsiTheme="minorHAnsi"/>
          <w:sz w:val="16"/>
          <w:szCs w:val="16"/>
          <w:lang w:val="en"/>
        </w:rPr>
        <w:t>* Based on total capital commitments managed by H.I.G. Capital and affiliates.</w:t>
      </w:r>
    </w:p>
    <w:p w:rsidR="00C056C5" w:rsidRPr="003A3001" w:rsidRDefault="00C056C5" w:rsidP="00F210D6">
      <w:pPr>
        <w:pStyle w:val="NoSpacing"/>
        <w:rPr>
          <w:b/>
        </w:rPr>
      </w:pPr>
      <w:r w:rsidRPr="003A3001">
        <w:rPr>
          <w:b/>
        </w:rPr>
        <w:t>About the Award</w:t>
      </w:r>
    </w:p>
    <w:p w:rsidR="00042005" w:rsidRDefault="00042005" w:rsidP="00F210D6">
      <w:pPr>
        <w:pStyle w:val="NoSpacing"/>
      </w:pPr>
    </w:p>
    <w:p w:rsidR="00110691" w:rsidRDefault="00F210D6" w:rsidP="00F210D6">
      <w:pPr>
        <w:pStyle w:val="NoSpacing"/>
      </w:pPr>
      <w:r>
        <w:t xml:space="preserve">The </w:t>
      </w:r>
      <w:r w:rsidR="00042005">
        <w:t>President’s Private Equity Award</w:t>
      </w:r>
      <w:r w:rsidR="006428C9">
        <w:t xml:space="preserve"> will be presented </w:t>
      </w:r>
      <w:r>
        <w:t xml:space="preserve">along with other category awards to </w:t>
      </w:r>
      <w:r w:rsidR="00FB1C0B">
        <w:t>South Florida’s leading businesses</w:t>
      </w:r>
      <w:r>
        <w:t xml:space="preserve">. The categories are </w:t>
      </w:r>
      <w:r w:rsidR="00D14D28" w:rsidRPr="00E02F49">
        <w:rPr>
          <w:b/>
        </w:rPr>
        <w:t>Outstanding Growth Company of the Year</w:t>
      </w:r>
      <w:r w:rsidR="00A03A03">
        <w:rPr>
          <w:b/>
        </w:rPr>
        <w:t xml:space="preserve"> (ABB Optical Group</w:t>
      </w:r>
      <w:r w:rsidR="00B91E58" w:rsidRPr="00E02F49">
        <w:rPr>
          <w:b/>
        </w:rPr>
        <w:t>)</w:t>
      </w:r>
      <w:r w:rsidR="00D14D28" w:rsidRPr="00E02F49">
        <w:rPr>
          <w:b/>
        </w:rPr>
        <w:t>, Emerging Gro</w:t>
      </w:r>
      <w:r w:rsidR="00A03A03">
        <w:rPr>
          <w:b/>
        </w:rPr>
        <w:t>wth Companies</w:t>
      </w:r>
      <w:r w:rsidR="00D14D28" w:rsidRPr="00E02F49">
        <w:rPr>
          <w:b/>
        </w:rPr>
        <w:t xml:space="preserve"> of the Year</w:t>
      </w:r>
      <w:r w:rsidR="00A03A03">
        <w:rPr>
          <w:b/>
        </w:rPr>
        <w:t xml:space="preserve"> (e-Builder, A Trimble Company, SMP Pharmacy Solutions),</w:t>
      </w:r>
      <w:r w:rsidR="00D14D28" w:rsidRPr="00E02F49">
        <w:rPr>
          <w:b/>
        </w:rPr>
        <w:t xml:space="preserve"> Transaction</w:t>
      </w:r>
      <w:r w:rsidR="00A03A03">
        <w:rPr>
          <w:b/>
        </w:rPr>
        <w:t>s</w:t>
      </w:r>
      <w:r w:rsidR="00D14D28" w:rsidRPr="00E02F49">
        <w:rPr>
          <w:b/>
        </w:rPr>
        <w:t xml:space="preserve"> of t</w:t>
      </w:r>
      <w:r w:rsidR="00D14D28" w:rsidRPr="00A03A03">
        <w:rPr>
          <w:b/>
        </w:rPr>
        <w:t>he Year</w:t>
      </w:r>
      <w:r w:rsidR="00640599">
        <w:rPr>
          <w:b/>
        </w:rPr>
        <w:t xml:space="preserve"> (</w:t>
      </w:r>
      <w:r w:rsidR="00A03A03" w:rsidRPr="00A03A03">
        <w:rPr>
          <w:b/>
        </w:rPr>
        <w:t>Chewy Inc. and Modernizing Medicine</w:t>
      </w:r>
      <w:r w:rsidR="00CF2A03" w:rsidRPr="00A03A03">
        <w:rPr>
          <w:b/>
        </w:rPr>
        <w:t>)</w:t>
      </w:r>
      <w:r w:rsidR="00C3090D">
        <w:rPr>
          <w:b/>
        </w:rPr>
        <w:t xml:space="preserve"> and this </w:t>
      </w:r>
      <w:r w:rsidR="00A03A03" w:rsidRPr="00A03A03">
        <w:rPr>
          <w:b/>
        </w:rPr>
        <w:t>President’s Private Equity Awards (H.I.G. Capital)</w:t>
      </w:r>
      <w:r w:rsidR="00FB1C0B" w:rsidRPr="00A03A03">
        <w:rPr>
          <w:b/>
        </w:rPr>
        <w:t>.</w:t>
      </w:r>
      <w:r w:rsidR="00FB1C0B">
        <w:t xml:space="preserve">  A</w:t>
      </w:r>
      <w:r w:rsidR="00D14D28">
        <w:t xml:space="preserve"> cocktail reception, awards dinner and post event reception </w:t>
      </w:r>
      <w:r w:rsidR="00FB1C0B">
        <w:t xml:space="preserve">will be held </w:t>
      </w:r>
      <w:r w:rsidR="00D14D28">
        <w:t xml:space="preserve">at the </w:t>
      </w:r>
      <w:r w:rsidR="00D14D28" w:rsidRPr="006428C9">
        <w:rPr>
          <w:b/>
        </w:rPr>
        <w:t>Westin Fort Lauder</w:t>
      </w:r>
      <w:r w:rsidR="00A03A03" w:rsidRPr="006428C9">
        <w:rPr>
          <w:b/>
        </w:rPr>
        <w:t>dale, Florida, 400 Corporate Drive on June 21</w:t>
      </w:r>
      <w:r w:rsidR="00D14D28" w:rsidRPr="006428C9">
        <w:rPr>
          <w:b/>
        </w:rPr>
        <w:t xml:space="preserve"> beginning at 5:30pm.</w:t>
      </w:r>
      <w:r w:rsidR="009A4B55">
        <w:t xml:space="preserve"> </w:t>
      </w:r>
      <w:r w:rsidR="00D14D28">
        <w:t xml:space="preserve">ACG South Florida </w:t>
      </w:r>
      <w:r w:rsidR="00FB1C0B">
        <w:t xml:space="preserve">offers a wide range of sponsorship </w:t>
      </w:r>
      <w:r w:rsidR="009A4B55">
        <w:t xml:space="preserve">and advertising </w:t>
      </w:r>
      <w:r w:rsidR="00FB1C0B">
        <w:t>opportunities</w:t>
      </w:r>
      <w:r w:rsidR="009A4B55">
        <w:t xml:space="preserve"> to businesses</w:t>
      </w:r>
      <w:r w:rsidR="00FB1C0B">
        <w:t xml:space="preserve"> in Miami-Dade, Broward and Palm Beach Counties, that wish</w:t>
      </w:r>
      <w:r w:rsidR="00E66101">
        <w:t xml:space="preserve"> to join us in honoring </w:t>
      </w:r>
      <w:r w:rsidR="00FB1C0B">
        <w:t xml:space="preserve">the best in South Florida business. </w:t>
      </w:r>
    </w:p>
    <w:p w:rsidR="00F210D6" w:rsidRDefault="00F210D6" w:rsidP="00F210D6">
      <w:pPr>
        <w:pStyle w:val="NoSpacing"/>
      </w:pPr>
    </w:p>
    <w:p w:rsidR="00110691" w:rsidRDefault="001062FB" w:rsidP="001062FB">
      <w:pPr>
        <w:autoSpaceDE w:val="0"/>
        <w:autoSpaceDN w:val="0"/>
        <w:adjustRightInd w:val="0"/>
        <w:spacing w:after="0" w:line="240" w:lineRule="auto"/>
      </w:pPr>
      <w:r>
        <w:rPr>
          <w:b/>
        </w:rPr>
        <w:t>Info</w:t>
      </w:r>
      <w:r w:rsidR="00110691" w:rsidRPr="001062FB">
        <w:rPr>
          <w:b/>
        </w:rPr>
        <w:t xml:space="preserve">rmation about the </w:t>
      </w:r>
      <w:r w:rsidR="00F210D6" w:rsidRPr="001062FB">
        <w:rPr>
          <w:b/>
        </w:rPr>
        <w:t xml:space="preserve">ACG-South Florida </w:t>
      </w:r>
      <w:r w:rsidR="00110691" w:rsidRPr="001062FB">
        <w:rPr>
          <w:b/>
        </w:rPr>
        <w:t>Awards Banquet</w:t>
      </w:r>
      <w:r w:rsidR="00110691">
        <w:t xml:space="preserve">, including </w:t>
      </w:r>
      <w:r w:rsidR="0021571D">
        <w:t xml:space="preserve">purchases of </w:t>
      </w:r>
      <w:r w:rsidR="00110691">
        <w:t>sponsorshi</w:t>
      </w:r>
      <w:r w:rsidR="0021571D">
        <w:t xml:space="preserve">ps, advertising and tickets, </w:t>
      </w:r>
      <w:r w:rsidR="00110691">
        <w:t>can be obtained from  President Ari Roloff (954-732-1291)</w:t>
      </w:r>
      <w:r w:rsidR="006428C9">
        <w:t xml:space="preserve"> aroloff@cbiz.com</w:t>
      </w:r>
      <w:r w:rsidR="00110691">
        <w:t xml:space="preserve">, Chapter Executive </w:t>
      </w:r>
      <w:r w:rsidR="006428C9">
        <w:t>Elena Djakonova (954-947-6080; edjakonova</w:t>
      </w:r>
      <w:r w:rsidR="00110691">
        <w:t xml:space="preserve">@acg.org) and Awards  Committee Chairman Thomas Hicks (954-415-639; renparlc@gate.net) and from the ACG-South Florida website </w:t>
      </w:r>
      <w:hyperlink r:id="rId8" w:history="1">
        <w:r w:rsidR="00110691" w:rsidRPr="00901F38">
          <w:rPr>
            <w:rStyle w:val="Hyperlink"/>
          </w:rPr>
          <w:t>http://www.acg.org/southflorida/</w:t>
        </w:r>
      </w:hyperlink>
      <w:r w:rsidR="0021571D">
        <w:t xml:space="preserve">. </w:t>
      </w:r>
      <w:r w:rsidR="00110691">
        <w:t xml:space="preserve">ACG member tickets </w:t>
      </w:r>
      <w:r w:rsidR="0021571D">
        <w:t xml:space="preserve">are </w:t>
      </w:r>
      <w:r w:rsidR="006428C9">
        <w:t>$150</w:t>
      </w:r>
      <w:r w:rsidR="00110691">
        <w:t>; for non-members $175.</w:t>
      </w:r>
    </w:p>
    <w:p w:rsidR="00110691" w:rsidRDefault="00110691" w:rsidP="00D14D28">
      <w:pPr>
        <w:shd w:val="clear" w:color="auto" w:fill="FDFDFD"/>
        <w:spacing w:after="0" w:line="240" w:lineRule="auto"/>
      </w:pPr>
    </w:p>
    <w:p w:rsidR="009A4B55" w:rsidRDefault="00D14D28" w:rsidP="003A3001">
      <w:pPr>
        <w:shd w:val="clear" w:color="auto" w:fill="FDFDFD"/>
        <w:spacing w:after="0" w:line="240" w:lineRule="auto"/>
        <w:rPr>
          <w:rFonts w:eastAsia="Times New Roman" w:cstheme="minorHAnsi"/>
        </w:rPr>
      </w:pPr>
      <w:r>
        <w:t>Founded in 1954, the Association for Corporate Growth Inc. (“ACG”) is the premier global association for professionals involved in corporate growth, corporate development, and mergers and acquisitions. ACG has over 14,500 members from corporations, private equity, finance and professional service firms representing Fortune 500, Fortune 1000, FTSE 100 and midd</w:t>
      </w:r>
      <w:r w:rsidR="00C43FEB">
        <w:t>le-market companies through</w:t>
      </w:r>
      <w:r>
        <w:t xml:space="preserve"> chapters in N</w:t>
      </w:r>
      <w:r w:rsidR="00C43FEB">
        <w:t xml:space="preserve">orth America, Europe and Asia. These leaders </w:t>
      </w:r>
      <w:r>
        <w:t>are focused on bu</w:t>
      </w:r>
      <w:r w:rsidR="00110691">
        <w:t xml:space="preserve">ilding value. </w:t>
      </w:r>
      <w:r w:rsidRPr="00272B6B">
        <w:rPr>
          <w:rFonts w:eastAsia="Times New Roman" w:cstheme="minorHAnsi"/>
        </w:rPr>
        <w:t>ACG serves 90,000 investors, executives, lenders and advisers to growing middle-ma</w:t>
      </w:r>
      <w:r w:rsidR="00C43FEB">
        <w:rPr>
          <w:rFonts w:eastAsia="Times New Roman" w:cstheme="minorHAnsi"/>
        </w:rPr>
        <w:t xml:space="preserve">rket companies. </w:t>
      </w:r>
    </w:p>
    <w:p w:rsidR="007C130F" w:rsidRDefault="007C130F" w:rsidP="007C130F">
      <w:pPr>
        <w:shd w:val="clear" w:color="auto" w:fill="FDFDFD"/>
        <w:spacing w:after="0" w:line="240" w:lineRule="auto"/>
        <w:jc w:val="center"/>
      </w:pPr>
      <w:r>
        <w:rPr>
          <w:noProof/>
        </w:rPr>
        <w:drawing>
          <wp:inline distT="0" distB="0" distL="0" distR="0">
            <wp:extent cx="2695575" cy="1316994"/>
            <wp:effectExtent l="0" t="0" r="0" b="0"/>
            <wp:docPr id="2" name="Picture 2" descr="C:\Users\thicics\Documents\ACG CFA TMA\ACG TMA CFA\ACG Awards 2018\HIG\HIG_Capital_logo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HIG\HIG_Capital_logo_CMY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5575" cy="1316994"/>
                    </a:xfrm>
                    <a:prstGeom prst="rect">
                      <a:avLst/>
                    </a:prstGeom>
                    <a:noFill/>
                    <a:ln>
                      <a:noFill/>
                    </a:ln>
                  </pic:spPr>
                </pic:pic>
              </a:graphicData>
            </a:graphic>
          </wp:inline>
        </w:drawing>
      </w:r>
    </w:p>
    <w:sectPr w:rsidR="007C13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sha">
    <w:altName w:val="Segoe UI"/>
    <w:panose1 w:val="020B0502040204020203"/>
    <w:charset w:val="00"/>
    <w:family w:val="swiss"/>
    <w:pitch w:val="variable"/>
    <w:sig w:usb0="00000000" w:usb1="40000042" w:usb2="00000000" w:usb3="00000000" w:csb0="0000002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685329"/>
    <w:multiLevelType w:val="hybridMultilevel"/>
    <w:tmpl w:val="862CA892"/>
    <w:lvl w:ilvl="0" w:tplc="31141A18">
      <w:start w:val="177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E34C88"/>
    <w:multiLevelType w:val="hybridMultilevel"/>
    <w:tmpl w:val="246C9198"/>
    <w:lvl w:ilvl="0" w:tplc="9DA2D14E">
      <w:start w:val="17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C801E4"/>
    <w:multiLevelType w:val="hybridMultilevel"/>
    <w:tmpl w:val="5F861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70D60E8C"/>
    <w:multiLevelType w:val="multilevel"/>
    <w:tmpl w:val="66F4F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63A688E"/>
    <w:multiLevelType w:val="hybridMultilevel"/>
    <w:tmpl w:val="0DE2F128"/>
    <w:lvl w:ilvl="0" w:tplc="00005CDE">
      <w:start w:val="2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D28"/>
    <w:rsid w:val="000000D1"/>
    <w:rsid w:val="00000751"/>
    <w:rsid w:val="00007926"/>
    <w:rsid w:val="00025514"/>
    <w:rsid w:val="00034A2A"/>
    <w:rsid w:val="00042005"/>
    <w:rsid w:val="000465AF"/>
    <w:rsid w:val="00072033"/>
    <w:rsid w:val="000B031E"/>
    <w:rsid w:val="000D794A"/>
    <w:rsid w:val="000E7A87"/>
    <w:rsid w:val="001062FB"/>
    <w:rsid w:val="00110691"/>
    <w:rsid w:val="001315F6"/>
    <w:rsid w:val="00135844"/>
    <w:rsid w:val="00142F8B"/>
    <w:rsid w:val="0017215C"/>
    <w:rsid w:val="0021571D"/>
    <w:rsid w:val="00231CEB"/>
    <w:rsid w:val="00240CA1"/>
    <w:rsid w:val="002420F7"/>
    <w:rsid w:val="002B4601"/>
    <w:rsid w:val="00304528"/>
    <w:rsid w:val="00333133"/>
    <w:rsid w:val="00380F9A"/>
    <w:rsid w:val="003A3001"/>
    <w:rsid w:val="00464862"/>
    <w:rsid w:val="004968EF"/>
    <w:rsid w:val="004B5158"/>
    <w:rsid w:val="004C5F62"/>
    <w:rsid w:val="004C72B9"/>
    <w:rsid w:val="004E2096"/>
    <w:rsid w:val="00504CB2"/>
    <w:rsid w:val="005211B8"/>
    <w:rsid w:val="00565E3D"/>
    <w:rsid w:val="00570A41"/>
    <w:rsid w:val="00574338"/>
    <w:rsid w:val="00587CC2"/>
    <w:rsid w:val="005A7500"/>
    <w:rsid w:val="005C1F3D"/>
    <w:rsid w:val="005D1FD3"/>
    <w:rsid w:val="005D785C"/>
    <w:rsid w:val="005E62D6"/>
    <w:rsid w:val="005F4472"/>
    <w:rsid w:val="00640599"/>
    <w:rsid w:val="006428C9"/>
    <w:rsid w:val="006834DF"/>
    <w:rsid w:val="006E4EA3"/>
    <w:rsid w:val="00704C35"/>
    <w:rsid w:val="00711B62"/>
    <w:rsid w:val="00720661"/>
    <w:rsid w:val="0075141B"/>
    <w:rsid w:val="007A2B25"/>
    <w:rsid w:val="007C130F"/>
    <w:rsid w:val="007E0891"/>
    <w:rsid w:val="007E3250"/>
    <w:rsid w:val="008022AD"/>
    <w:rsid w:val="00850727"/>
    <w:rsid w:val="008654CE"/>
    <w:rsid w:val="0087021C"/>
    <w:rsid w:val="008A7715"/>
    <w:rsid w:val="00911592"/>
    <w:rsid w:val="00946433"/>
    <w:rsid w:val="009616A2"/>
    <w:rsid w:val="0097245B"/>
    <w:rsid w:val="0097355B"/>
    <w:rsid w:val="009A4B55"/>
    <w:rsid w:val="009C29D8"/>
    <w:rsid w:val="009D7AE1"/>
    <w:rsid w:val="00A03A03"/>
    <w:rsid w:val="00A34F78"/>
    <w:rsid w:val="00A56C31"/>
    <w:rsid w:val="00A85836"/>
    <w:rsid w:val="00AB6F3B"/>
    <w:rsid w:val="00B0270A"/>
    <w:rsid w:val="00B17127"/>
    <w:rsid w:val="00B40005"/>
    <w:rsid w:val="00B91E58"/>
    <w:rsid w:val="00BC31E6"/>
    <w:rsid w:val="00BC7555"/>
    <w:rsid w:val="00C056C5"/>
    <w:rsid w:val="00C241D0"/>
    <w:rsid w:val="00C3090D"/>
    <w:rsid w:val="00C43FEB"/>
    <w:rsid w:val="00C50F7F"/>
    <w:rsid w:val="00C57038"/>
    <w:rsid w:val="00C62A1A"/>
    <w:rsid w:val="00C72DDE"/>
    <w:rsid w:val="00C92DBB"/>
    <w:rsid w:val="00CD309A"/>
    <w:rsid w:val="00CD37FE"/>
    <w:rsid w:val="00CD3AB1"/>
    <w:rsid w:val="00CF2A03"/>
    <w:rsid w:val="00CF4B62"/>
    <w:rsid w:val="00D14D28"/>
    <w:rsid w:val="00D27FB8"/>
    <w:rsid w:val="00D62CD7"/>
    <w:rsid w:val="00D83BF5"/>
    <w:rsid w:val="00D86B54"/>
    <w:rsid w:val="00D87291"/>
    <w:rsid w:val="00DC5382"/>
    <w:rsid w:val="00DD7A1A"/>
    <w:rsid w:val="00E02F49"/>
    <w:rsid w:val="00E6434E"/>
    <w:rsid w:val="00E66101"/>
    <w:rsid w:val="00EB7A29"/>
    <w:rsid w:val="00ED3E65"/>
    <w:rsid w:val="00F00523"/>
    <w:rsid w:val="00F17BB5"/>
    <w:rsid w:val="00F210D6"/>
    <w:rsid w:val="00F27E02"/>
    <w:rsid w:val="00F52DA5"/>
    <w:rsid w:val="00F655B6"/>
    <w:rsid w:val="00F77FB9"/>
    <w:rsid w:val="00FA5ACB"/>
    <w:rsid w:val="00FB1C0B"/>
    <w:rsid w:val="00FC11BE"/>
    <w:rsid w:val="00FC33C1"/>
    <w:rsid w:val="00FE5C16"/>
    <w:rsid w:val="00FF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 w:type="paragraph" w:customStyle="1" w:styleId="Default">
    <w:name w:val="Default"/>
    <w:rsid w:val="006428C9"/>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F77F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note">
    <w:name w:val="foot-note"/>
    <w:basedOn w:val="Normal"/>
    <w:rsid w:val="00F77FB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 w:type="paragraph" w:customStyle="1" w:styleId="Default">
    <w:name w:val="Default"/>
    <w:rsid w:val="006428C9"/>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F77F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note">
    <w:name w:val="foot-note"/>
    <w:basedOn w:val="Normal"/>
    <w:rsid w:val="00F77F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233111">
      <w:bodyDiv w:val="1"/>
      <w:marLeft w:val="0"/>
      <w:marRight w:val="0"/>
      <w:marTop w:val="0"/>
      <w:marBottom w:val="0"/>
      <w:divBdr>
        <w:top w:val="none" w:sz="0" w:space="0" w:color="auto"/>
        <w:left w:val="none" w:sz="0" w:space="0" w:color="auto"/>
        <w:bottom w:val="none" w:sz="0" w:space="0" w:color="auto"/>
        <w:right w:val="none" w:sz="0" w:space="0" w:color="auto"/>
      </w:divBdr>
      <w:divsChild>
        <w:div w:id="2069499736">
          <w:marLeft w:val="0"/>
          <w:marRight w:val="0"/>
          <w:marTop w:val="0"/>
          <w:marBottom w:val="0"/>
          <w:divBdr>
            <w:top w:val="none" w:sz="0" w:space="0" w:color="auto"/>
            <w:left w:val="none" w:sz="0" w:space="0" w:color="auto"/>
            <w:bottom w:val="none" w:sz="0" w:space="0" w:color="auto"/>
            <w:right w:val="none" w:sz="0" w:space="0" w:color="auto"/>
          </w:divBdr>
          <w:divsChild>
            <w:div w:id="969749337">
              <w:marLeft w:val="0"/>
              <w:marRight w:val="0"/>
              <w:marTop w:val="0"/>
              <w:marBottom w:val="0"/>
              <w:divBdr>
                <w:top w:val="none" w:sz="0" w:space="0" w:color="auto"/>
                <w:left w:val="none" w:sz="0" w:space="0" w:color="auto"/>
                <w:bottom w:val="none" w:sz="0" w:space="0" w:color="auto"/>
                <w:right w:val="none" w:sz="0" w:space="0" w:color="auto"/>
              </w:divBdr>
              <w:divsChild>
                <w:div w:id="312297642">
                  <w:marLeft w:val="0"/>
                  <w:marRight w:val="0"/>
                  <w:marTop w:val="0"/>
                  <w:marBottom w:val="0"/>
                  <w:divBdr>
                    <w:top w:val="none" w:sz="0" w:space="0" w:color="auto"/>
                    <w:left w:val="none" w:sz="0" w:space="0" w:color="auto"/>
                    <w:bottom w:val="none" w:sz="0" w:space="0" w:color="auto"/>
                    <w:right w:val="none" w:sz="0" w:space="0" w:color="auto"/>
                  </w:divBdr>
                  <w:divsChild>
                    <w:div w:id="63845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476059">
      <w:bodyDiv w:val="1"/>
      <w:marLeft w:val="0"/>
      <w:marRight w:val="0"/>
      <w:marTop w:val="0"/>
      <w:marBottom w:val="0"/>
      <w:divBdr>
        <w:top w:val="none" w:sz="0" w:space="0" w:color="auto"/>
        <w:left w:val="none" w:sz="0" w:space="0" w:color="auto"/>
        <w:bottom w:val="none" w:sz="0" w:space="0" w:color="auto"/>
        <w:right w:val="none" w:sz="0" w:space="0" w:color="auto"/>
      </w:divBdr>
      <w:divsChild>
        <w:div w:id="438716569">
          <w:marLeft w:val="0"/>
          <w:marRight w:val="0"/>
          <w:marTop w:val="0"/>
          <w:marBottom w:val="0"/>
          <w:divBdr>
            <w:top w:val="none" w:sz="0" w:space="0" w:color="auto"/>
            <w:left w:val="none" w:sz="0" w:space="0" w:color="auto"/>
            <w:bottom w:val="none" w:sz="0" w:space="0" w:color="auto"/>
            <w:right w:val="none" w:sz="0" w:space="0" w:color="auto"/>
          </w:divBdr>
          <w:divsChild>
            <w:div w:id="976691376">
              <w:marLeft w:val="0"/>
              <w:marRight w:val="0"/>
              <w:marTop w:val="0"/>
              <w:marBottom w:val="0"/>
              <w:divBdr>
                <w:top w:val="none" w:sz="0" w:space="0" w:color="auto"/>
                <w:left w:val="none" w:sz="0" w:space="0" w:color="auto"/>
                <w:bottom w:val="none" w:sz="0" w:space="0" w:color="auto"/>
                <w:right w:val="none" w:sz="0" w:space="0" w:color="auto"/>
              </w:divBdr>
              <w:divsChild>
                <w:div w:id="1409422776">
                  <w:marLeft w:val="0"/>
                  <w:marRight w:val="0"/>
                  <w:marTop w:val="0"/>
                  <w:marBottom w:val="0"/>
                  <w:divBdr>
                    <w:top w:val="none" w:sz="0" w:space="0" w:color="auto"/>
                    <w:left w:val="none" w:sz="0" w:space="0" w:color="auto"/>
                    <w:bottom w:val="none" w:sz="0" w:space="0" w:color="auto"/>
                    <w:right w:val="none" w:sz="0" w:space="0" w:color="auto"/>
                  </w:divBdr>
                </w:div>
                <w:div w:id="962420553">
                  <w:marLeft w:val="0"/>
                  <w:marRight w:val="0"/>
                  <w:marTop w:val="0"/>
                  <w:marBottom w:val="0"/>
                  <w:divBdr>
                    <w:top w:val="none" w:sz="0" w:space="0" w:color="auto"/>
                    <w:left w:val="none" w:sz="0" w:space="0" w:color="auto"/>
                    <w:bottom w:val="none" w:sz="0" w:space="0" w:color="auto"/>
                    <w:right w:val="none" w:sz="0" w:space="0" w:color="auto"/>
                  </w:divBdr>
                </w:div>
                <w:div w:id="1250231211">
                  <w:marLeft w:val="0"/>
                  <w:marRight w:val="0"/>
                  <w:marTop w:val="0"/>
                  <w:marBottom w:val="0"/>
                  <w:divBdr>
                    <w:top w:val="none" w:sz="0" w:space="0" w:color="auto"/>
                    <w:left w:val="none" w:sz="0" w:space="0" w:color="auto"/>
                    <w:bottom w:val="none" w:sz="0" w:space="0" w:color="auto"/>
                    <w:right w:val="none" w:sz="0" w:space="0" w:color="auto"/>
                  </w:divBdr>
                  <w:divsChild>
                    <w:div w:id="89401977">
                      <w:marLeft w:val="0"/>
                      <w:marRight w:val="0"/>
                      <w:marTop w:val="0"/>
                      <w:marBottom w:val="0"/>
                      <w:divBdr>
                        <w:top w:val="none" w:sz="0" w:space="0" w:color="auto"/>
                        <w:left w:val="none" w:sz="0" w:space="0" w:color="auto"/>
                        <w:bottom w:val="none" w:sz="0" w:space="0" w:color="auto"/>
                        <w:right w:val="none" w:sz="0" w:space="0" w:color="auto"/>
                      </w:divBdr>
                    </w:div>
                    <w:div w:id="78212993">
                      <w:marLeft w:val="0"/>
                      <w:marRight w:val="0"/>
                      <w:marTop w:val="0"/>
                      <w:marBottom w:val="0"/>
                      <w:divBdr>
                        <w:top w:val="none" w:sz="0" w:space="0" w:color="auto"/>
                        <w:left w:val="none" w:sz="0" w:space="0" w:color="auto"/>
                        <w:bottom w:val="none" w:sz="0" w:space="0" w:color="auto"/>
                        <w:right w:val="none" w:sz="0" w:space="0" w:color="auto"/>
                      </w:divBdr>
                    </w:div>
                    <w:div w:id="1048651807">
                      <w:marLeft w:val="0"/>
                      <w:marRight w:val="0"/>
                      <w:marTop w:val="0"/>
                      <w:marBottom w:val="0"/>
                      <w:divBdr>
                        <w:top w:val="none" w:sz="0" w:space="0" w:color="auto"/>
                        <w:left w:val="none" w:sz="0" w:space="0" w:color="auto"/>
                        <w:bottom w:val="none" w:sz="0" w:space="0" w:color="auto"/>
                        <w:right w:val="none" w:sz="0" w:space="0" w:color="auto"/>
                      </w:divBdr>
                    </w:div>
                    <w:div w:id="1295334389">
                      <w:marLeft w:val="0"/>
                      <w:marRight w:val="0"/>
                      <w:marTop w:val="0"/>
                      <w:marBottom w:val="0"/>
                      <w:divBdr>
                        <w:top w:val="none" w:sz="0" w:space="0" w:color="auto"/>
                        <w:left w:val="none" w:sz="0" w:space="0" w:color="auto"/>
                        <w:bottom w:val="none" w:sz="0" w:space="0" w:color="auto"/>
                        <w:right w:val="none" w:sz="0" w:space="0" w:color="auto"/>
                      </w:divBdr>
                    </w:div>
                    <w:div w:id="132100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048314">
      <w:bodyDiv w:val="1"/>
      <w:marLeft w:val="0"/>
      <w:marRight w:val="0"/>
      <w:marTop w:val="0"/>
      <w:marBottom w:val="0"/>
      <w:divBdr>
        <w:top w:val="none" w:sz="0" w:space="0" w:color="auto"/>
        <w:left w:val="none" w:sz="0" w:space="0" w:color="auto"/>
        <w:bottom w:val="none" w:sz="0" w:space="0" w:color="auto"/>
        <w:right w:val="none" w:sz="0" w:space="0" w:color="auto"/>
      </w:divBdr>
      <w:divsChild>
        <w:div w:id="1412041587">
          <w:marLeft w:val="0"/>
          <w:marRight w:val="0"/>
          <w:marTop w:val="0"/>
          <w:marBottom w:val="0"/>
          <w:divBdr>
            <w:top w:val="none" w:sz="0" w:space="0" w:color="auto"/>
            <w:left w:val="none" w:sz="0" w:space="0" w:color="auto"/>
            <w:bottom w:val="none" w:sz="0" w:space="0" w:color="auto"/>
            <w:right w:val="none" w:sz="0" w:space="0" w:color="auto"/>
          </w:divBdr>
          <w:divsChild>
            <w:div w:id="582879596">
              <w:marLeft w:val="0"/>
              <w:marRight w:val="0"/>
              <w:marTop w:val="0"/>
              <w:marBottom w:val="0"/>
              <w:divBdr>
                <w:top w:val="none" w:sz="0" w:space="0" w:color="auto"/>
                <w:left w:val="none" w:sz="0" w:space="0" w:color="auto"/>
                <w:bottom w:val="none" w:sz="0" w:space="0" w:color="auto"/>
                <w:right w:val="none" w:sz="0" w:space="0" w:color="auto"/>
              </w:divBdr>
              <w:divsChild>
                <w:div w:id="78331702">
                  <w:marLeft w:val="0"/>
                  <w:marRight w:val="0"/>
                  <w:marTop w:val="0"/>
                  <w:marBottom w:val="0"/>
                  <w:divBdr>
                    <w:top w:val="none" w:sz="0" w:space="0" w:color="auto"/>
                    <w:left w:val="none" w:sz="0" w:space="0" w:color="auto"/>
                    <w:bottom w:val="none" w:sz="0" w:space="0" w:color="auto"/>
                    <w:right w:val="none" w:sz="0" w:space="0" w:color="auto"/>
                  </w:divBdr>
                  <w:divsChild>
                    <w:div w:id="1070227258">
                      <w:marLeft w:val="0"/>
                      <w:marRight w:val="0"/>
                      <w:marTop w:val="0"/>
                      <w:marBottom w:val="120"/>
                      <w:divBdr>
                        <w:top w:val="none" w:sz="0" w:space="0" w:color="auto"/>
                        <w:left w:val="none" w:sz="0" w:space="0" w:color="auto"/>
                        <w:bottom w:val="none" w:sz="0" w:space="0" w:color="auto"/>
                        <w:right w:val="none" w:sz="0" w:space="0" w:color="auto"/>
                      </w:divBdr>
                      <w:divsChild>
                        <w:div w:id="1297179690">
                          <w:marLeft w:val="0"/>
                          <w:marRight w:val="0"/>
                          <w:marTop w:val="0"/>
                          <w:marBottom w:val="0"/>
                          <w:divBdr>
                            <w:top w:val="none" w:sz="0" w:space="0" w:color="auto"/>
                            <w:left w:val="none" w:sz="0" w:space="0" w:color="auto"/>
                            <w:bottom w:val="none" w:sz="0" w:space="0" w:color="auto"/>
                            <w:right w:val="none" w:sz="0" w:space="0" w:color="auto"/>
                          </w:divBdr>
                          <w:divsChild>
                            <w:div w:id="1502744956">
                              <w:marLeft w:val="0"/>
                              <w:marRight w:val="0"/>
                              <w:marTop w:val="0"/>
                              <w:marBottom w:val="0"/>
                              <w:divBdr>
                                <w:top w:val="single" w:sz="6" w:space="9" w:color="CDCDCD"/>
                                <w:left w:val="single" w:sz="6" w:space="9" w:color="CDCDCD"/>
                                <w:bottom w:val="single" w:sz="6" w:space="9" w:color="CDCDCD"/>
                                <w:right w:val="single" w:sz="6" w:space="9" w:color="CDCDCD"/>
                              </w:divBdr>
                            </w:div>
                          </w:divsChild>
                        </w:div>
                        <w:div w:id="1379428134">
                          <w:marLeft w:val="0"/>
                          <w:marRight w:val="0"/>
                          <w:marTop w:val="0"/>
                          <w:marBottom w:val="0"/>
                          <w:divBdr>
                            <w:top w:val="none" w:sz="0" w:space="0" w:color="auto"/>
                            <w:left w:val="none" w:sz="0" w:space="0" w:color="auto"/>
                            <w:bottom w:val="none" w:sz="0" w:space="0" w:color="auto"/>
                            <w:right w:val="none" w:sz="0" w:space="0" w:color="auto"/>
                          </w:divBdr>
                        </w:div>
                      </w:divsChild>
                    </w:div>
                    <w:div w:id="1736925758">
                      <w:marLeft w:val="0"/>
                      <w:marRight w:val="0"/>
                      <w:marTop w:val="0"/>
                      <w:marBottom w:val="120"/>
                      <w:divBdr>
                        <w:top w:val="none" w:sz="0" w:space="0" w:color="auto"/>
                        <w:left w:val="none" w:sz="0" w:space="0" w:color="auto"/>
                        <w:bottom w:val="none" w:sz="0" w:space="0" w:color="auto"/>
                        <w:right w:val="none" w:sz="0" w:space="0" w:color="auto"/>
                      </w:divBdr>
                      <w:divsChild>
                        <w:div w:id="537007608">
                          <w:marLeft w:val="0"/>
                          <w:marRight w:val="0"/>
                          <w:marTop w:val="0"/>
                          <w:marBottom w:val="0"/>
                          <w:divBdr>
                            <w:top w:val="none" w:sz="0" w:space="0" w:color="auto"/>
                            <w:left w:val="none" w:sz="0" w:space="0" w:color="auto"/>
                            <w:bottom w:val="none" w:sz="0" w:space="0" w:color="auto"/>
                            <w:right w:val="none" w:sz="0" w:space="0" w:color="auto"/>
                          </w:divBdr>
                          <w:divsChild>
                            <w:div w:id="673344080">
                              <w:marLeft w:val="0"/>
                              <w:marRight w:val="0"/>
                              <w:marTop w:val="0"/>
                              <w:marBottom w:val="15"/>
                              <w:divBdr>
                                <w:top w:val="none" w:sz="0" w:space="0" w:color="auto"/>
                                <w:left w:val="none" w:sz="0" w:space="0" w:color="auto"/>
                                <w:bottom w:val="none" w:sz="0" w:space="0" w:color="auto"/>
                                <w:right w:val="none" w:sz="0" w:space="0" w:color="auto"/>
                              </w:divBdr>
                              <w:divsChild>
                                <w:div w:id="15628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2810">
                          <w:marLeft w:val="0"/>
                          <w:marRight w:val="0"/>
                          <w:marTop w:val="0"/>
                          <w:marBottom w:val="0"/>
                          <w:divBdr>
                            <w:top w:val="none" w:sz="0" w:space="0" w:color="auto"/>
                            <w:left w:val="none" w:sz="0" w:space="0" w:color="auto"/>
                            <w:bottom w:val="none" w:sz="0" w:space="0" w:color="auto"/>
                            <w:right w:val="none" w:sz="0" w:space="0" w:color="auto"/>
                          </w:divBdr>
                        </w:div>
                        <w:div w:id="198009509">
                          <w:marLeft w:val="0"/>
                          <w:marRight w:val="0"/>
                          <w:marTop w:val="0"/>
                          <w:marBottom w:val="0"/>
                          <w:divBdr>
                            <w:top w:val="none" w:sz="0" w:space="0" w:color="auto"/>
                            <w:left w:val="none" w:sz="0" w:space="0" w:color="auto"/>
                            <w:bottom w:val="none" w:sz="0" w:space="0" w:color="auto"/>
                            <w:right w:val="none" w:sz="0" w:space="0" w:color="auto"/>
                          </w:divBdr>
                          <w:divsChild>
                            <w:div w:id="1020010021">
                              <w:marLeft w:val="0"/>
                              <w:marRight w:val="0"/>
                              <w:marTop w:val="0"/>
                              <w:marBottom w:val="0"/>
                              <w:divBdr>
                                <w:top w:val="single" w:sz="6" w:space="9" w:color="CDCDCD"/>
                                <w:left w:val="single" w:sz="6" w:space="9" w:color="CDCDCD"/>
                                <w:bottom w:val="single" w:sz="6" w:space="9" w:color="CDCDCD"/>
                                <w:right w:val="single" w:sz="6" w:space="9" w:color="CDCDCD"/>
                              </w:divBdr>
                              <w:divsChild>
                                <w:div w:id="1335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073">
                          <w:marLeft w:val="0"/>
                          <w:marRight w:val="0"/>
                          <w:marTop w:val="0"/>
                          <w:marBottom w:val="0"/>
                          <w:divBdr>
                            <w:top w:val="none" w:sz="0" w:space="0" w:color="auto"/>
                            <w:left w:val="none" w:sz="0" w:space="0" w:color="auto"/>
                            <w:bottom w:val="none" w:sz="0" w:space="0" w:color="auto"/>
                            <w:right w:val="none" w:sz="0" w:space="0" w:color="auto"/>
                          </w:divBdr>
                        </w:div>
                      </w:divsChild>
                    </w:div>
                    <w:div w:id="2068188191">
                      <w:marLeft w:val="0"/>
                      <w:marRight w:val="0"/>
                      <w:marTop w:val="0"/>
                      <w:marBottom w:val="120"/>
                      <w:divBdr>
                        <w:top w:val="none" w:sz="0" w:space="0" w:color="auto"/>
                        <w:left w:val="none" w:sz="0" w:space="0" w:color="auto"/>
                        <w:bottom w:val="none" w:sz="0" w:space="0" w:color="auto"/>
                        <w:right w:val="none" w:sz="0" w:space="0" w:color="auto"/>
                      </w:divBdr>
                      <w:divsChild>
                        <w:div w:id="1140609559">
                          <w:marLeft w:val="0"/>
                          <w:marRight w:val="0"/>
                          <w:marTop w:val="0"/>
                          <w:marBottom w:val="0"/>
                          <w:divBdr>
                            <w:top w:val="none" w:sz="0" w:space="0" w:color="auto"/>
                            <w:left w:val="none" w:sz="0" w:space="0" w:color="auto"/>
                            <w:bottom w:val="none" w:sz="0" w:space="0" w:color="auto"/>
                            <w:right w:val="none" w:sz="0" w:space="0" w:color="auto"/>
                          </w:divBdr>
                          <w:divsChild>
                            <w:div w:id="1675380215">
                              <w:marLeft w:val="0"/>
                              <w:marRight w:val="0"/>
                              <w:marTop w:val="0"/>
                              <w:marBottom w:val="15"/>
                              <w:divBdr>
                                <w:top w:val="none" w:sz="0" w:space="0" w:color="auto"/>
                                <w:left w:val="none" w:sz="0" w:space="0" w:color="auto"/>
                                <w:bottom w:val="none" w:sz="0" w:space="0" w:color="auto"/>
                                <w:right w:val="none" w:sz="0" w:space="0" w:color="auto"/>
                              </w:divBdr>
                              <w:divsChild>
                                <w:div w:id="43005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0224">
                          <w:marLeft w:val="0"/>
                          <w:marRight w:val="0"/>
                          <w:marTop w:val="0"/>
                          <w:marBottom w:val="0"/>
                          <w:divBdr>
                            <w:top w:val="none" w:sz="0" w:space="0" w:color="auto"/>
                            <w:left w:val="none" w:sz="0" w:space="0" w:color="auto"/>
                            <w:bottom w:val="none" w:sz="0" w:space="0" w:color="auto"/>
                            <w:right w:val="none" w:sz="0" w:space="0" w:color="auto"/>
                          </w:divBdr>
                        </w:div>
                        <w:div w:id="1980956755">
                          <w:marLeft w:val="0"/>
                          <w:marRight w:val="0"/>
                          <w:marTop w:val="0"/>
                          <w:marBottom w:val="0"/>
                          <w:divBdr>
                            <w:top w:val="none" w:sz="0" w:space="0" w:color="auto"/>
                            <w:left w:val="none" w:sz="0" w:space="0" w:color="auto"/>
                            <w:bottom w:val="none" w:sz="0" w:space="0" w:color="auto"/>
                            <w:right w:val="none" w:sz="0" w:space="0" w:color="auto"/>
                          </w:divBdr>
                          <w:divsChild>
                            <w:div w:id="1555659107">
                              <w:marLeft w:val="0"/>
                              <w:marRight w:val="0"/>
                              <w:marTop w:val="0"/>
                              <w:marBottom w:val="0"/>
                              <w:divBdr>
                                <w:top w:val="single" w:sz="6" w:space="9" w:color="CDCDCD"/>
                                <w:left w:val="single" w:sz="6" w:space="9" w:color="CDCDCD"/>
                                <w:bottom w:val="single" w:sz="6" w:space="9" w:color="CDCDCD"/>
                                <w:right w:val="single" w:sz="6" w:space="9" w:color="CDCDCD"/>
                              </w:divBdr>
                              <w:divsChild>
                                <w:div w:id="1918858944">
                                  <w:marLeft w:val="0"/>
                                  <w:marRight w:val="0"/>
                                  <w:marTop w:val="0"/>
                                  <w:marBottom w:val="0"/>
                                  <w:divBdr>
                                    <w:top w:val="none" w:sz="0" w:space="0" w:color="auto"/>
                                    <w:left w:val="none" w:sz="0" w:space="0" w:color="auto"/>
                                    <w:bottom w:val="none" w:sz="0" w:space="0" w:color="auto"/>
                                    <w:right w:val="none" w:sz="0" w:space="0" w:color="auto"/>
                                  </w:divBdr>
                                  <w:divsChild>
                                    <w:div w:id="845098187">
                                      <w:marLeft w:val="0"/>
                                      <w:marRight w:val="0"/>
                                      <w:marTop w:val="0"/>
                                      <w:marBottom w:val="0"/>
                                      <w:divBdr>
                                        <w:top w:val="none" w:sz="0" w:space="0" w:color="auto"/>
                                        <w:left w:val="none" w:sz="0" w:space="0" w:color="auto"/>
                                        <w:bottom w:val="none" w:sz="0" w:space="0" w:color="auto"/>
                                        <w:right w:val="none" w:sz="0" w:space="0" w:color="auto"/>
                                      </w:divBdr>
                                      <w:divsChild>
                                        <w:div w:id="8428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g.org/southflorida/" TargetMode="External"/><Relationship Id="rId3" Type="http://schemas.microsoft.com/office/2007/relationships/stylesWithEffects" Target="stylesWithEffects.xml"/><Relationship Id="rId7" Type="http://schemas.openxmlformats.org/officeDocument/2006/relationships/hyperlink" Target="https://www.higcapit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866</Words>
  <Characters>4940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2017-04-05T18:00:00Z</cp:lastPrinted>
  <dcterms:created xsi:type="dcterms:W3CDTF">2018-05-22T07:15:00Z</dcterms:created>
  <dcterms:modified xsi:type="dcterms:W3CDTF">2018-05-22T07:15:00Z</dcterms:modified>
</cp:coreProperties>
</file>