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A07AE5" w14:textId="65092217" w:rsidR="00BA479D" w:rsidRDefault="007F21E1">
      <w:pPr>
        <w:rPr>
          <w:rFonts w:ascii="Arial" w:hAnsi="Arial" w:cs="Arial" w:hint="eastAsia"/>
          <w:sz w:val="24"/>
          <w:szCs w:val="24"/>
        </w:rPr>
      </w:pPr>
      <w:r>
        <w:rPr>
          <w:rFonts w:ascii="Arial" w:hAnsi="Arial" w:cs="Arial" w:hint="eastAsia"/>
          <w:sz w:val="24"/>
          <w:szCs w:val="24"/>
        </w:rPr>
        <w:t>October 1st</w:t>
      </w:r>
      <w:r w:rsidR="00BA479D">
        <w:rPr>
          <w:rFonts w:ascii="Arial" w:hAnsi="Arial" w:cs="Arial" w:hint="eastAsia"/>
          <w:sz w:val="24"/>
          <w:szCs w:val="24"/>
        </w:rPr>
        <w:t>, 2004</w:t>
      </w:r>
    </w:p>
    <w:p w14:paraId="4CFBDA45" w14:textId="51ACABCD" w:rsidR="00BA479D" w:rsidRPr="00262267" w:rsidRDefault="007F21E1">
      <w:pPr>
        <w:rPr>
          <w:rFonts w:ascii="Arial" w:hAnsi="Arial" w:cs="Arial" w:hint="eastAsia"/>
          <w:b/>
          <w:bCs/>
          <w:sz w:val="28"/>
          <w:szCs w:val="28"/>
        </w:rPr>
      </w:pPr>
      <w:r>
        <w:rPr>
          <w:rFonts w:ascii="Arial" w:hAnsi="Arial" w:cs="Arial" w:hint="eastAsia"/>
          <w:b/>
          <w:bCs/>
          <w:sz w:val="28"/>
          <w:szCs w:val="28"/>
        </w:rPr>
        <w:t>Another Fixer Upper Home is Completed</w:t>
      </w:r>
    </w:p>
    <w:p w14:paraId="43F3EB57" w14:textId="77777777" w:rsidR="007F21E1" w:rsidRDefault="00C24064">
      <w:pPr>
        <w:rPr>
          <w:rFonts w:ascii="Arial" w:hAnsi="Arial" w:cs="Arial"/>
          <w:sz w:val="24"/>
          <w:szCs w:val="24"/>
        </w:rPr>
      </w:pPr>
      <w:r>
        <w:rPr>
          <w:rFonts w:ascii="Arial" w:hAnsi="Arial" w:cs="Arial" w:hint="eastAsia"/>
          <w:sz w:val="24"/>
          <w:szCs w:val="24"/>
        </w:rPr>
        <w:t>ASC Global Inc. as a wholly-owned subsidiary of t</w:t>
      </w:r>
      <w:r w:rsidR="00532514" w:rsidRPr="00532514">
        <w:rPr>
          <w:rFonts w:ascii="Arial" w:hAnsi="Arial" w:cs="Arial"/>
          <w:sz w:val="24"/>
          <w:szCs w:val="24"/>
        </w:rPr>
        <w:t xml:space="preserve">he </w:t>
      </w:r>
      <w:r w:rsidR="00532514">
        <w:rPr>
          <w:rFonts w:ascii="Arial" w:hAnsi="Arial" w:cs="Arial" w:hint="eastAsia"/>
          <w:sz w:val="24"/>
          <w:szCs w:val="24"/>
        </w:rPr>
        <w:t xml:space="preserve">Company has </w:t>
      </w:r>
      <w:r w:rsidR="007F21E1">
        <w:rPr>
          <w:rFonts w:ascii="Arial" w:hAnsi="Arial" w:cs="Arial" w:hint="eastAsia"/>
          <w:sz w:val="24"/>
          <w:szCs w:val="24"/>
        </w:rPr>
        <w:t>just completed another fixer upper home located at 4646 La Jolla Drive. Bradenton FL 34210. This beautiful golf course villa is located right by the 16</w:t>
      </w:r>
      <w:r w:rsidR="007F21E1" w:rsidRPr="007F21E1">
        <w:rPr>
          <w:rFonts w:ascii="Arial" w:hAnsi="Arial" w:cs="Arial" w:hint="eastAsia"/>
          <w:sz w:val="24"/>
          <w:szCs w:val="24"/>
          <w:vertAlign w:val="superscript"/>
        </w:rPr>
        <w:t>th</w:t>
      </w:r>
      <w:r w:rsidR="007F21E1">
        <w:rPr>
          <w:rFonts w:ascii="Arial" w:hAnsi="Arial" w:cs="Arial" w:hint="eastAsia"/>
          <w:sz w:val="24"/>
          <w:szCs w:val="24"/>
        </w:rPr>
        <w:t xml:space="preserve"> hole of IMG Academy Golf Course, with three bedrooms, two full baths, two car garage, and a large enclosed lanai area. The company installed brand new AC system, Hot Water Heater, Light Fixtures, Ceiling Fans, flooring, baseboards, new landscaping, new paint job and many more. </w:t>
      </w:r>
    </w:p>
    <w:p w14:paraId="00D94718" w14:textId="22770EB4" w:rsidR="00BA479D" w:rsidRPr="007F21E1" w:rsidRDefault="007F21E1">
      <w:pPr>
        <w:rPr>
          <w:rFonts w:ascii="Arial" w:hAnsi="Arial" w:cs="Arial" w:hint="eastAsia"/>
          <w:sz w:val="24"/>
          <w:szCs w:val="24"/>
        </w:rPr>
      </w:pPr>
      <w:r>
        <w:rPr>
          <w:rFonts w:ascii="Arial" w:hAnsi="Arial" w:cs="Arial" w:hint="eastAsia"/>
          <w:sz w:val="24"/>
          <w:szCs w:val="24"/>
        </w:rPr>
        <w:t xml:space="preserve">The Company currently has its three development plans, (1) Short-Term : </w:t>
      </w:r>
      <w:r w:rsidR="003301C6">
        <w:rPr>
          <w:rFonts w:ascii="Arial" w:hAnsi="Arial" w:cs="Arial" w:hint="eastAsia"/>
          <w:sz w:val="24"/>
          <w:szCs w:val="24"/>
        </w:rPr>
        <w:t>Buying Fixer Upper Homes, get them renovated, and put them back on the market to sell, (2) Mid-Term : Scattered Lots Development of 20+ premium waterfront luxury homes in its core SW Florida market area, (3) Long-Term : The Development of Large acreage Equestrian Estate Homes and Paradise Island ( 165 acres of premium waterfront properties ).</w:t>
      </w:r>
      <w:r>
        <w:rPr>
          <w:rFonts w:ascii="Arial" w:hAnsi="Arial" w:cs="Arial" w:hint="eastAsia"/>
          <w:sz w:val="24"/>
          <w:szCs w:val="24"/>
        </w:rPr>
        <w:t xml:space="preserve"> </w:t>
      </w:r>
    </w:p>
    <w:p w14:paraId="53EC1325" w14:textId="77777777" w:rsidR="00262267" w:rsidRDefault="00262267">
      <w:pPr>
        <w:rPr>
          <w:rFonts w:ascii="Arial" w:hAnsi="Arial" w:cs="Arial"/>
          <w:sz w:val="24"/>
          <w:szCs w:val="24"/>
        </w:rPr>
      </w:pPr>
    </w:p>
    <w:p w14:paraId="0D5DE6BC" w14:textId="77777777" w:rsidR="00262267" w:rsidRPr="00262267" w:rsidRDefault="00262267" w:rsidP="00262267">
      <w:pPr>
        <w:shd w:val="clear" w:color="auto" w:fill="FFFFFF"/>
        <w:spacing w:after="240" w:line="240" w:lineRule="auto"/>
        <w:outlineLvl w:val="2"/>
        <w:rPr>
          <w:rFonts w:ascii="Georgia" w:eastAsia="Times New Roman" w:hAnsi="Georgia" w:cs="Times New Roman"/>
          <w:b/>
          <w:bCs/>
          <w:color w:val="000C3F"/>
          <w:sz w:val="27"/>
          <w:szCs w:val="27"/>
        </w:rPr>
      </w:pPr>
      <w:r w:rsidRPr="00262267">
        <w:rPr>
          <w:rFonts w:ascii="Georgia" w:eastAsia="Times New Roman" w:hAnsi="Georgia" w:cs="Times New Roman"/>
          <w:b/>
          <w:bCs/>
          <w:color w:val="000C3F"/>
          <w:sz w:val="27"/>
          <w:szCs w:val="27"/>
        </w:rPr>
        <w:t>Forward-Looking Statements</w:t>
      </w:r>
    </w:p>
    <w:p w14:paraId="66696920" w14:textId="77777777" w:rsidR="00262267" w:rsidRPr="00262267" w:rsidRDefault="00262267" w:rsidP="00262267">
      <w:pPr>
        <w:shd w:val="clear" w:color="auto" w:fill="FFFFFF"/>
        <w:spacing w:before="100" w:beforeAutospacing="1" w:after="100" w:afterAutospacing="1" w:line="240" w:lineRule="auto"/>
        <w:rPr>
          <w:rFonts w:ascii="Segoe UI" w:eastAsia="Times New Roman" w:hAnsi="Segoe UI" w:cs="Segoe UI"/>
          <w:color w:val="374151"/>
          <w:sz w:val="20"/>
          <w:szCs w:val="20"/>
        </w:rPr>
      </w:pPr>
      <w:r w:rsidRPr="00262267">
        <w:rPr>
          <w:rFonts w:ascii="Segoe UI" w:eastAsia="Times New Roman" w:hAnsi="Segoe UI" w:cs="Segoe UI"/>
          <w:i/>
          <w:iCs/>
          <w:color w:val="374151"/>
          <w:sz w:val="20"/>
          <w:szCs w:val="20"/>
        </w:rPr>
        <w:t>Certain information set forth in this presentation contains “forward-looking information</w:t>
      </w:r>
      <w:proofErr w:type="gramStart"/>
      <w:r w:rsidRPr="00262267">
        <w:rPr>
          <w:rFonts w:ascii="Segoe UI" w:eastAsia="Times New Roman" w:hAnsi="Segoe UI" w:cs="Segoe UI"/>
          <w:i/>
          <w:iCs/>
          <w:color w:val="374151"/>
          <w:sz w:val="20"/>
          <w:szCs w:val="20"/>
        </w:rPr>
        <w:t>”,</w:t>
      </w:r>
      <w:proofErr w:type="gramEnd"/>
      <w:r w:rsidRPr="00262267">
        <w:rPr>
          <w:rFonts w:ascii="Segoe UI" w:eastAsia="Times New Roman" w:hAnsi="Segoe UI" w:cs="Segoe UI"/>
          <w:i/>
          <w:iCs/>
          <w:color w:val="374151"/>
          <w:sz w:val="20"/>
          <w:szCs w:val="20"/>
        </w:rPr>
        <w:t xml:space="preserve"> including “future-oriented financial information” and “financial outlook”, under applicable securities laws (collectively referred to herein as forward-looking statements). Except for statements of historical fact, the information contained herein constitutes forward-looking statements and includes, but is not limited to, the (</w:t>
      </w:r>
      <w:proofErr w:type="spellStart"/>
      <w:r w:rsidRPr="00262267">
        <w:rPr>
          <w:rFonts w:ascii="Segoe UI" w:eastAsia="Times New Roman" w:hAnsi="Segoe UI" w:cs="Segoe UI"/>
          <w:i/>
          <w:iCs/>
          <w:color w:val="374151"/>
          <w:sz w:val="20"/>
          <w:szCs w:val="20"/>
        </w:rPr>
        <w:t>i</w:t>
      </w:r>
      <w:proofErr w:type="spellEnd"/>
      <w:r w:rsidRPr="00262267">
        <w:rPr>
          <w:rFonts w:ascii="Segoe UI" w:eastAsia="Times New Roman" w:hAnsi="Segoe UI" w:cs="Segoe UI"/>
          <w:i/>
          <w:iCs/>
          <w:color w:val="374151"/>
          <w:sz w:val="20"/>
          <w:szCs w:val="20"/>
        </w:rPr>
        <w:t>) projected financial performance of the Company; (ii) completion of, and the use of proceeds from, the sale of the shares being offered hereunder; (iii) the expected development of the Company’s business, projects, and joint ventures; (iv) execution of the Company’s vision and growth strategy, including with respect to future M&amp;A activity and global growth; (v) sources and availability of third-party financing for the Company’s projects; (vi) completion of the Company’s projects that are currently underway, in development or otherwise under consideration; (vi) renewal of the Company’s current customer, supplier and other material agreements; and (vii) future liquidity, working capital, and capital requirements. Forward-looking statements are provided to allow potential investors the opportunity to understand management’s beliefs and opinions in respect of the future so that they may use such beliefs and opinions as one factor in evaluating an investment.</w:t>
      </w:r>
    </w:p>
    <w:p w14:paraId="74F2DE9E" w14:textId="77777777" w:rsidR="00262267" w:rsidRPr="00262267" w:rsidRDefault="00262267" w:rsidP="00262267">
      <w:pPr>
        <w:shd w:val="clear" w:color="auto" w:fill="FFFFFF"/>
        <w:spacing w:before="100" w:beforeAutospacing="1" w:after="100" w:afterAutospacing="1" w:line="240" w:lineRule="auto"/>
        <w:rPr>
          <w:rFonts w:ascii="Segoe UI" w:eastAsia="Times New Roman" w:hAnsi="Segoe UI" w:cs="Segoe UI"/>
          <w:color w:val="374151"/>
          <w:sz w:val="20"/>
          <w:szCs w:val="20"/>
        </w:rPr>
      </w:pPr>
      <w:r w:rsidRPr="00262267">
        <w:rPr>
          <w:rFonts w:ascii="Segoe UI" w:eastAsia="Times New Roman" w:hAnsi="Segoe UI" w:cs="Segoe UI"/>
          <w:i/>
          <w:iCs/>
          <w:color w:val="374151"/>
          <w:sz w:val="20"/>
          <w:szCs w:val="20"/>
        </w:rPr>
        <w:t>These statements are not guarantees of future performance and undue reliance should not be placed on them. Such forward-looking statements necessarily involve known and unknown risks and uncertainties, which may cause actual performance and financial results in future periods to differ materially from any projections of future performance or result expressed or implied by such forward-looking statements.</w:t>
      </w:r>
    </w:p>
    <w:p w14:paraId="2453461E" w14:textId="77777777" w:rsidR="00262267" w:rsidRPr="00262267" w:rsidRDefault="00262267" w:rsidP="00262267">
      <w:pPr>
        <w:shd w:val="clear" w:color="auto" w:fill="FFFFFF"/>
        <w:spacing w:before="100" w:beforeAutospacing="1" w:after="100" w:afterAutospacing="1" w:line="240" w:lineRule="auto"/>
        <w:rPr>
          <w:rFonts w:ascii="Segoe UI" w:eastAsia="Times New Roman" w:hAnsi="Segoe UI" w:cs="Segoe UI"/>
          <w:color w:val="374151"/>
          <w:sz w:val="20"/>
          <w:szCs w:val="20"/>
        </w:rPr>
      </w:pPr>
      <w:r w:rsidRPr="00262267">
        <w:rPr>
          <w:rFonts w:ascii="Segoe UI" w:eastAsia="Times New Roman" w:hAnsi="Segoe UI" w:cs="Segoe UI"/>
          <w:i/>
          <w:iCs/>
          <w:color w:val="374151"/>
          <w:sz w:val="20"/>
          <w:szCs w:val="20"/>
        </w:rPr>
        <w:t>Although forward-looking statements contained in this presentation are based upon what management of the Company believes are reasonable assumptions, there can be no assurance that forward-looking statements will prove to be accurate, as actual results and future events could differ materially from those anticipated in such statements. The Company undertakes no obligation to update forward-looking statements if circumstances or management’s estimates or opinions should change except as required by applicable securities laws. The reader is cautioned not to place undue reliance on forward-looking statements.</w:t>
      </w:r>
    </w:p>
    <w:p w14:paraId="422DCA58" w14:textId="586D5B4D" w:rsidR="00262267" w:rsidRPr="00262267" w:rsidRDefault="00262267" w:rsidP="00262267">
      <w:pPr>
        <w:shd w:val="clear" w:color="auto" w:fill="FFFFFF"/>
        <w:spacing w:before="100" w:beforeAutospacing="1" w:after="100" w:afterAutospacing="1" w:line="240" w:lineRule="auto"/>
        <w:rPr>
          <w:rFonts w:ascii="Segoe UI" w:eastAsia="Times New Roman" w:hAnsi="Segoe UI" w:cs="Segoe UI" w:hint="eastAsia"/>
          <w:color w:val="374151"/>
          <w:sz w:val="24"/>
          <w:szCs w:val="24"/>
        </w:rPr>
      </w:pPr>
      <w:r w:rsidRPr="00262267">
        <w:rPr>
          <w:rFonts w:ascii="Segoe UI" w:eastAsia="Times New Roman" w:hAnsi="Segoe UI" w:cs="Segoe UI" w:hint="eastAsia"/>
          <w:color w:val="374151"/>
          <w:sz w:val="24"/>
          <w:szCs w:val="24"/>
        </w:rPr>
        <w:lastRenderedPageBreak/>
        <w:t xml:space="preserve"> </w:t>
      </w:r>
    </w:p>
    <w:p w14:paraId="072637D5" w14:textId="77777777" w:rsidR="00262267" w:rsidRPr="00C24064" w:rsidRDefault="00262267">
      <w:pPr>
        <w:rPr>
          <w:rFonts w:ascii="Arial" w:hAnsi="Arial" w:cs="Arial" w:hint="eastAsia"/>
          <w:sz w:val="24"/>
          <w:szCs w:val="24"/>
        </w:rPr>
      </w:pPr>
    </w:p>
    <w:sectPr w:rsidR="00262267" w:rsidRPr="00C240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6A437E6"/>
    <w:multiLevelType w:val="multilevel"/>
    <w:tmpl w:val="73A85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1266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514"/>
    <w:rsid w:val="001175E2"/>
    <w:rsid w:val="00262267"/>
    <w:rsid w:val="002C26A1"/>
    <w:rsid w:val="003301C6"/>
    <w:rsid w:val="00532514"/>
    <w:rsid w:val="005E0AFD"/>
    <w:rsid w:val="007F21E1"/>
    <w:rsid w:val="008B25FD"/>
    <w:rsid w:val="00BA479D"/>
    <w:rsid w:val="00C24064"/>
    <w:rsid w:val="00E674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F759B"/>
  <w15:chartTrackingRefBased/>
  <w15:docId w15:val="{8525FD37-C0AB-4F9D-BFA3-EB114867B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51663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509</Words>
  <Characters>2906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Chen</dc:creator>
  <cp:keywords/>
  <dc:description/>
  <cp:lastModifiedBy>David Chen</cp:lastModifiedBy>
  <cp:revision>2</cp:revision>
  <dcterms:created xsi:type="dcterms:W3CDTF">2024-09-27T15:15:00Z</dcterms:created>
  <dcterms:modified xsi:type="dcterms:W3CDTF">2024-09-27T15:15:00Z</dcterms:modified>
</cp:coreProperties>
</file>