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7D9A58" w14:textId="4B24ED2D" w:rsidR="00BE4592" w:rsidRDefault="00BE4592" w:rsidP="00F24C38">
      <w:pPr>
        <w:shd w:val="clear" w:color="auto" w:fill="FFFFFF"/>
        <w:spacing w:after="240" w:line="240" w:lineRule="auto"/>
        <w:rPr>
          <w:sz w:val="40"/>
          <w:szCs w:val="40"/>
        </w:rPr>
      </w:pPr>
      <w:r w:rsidRPr="00BE4592">
        <w:rPr>
          <w:sz w:val="40"/>
          <w:szCs w:val="40"/>
        </w:rPr>
        <w:t xml:space="preserve">Tonix’s TNX 102-SL </w:t>
      </w:r>
      <w:r w:rsidR="005F4D9A">
        <w:rPr>
          <w:sz w:val="40"/>
          <w:szCs w:val="40"/>
        </w:rPr>
        <w:t xml:space="preserve">Could </w:t>
      </w:r>
      <w:r w:rsidRPr="00BE4592">
        <w:rPr>
          <w:sz w:val="40"/>
          <w:szCs w:val="40"/>
        </w:rPr>
        <w:t xml:space="preserve">Offer </w:t>
      </w:r>
      <w:r>
        <w:rPr>
          <w:sz w:val="40"/>
          <w:szCs w:val="40"/>
        </w:rPr>
        <w:t xml:space="preserve">New </w:t>
      </w:r>
      <w:r w:rsidRPr="00BE4592">
        <w:rPr>
          <w:sz w:val="40"/>
          <w:szCs w:val="40"/>
        </w:rPr>
        <w:t xml:space="preserve">Hope </w:t>
      </w:r>
      <w:r w:rsidR="002A0202">
        <w:rPr>
          <w:sz w:val="40"/>
          <w:szCs w:val="40"/>
        </w:rPr>
        <w:t xml:space="preserve">of </w:t>
      </w:r>
      <w:r w:rsidR="00E67095" w:rsidRPr="00BE4592">
        <w:rPr>
          <w:sz w:val="40"/>
          <w:szCs w:val="40"/>
        </w:rPr>
        <w:t>Pain Relief Without Narcotics</w:t>
      </w:r>
      <w:r w:rsidR="002A0202">
        <w:rPr>
          <w:sz w:val="40"/>
          <w:szCs w:val="40"/>
        </w:rPr>
        <w:t xml:space="preserve"> </w:t>
      </w:r>
      <w:r w:rsidR="00F606C2">
        <w:rPr>
          <w:sz w:val="40"/>
          <w:szCs w:val="40"/>
        </w:rPr>
        <w:t>f</w:t>
      </w:r>
      <w:r w:rsidR="002A0202" w:rsidRPr="00BE4592">
        <w:rPr>
          <w:sz w:val="40"/>
          <w:szCs w:val="40"/>
        </w:rPr>
        <w:t xml:space="preserve">or Fibromyalgia </w:t>
      </w:r>
      <w:r w:rsidR="002A0202">
        <w:rPr>
          <w:sz w:val="40"/>
          <w:szCs w:val="40"/>
        </w:rPr>
        <w:t>S</w:t>
      </w:r>
      <w:r w:rsidR="002A0202" w:rsidRPr="00BE4592">
        <w:rPr>
          <w:sz w:val="40"/>
          <w:szCs w:val="40"/>
        </w:rPr>
        <w:t>ufferers</w:t>
      </w:r>
    </w:p>
    <w:p w14:paraId="286D46D3" w14:textId="76D40CA2" w:rsidR="00BE4592" w:rsidRDefault="00F24C38" w:rsidP="00D5127C">
      <w:pPr>
        <w:shd w:val="clear" w:color="auto" w:fill="FFFFFF"/>
        <w:spacing w:line="240" w:lineRule="auto"/>
        <w:jc w:val="center"/>
      </w:pPr>
      <w:r>
        <w:object w:dxaOrig="15720" w:dyaOrig="7329" w14:anchorId="3A95FB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65pt;height:218.05pt" o:ole="">
            <v:imagedata r:id="rId5" o:title=""/>
          </v:shape>
          <o:OLEObject Type="Embed" ProgID="Unknown" ShapeID="_x0000_i1025" DrawAspect="Content" ObjectID="_1795175323" r:id="rId6"/>
        </w:object>
      </w:r>
    </w:p>
    <w:p w14:paraId="4ECB02CB" w14:textId="544AA56F" w:rsidR="00F24C38" w:rsidRPr="00F24C38" w:rsidRDefault="00F24C38" w:rsidP="00D5127C">
      <w:pPr>
        <w:shd w:val="clear" w:color="auto" w:fill="FFFFFF"/>
        <w:spacing w:line="240" w:lineRule="auto"/>
        <w:jc w:val="center"/>
        <w:rPr>
          <w:rFonts w:ascii="Calibri" w:eastAsia="Calibri" w:hAnsi="Calibri" w:cs="Calibri"/>
          <w:sz w:val="20"/>
          <w:szCs w:val="20"/>
          <w:lang w:val="en-US"/>
        </w:rPr>
      </w:pPr>
      <w:hyperlink r:id="rId7" w:tgtFrame="_blank" w:history="1">
        <w:r w:rsidRPr="00F24C38">
          <w:rPr>
            <w:rStyle w:val="Hyperlink"/>
            <w:rFonts w:ascii="Calibri" w:eastAsia="Calibri" w:hAnsi="Calibri" w:cs="Calibri"/>
            <w:i/>
            <w:iCs/>
            <w:sz w:val="20"/>
            <w:szCs w:val="20"/>
            <w:lang w:val="en-US"/>
          </w:rPr>
          <w:t>Click here for a 6-minute video of Seth Lederman, MD</w:t>
        </w:r>
        <w:r w:rsidR="00A531A8">
          <w:rPr>
            <w:rStyle w:val="Hyperlink"/>
            <w:rFonts w:ascii="Calibri" w:eastAsia="Calibri" w:hAnsi="Calibri" w:cs="Calibri"/>
            <w:i/>
            <w:iCs/>
            <w:sz w:val="20"/>
            <w:szCs w:val="20"/>
            <w:lang w:val="en-US"/>
          </w:rPr>
          <w:t>,</w:t>
        </w:r>
        <w:r w:rsidRPr="00F24C38">
          <w:rPr>
            <w:rStyle w:val="Hyperlink"/>
            <w:rFonts w:ascii="Calibri" w:eastAsia="Calibri" w:hAnsi="Calibri" w:cs="Calibri"/>
            <w:i/>
            <w:iCs/>
            <w:sz w:val="20"/>
            <w:szCs w:val="20"/>
            <w:lang w:val="en-US"/>
          </w:rPr>
          <w:t xml:space="preserve"> reviewing the status of TNX 102-SL for fibromyalgia</w:t>
        </w:r>
      </w:hyperlink>
    </w:p>
    <w:p w14:paraId="5B7651EA" w14:textId="2321B8F3" w:rsidR="00BE4592" w:rsidRDefault="00BE4592">
      <w:pPr>
        <w:shd w:val="clear" w:color="auto" w:fill="FFFFFF"/>
        <w:spacing w:line="240" w:lineRule="auto"/>
        <w:rPr>
          <w:rFonts w:ascii="Calibri" w:eastAsia="Calibri" w:hAnsi="Calibri" w:cs="Calibri"/>
          <w:sz w:val="24"/>
          <w:szCs w:val="24"/>
        </w:rPr>
      </w:pPr>
    </w:p>
    <w:p w14:paraId="0D64F579" w14:textId="77777777" w:rsidR="005F4D9A" w:rsidRDefault="005F4D9A">
      <w:pPr>
        <w:shd w:val="clear" w:color="auto" w:fill="FFFFFF"/>
        <w:spacing w:line="240" w:lineRule="auto"/>
        <w:rPr>
          <w:rFonts w:ascii="Calibri" w:eastAsia="Calibri" w:hAnsi="Calibri" w:cs="Calibri"/>
          <w:sz w:val="24"/>
          <w:szCs w:val="24"/>
        </w:rPr>
      </w:pPr>
    </w:p>
    <w:p w14:paraId="40770DF5" w14:textId="77777777" w:rsidR="00BE4592" w:rsidRPr="005F4D9A" w:rsidRDefault="00BE4592" w:rsidP="00BE4592">
      <w:pPr>
        <w:rPr>
          <w:i/>
          <w:iCs/>
        </w:rPr>
      </w:pPr>
      <w:r w:rsidRPr="005F4D9A">
        <w:rPr>
          <w:i/>
          <w:iCs/>
        </w:rPr>
        <w:t>This post was written and published as a collaboration between the in-house editorial team at Benzinga and Tonix Pharmaceuticals Holding Corp. with financial support from Tonix. The two organizations work to ensure that any and all information contained within is true and accurate as of the date hereof to the best of their knowledge and research. This content is for informational purposes only and not intended to be investing advice.</w:t>
      </w:r>
    </w:p>
    <w:p w14:paraId="2A84B741" w14:textId="77777777" w:rsidR="00BE4592" w:rsidRDefault="00BE4592">
      <w:pPr>
        <w:shd w:val="clear" w:color="auto" w:fill="FFFFFF"/>
        <w:spacing w:line="240" w:lineRule="auto"/>
        <w:rPr>
          <w:rFonts w:ascii="Calibri" w:eastAsia="Calibri" w:hAnsi="Calibri" w:cs="Calibri"/>
          <w:sz w:val="24"/>
          <w:szCs w:val="24"/>
        </w:rPr>
      </w:pPr>
    </w:p>
    <w:p w14:paraId="572EE933" w14:textId="2C47CABD" w:rsidR="007F53ED" w:rsidRDefault="005F4D9A">
      <w:pPr>
        <w:shd w:val="clear" w:color="auto" w:fill="FFFFFF"/>
        <w:spacing w:line="240" w:lineRule="auto"/>
        <w:rPr>
          <w:rFonts w:ascii="Calibri" w:eastAsia="Calibri" w:hAnsi="Calibri" w:cs="Calibri"/>
          <w:sz w:val="24"/>
          <w:szCs w:val="24"/>
        </w:rPr>
      </w:pPr>
      <w:r w:rsidRPr="003161E2">
        <w:rPr>
          <w:sz w:val="24"/>
          <w:szCs w:val="24"/>
        </w:rPr>
        <w:t xml:space="preserve">CHATHAM, NJ / ACCESSWIRE / </w:t>
      </w:r>
      <w:r>
        <w:rPr>
          <w:sz w:val="24"/>
          <w:szCs w:val="24"/>
        </w:rPr>
        <w:t>Dec. 9. 2024 -</w:t>
      </w:r>
      <w:r>
        <w:rPr>
          <w:rFonts w:ascii="Calibri" w:eastAsia="Calibri" w:hAnsi="Calibri" w:cs="Calibri"/>
          <w:sz w:val="24"/>
          <w:szCs w:val="24"/>
        </w:rPr>
        <w:t xml:space="preserve"> </w:t>
      </w:r>
      <w:r w:rsidR="00EB7C14">
        <w:rPr>
          <w:rFonts w:ascii="Calibri" w:eastAsia="Calibri" w:hAnsi="Calibri" w:cs="Calibri"/>
          <w:sz w:val="24"/>
          <w:szCs w:val="24"/>
        </w:rPr>
        <w:t xml:space="preserve">Fibromyalgia, the chronic </w:t>
      </w:r>
      <w:r w:rsidR="005B5D60">
        <w:rPr>
          <w:rFonts w:ascii="Calibri" w:eastAsia="Calibri" w:hAnsi="Calibri" w:cs="Calibri"/>
          <w:sz w:val="24"/>
          <w:szCs w:val="24"/>
        </w:rPr>
        <w:t>pain condition</w:t>
      </w:r>
      <w:r w:rsidR="00EB7C14">
        <w:rPr>
          <w:rFonts w:ascii="Calibri" w:eastAsia="Calibri" w:hAnsi="Calibri" w:cs="Calibri"/>
          <w:sz w:val="24"/>
          <w:szCs w:val="24"/>
        </w:rPr>
        <w:t xml:space="preserve"> that plagues</w:t>
      </w:r>
      <w:r w:rsidR="00D506E0">
        <w:rPr>
          <w:rFonts w:ascii="Calibri" w:eastAsia="Calibri" w:hAnsi="Calibri" w:cs="Calibri"/>
          <w:sz w:val="24"/>
          <w:szCs w:val="24"/>
        </w:rPr>
        <w:t xml:space="preserve"> approximately</w:t>
      </w:r>
      <w:r w:rsidR="00EB7C14">
        <w:rPr>
          <w:rFonts w:ascii="Calibri" w:eastAsia="Calibri" w:hAnsi="Calibri" w:cs="Calibri"/>
          <w:sz w:val="24"/>
          <w:szCs w:val="24"/>
        </w:rPr>
        <w:t xml:space="preserve"> </w:t>
      </w:r>
      <w:hyperlink r:id="rId8">
        <w:r w:rsidR="007F53ED">
          <w:rPr>
            <w:rFonts w:ascii="Calibri" w:eastAsia="Calibri" w:hAnsi="Calibri" w:cs="Calibri"/>
            <w:color w:val="1155CC"/>
            <w:sz w:val="24"/>
            <w:szCs w:val="24"/>
            <w:u w:val="single"/>
          </w:rPr>
          <w:t>ten million Americans</w:t>
        </w:r>
      </w:hyperlink>
      <w:r w:rsidR="00EB7C14">
        <w:rPr>
          <w:rFonts w:ascii="Calibri" w:eastAsia="Calibri" w:hAnsi="Calibri" w:cs="Calibri"/>
          <w:sz w:val="24"/>
          <w:szCs w:val="24"/>
        </w:rPr>
        <w:t xml:space="preserve"> </w:t>
      </w:r>
      <w:proofErr w:type="gramStart"/>
      <w:r w:rsidR="00EB7C14">
        <w:rPr>
          <w:rFonts w:ascii="Calibri" w:eastAsia="Calibri" w:hAnsi="Calibri" w:cs="Calibri"/>
          <w:sz w:val="24"/>
          <w:szCs w:val="24"/>
        </w:rPr>
        <w:t>is in need of</w:t>
      </w:r>
      <w:proofErr w:type="gramEnd"/>
      <w:r w:rsidR="00EB7C14">
        <w:rPr>
          <w:rFonts w:ascii="Calibri" w:eastAsia="Calibri" w:hAnsi="Calibri" w:cs="Calibri"/>
          <w:sz w:val="24"/>
          <w:szCs w:val="24"/>
        </w:rPr>
        <w:t xml:space="preserve"> new </w:t>
      </w:r>
      <w:r w:rsidR="003C1052">
        <w:rPr>
          <w:rFonts w:ascii="Calibri" w:eastAsia="Calibri" w:hAnsi="Calibri" w:cs="Calibri"/>
          <w:sz w:val="24"/>
          <w:szCs w:val="24"/>
        </w:rPr>
        <w:t xml:space="preserve">drug </w:t>
      </w:r>
      <w:r w:rsidR="00EB7C14">
        <w:rPr>
          <w:rFonts w:ascii="Calibri" w:eastAsia="Calibri" w:hAnsi="Calibri" w:cs="Calibri"/>
          <w:sz w:val="24"/>
          <w:szCs w:val="24"/>
        </w:rPr>
        <w:t xml:space="preserve">treatment options. The existing </w:t>
      </w:r>
      <w:r w:rsidR="003C1052">
        <w:rPr>
          <w:rFonts w:ascii="Calibri" w:eastAsia="Calibri" w:hAnsi="Calibri" w:cs="Calibri"/>
          <w:sz w:val="24"/>
          <w:szCs w:val="24"/>
        </w:rPr>
        <w:t xml:space="preserve">approved drugs </w:t>
      </w:r>
      <w:r w:rsidR="00EB7C14">
        <w:rPr>
          <w:rFonts w:ascii="Calibri" w:eastAsia="Calibri" w:hAnsi="Calibri" w:cs="Calibri"/>
          <w:sz w:val="24"/>
          <w:szCs w:val="24"/>
        </w:rPr>
        <w:t>on the market</w:t>
      </w:r>
      <w:r w:rsidR="003C1052">
        <w:rPr>
          <w:rFonts w:ascii="Calibri" w:eastAsia="Calibri" w:hAnsi="Calibri" w:cs="Calibri"/>
          <w:sz w:val="24"/>
          <w:szCs w:val="24"/>
          <w:highlight w:val="white"/>
        </w:rPr>
        <w:t xml:space="preserve"> </w:t>
      </w:r>
      <w:r w:rsidR="00EB7C14">
        <w:rPr>
          <w:rFonts w:ascii="Calibri" w:eastAsia="Calibri" w:hAnsi="Calibri" w:cs="Calibri"/>
          <w:sz w:val="24"/>
          <w:szCs w:val="24"/>
          <w:highlight w:val="white"/>
        </w:rPr>
        <w:t xml:space="preserve">often aren’t enough. Unfortunately, many patients, at the direction of their doctors, end up taking </w:t>
      </w:r>
      <w:hyperlink r:id="rId9" w:anchor=":~:text=fibromyalgia%20(FM).-,%E2%96%AA,Anderson%20J.">
        <w:r w:rsidR="007F53ED">
          <w:rPr>
            <w:rFonts w:ascii="Calibri" w:eastAsia="Calibri" w:hAnsi="Calibri" w:cs="Calibri"/>
            <w:color w:val="1155CC"/>
            <w:sz w:val="24"/>
            <w:szCs w:val="24"/>
            <w:highlight w:val="white"/>
            <w:u w:val="single"/>
          </w:rPr>
          <w:t>opioids as a last resort to manage fibromyalgia</w:t>
        </w:r>
      </w:hyperlink>
      <w:r w:rsidR="00EB7C14">
        <w:rPr>
          <w:rFonts w:ascii="Calibri" w:eastAsia="Calibri" w:hAnsi="Calibri" w:cs="Calibri"/>
          <w:sz w:val="24"/>
          <w:szCs w:val="24"/>
          <w:highlight w:val="white"/>
        </w:rPr>
        <w:t>.</w:t>
      </w:r>
      <w:hyperlink r:id="rId10" w:anchor=":~:text=fibromyalgia%20(FM).-,%E2%96%AA,Anderson%20J.">
        <w:r w:rsidR="007F53ED">
          <w:rPr>
            <w:rFonts w:ascii="Calibri" w:eastAsia="Calibri" w:hAnsi="Calibri" w:cs="Calibri"/>
            <w:color w:val="1155CC"/>
            <w:sz w:val="24"/>
            <w:szCs w:val="24"/>
            <w:highlight w:val="white"/>
            <w:u w:val="single"/>
          </w:rPr>
          <w:t xml:space="preserve"> </w:t>
        </w:r>
      </w:hyperlink>
    </w:p>
    <w:p w14:paraId="3DB52A1C" w14:textId="77777777" w:rsidR="007F53ED" w:rsidRDefault="007F53ED">
      <w:pPr>
        <w:shd w:val="clear" w:color="auto" w:fill="FFFFFF"/>
        <w:spacing w:line="240" w:lineRule="auto"/>
        <w:rPr>
          <w:rFonts w:ascii="Calibri" w:eastAsia="Calibri" w:hAnsi="Calibri" w:cs="Calibri"/>
          <w:sz w:val="24"/>
          <w:szCs w:val="24"/>
        </w:rPr>
      </w:pPr>
    </w:p>
    <w:p w14:paraId="6A1D532E" w14:textId="132D1F26" w:rsidR="007F53ED" w:rsidRDefault="00096F07">
      <w:p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Opioids come with their own set of problems. </w:t>
      </w:r>
      <w:r>
        <w:rPr>
          <w:rFonts w:ascii="Calibri" w:eastAsia="Calibri" w:hAnsi="Calibri" w:cs="Calibri"/>
          <w:sz w:val="24"/>
          <w:szCs w:val="24"/>
          <w:highlight w:val="white"/>
        </w:rPr>
        <w:t xml:space="preserve">Opioids can be addictive and, over time, life-threatening. Of patients prescribed opioids for chronic pain, </w:t>
      </w:r>
      <w:hyperlink r:id="rId11">
        <w:r w:rsidR="007F53ED">
          <w:rPr>
            <w:rFonts w:ascii="Calibri" w:eastAsia="Calibri" w:hAnsi="Calibri" w:cs="Calibri"/>
            <w:color w:val="1155CC"/>
            <w:sz w:val="24"/>
            <w:szCs w:val="24"/>
            <w:highlight w:val="white"/>
            <w:u w:val="single"/>
          </w:rPr>
          <w:t>21% to 29% misuse</w:t>
        </w:r>
      </w:hyperlink>
      <w:r>
        <w:rPr>
          <w:rFonts w:ascii="Calibri" w:eastAsia="Calibri" w:hAnsi="Calibri" w:cs="Calibri"/>
          <w:sz w:val="24"/>
          <w:szCs w:val="24"/>
          <w:highlight w:val="white"/>
        </w:rPr>
        <w:t xml:space="preserve"> them, </w:t>
      </w:r>
      <w:hyperlink r:id="rId12">
        <w:r w:rsidR="007F53ED">
          <w:rPr>
            <w:rFonts w:ascii="Calibri" w:eastAsia="Calibri" w:hAnsi="Calibri" w:cs="Calibri"/>
            <w:color w:val="1155CC"/>
            <w:sz w:val="24"/>
            <w:szCs w:val="24"/>
            <w:highlight w:val="white"/>
            <w:u w:val="single"/>
          </w:rPr>
          <w:t>while about 8% to 12% develop opioid use disorder</w:t>
        </w:r>
      </w:hyperlink>
      <w:r>
        <w:rPr>
          <w:rFonts w:ascii="Calibri" w:eastAsia="Calibri" w:hAnsi="Calibri" w:cs="Calibri"/>
          <w:sz w:val="24"/>
          <w:szCs w:val="24"/>
        </w:rPr>
        <w:t xml:space="preserve">. </w:t>
      </w:r>
    </w:p>
    <w:p w14:paraId="020CF1D8" w14:textId="77777777" w:rsidR="007F53ED" w:rsidRDefault="007F53ED">
      <w:pPr>
        <w:shd w:val="clear" w:color="auto" w:fill="FFFFFF"/>
        <w:spacing w:line="240" w:lineRule="auto"/>
        <w:rPr>
          <w:rFonts w:ascii="Calibri" w:eastAsia="Calibri" w:hAnsi="Calibri" w:cs="Calibri"/>
          <w:sz w:val="24"/>
          <w:szCs w:val="24"/>
        </w:rPr>
      </w:pPr>
    </w:p>
    <w:p w14:paraId="45A68EAF" w14:textId="4510BBB9" w:rsidR="007F53ED" w:rsidRDefault="00EB7C14">
      <w:pPr>
        <w:shd w:val="clear" w:color="auto" w:fill="FFFFFF"/>
        <w:spacing w:line="240" w:lineRule="auto"/>
        <w:rPr>
          <w:rFonts w:ascii="Calibri" w:eastAsia="Calibri" w:hAnsi="Calibri" w:cs="Calibri"/>
          <w:sz w:val="24"/>
          <w:szCs w:val="24"/>
          <w:highlight w:val="white"/>
        </w:rPr>
      </w:pPr>
      <w:r>
        <w:rPr>
          <w:rFonts w:ascii="Calibri" w:eastAsia="Calibri" w:hAnsi="Calibri" w:cs="Calibri"/>
          <w:b/>
          <w:sz w:val="24"/>
          <w:szCs w:val="24"/>
          <w:highlight w:val="white"/>
        </w:rPr>
        <w:t xml:space="preserve">Tonix Pharmaceuticals Holding Corp. </w:t>
      </w:r>
      <w:r>
        <w:rPr>
          <w:rFonts w:ascii="Calibri" w:eastAsia="Calibri" w:hAnsi="Calibri" w:cs="Calibri"/>
          <w:sz w:val="24"/>
          <w:szCs w:val="24"/>
          <w:highlight w:val="white"/>
        </w:rPr>
        <w:t>(NASDAQ: TNXP)</w:t>
      </w:r>
      <w:r>
        <w:rPr>
          <w:rFonts w:ascii="Calibri" w:eastAsia="Calibri" w:hAnsi="Calibri" w:cs="Calibri"/>
          <w:sz w:val="24"/>
          <w:szCs w:val="24"/>
        </w:rPr>
        <w:t xml:space="preserve"> is on a mission to bring a better </w:t>
      </w:r>
      <w:r w:rsidR="00936E13">
        <w:rPr>
          <w:rFonts w:ascii="Calibri" w:eastAsia="Calibri" w:hAnsi="Calibri" w:cs="Calibri"/>
          <w:sz w:val="24"/>
          <w:szCs w:val="24"/>
        </w:rPr>
        <w:t>drug for fibromyalgia</w:t>
      </w:r>
      <w:r>
        <w:rPr>
          <w:rFonts w:ascii="Calibri" w:eastAsia="Calibri" w:hAnsi="Calibri" w:cs="Calibri"/>
          <w:sz w:val="24"/>
          <w:szCs w:val="24"/>
        </w:rPr>
        <w:t xml:space="preserve"> to the market, which is estimated to grow to a value o</w:t>
      </w:r>
      <w:hyperlink r:id="rId13">
        <w:r w:rsidR="007F53ED">
          <w:rPr>
            <w:rFonts w:ascii="Calibri" w:eastAsia="Calibri" w:hAnsi="Calibri" w:cs="Calibri"/>
            <w:color w:val="1155CC"/>
            <w:sz w:val="24"/>
            <w:szCs w:val="24"/>
            <w:u w:val="single"/>
          </w:rPr>
          <w:t>f</w:t>
        </w:r>
      </w:hyperlink>
      <w:r>
        <w:rPr>
          <w:rFonts w:ascii="Calibri" w:eastAsia="Calibri" w:hAnsi="Calibri" w:cs="Calibri"/>
          <w:sz w:val="24"/>
          <w:szCs w:val="24"/>
        </w:rPr>
        <w:t xml:space="preserve"> </w:t>
      </w:r>
      <w:hyperlink r:id="rId14">
        <w:r w:rsidR="007F53ED">
          <w:rPr>
            <w:rFonts w:ascii="Calibri" w:eastAsia="Calibri" w:hAnsi="Calibri" w:cs="Calibri"/>
            <w:color w:val="1155CC"/>
            <w:sz w:val="24"/>
            <w:szCs w:val="24"/>
            <w:u w:val="single"/>
          </w:rPr>
          <w:t>$4.13 billion</w:t>
        </w:r>
      </w:hyperlink>
      <w:r>
        <w:rPr>
          <w:rFonts w:ascii="Calibri" w:eastAsia="Calibri" w:hAnsi="Calibri" w:cs="Calibri"/>
          <w:sz w:val="24"/>
          <w:szCs w:val="24"/>
        </w:rPr>
        <w:t xml:space="preserve"> globally in 2032 from $2.8 billion in 2024. The </w:t>
      </w:r>
      <w:hyperlink r:id="rId15">
        <w:r w:rsidR="007F53ED">
          <w:rPr>
            <w:rFonts w:ascii="Calibri" w:eastAsia="Calibri" w:hAnsi="Calibri" w:cs="Calibri"/>
            <w:color w:val="1155CC"/>
            <w:sz w:val="24"/>
            <w:szCs w:val="24"/>
            <w:highlight w:val="white"/>
            <w:u w:val="single"/>
          </w:rPr>
          <w:t>biopharmaceutical company</w:t>
        </w:r>
      </w:hyperlink>
      <w:r>
        <w:rPr>
          <w:rFonts w:ascii="Calibri" w:eastAsia="Calibri" w:hAnsi="Calibri" w:cs="Calibri"/>
          <w:sz w:val="24"/>
          <w:szCs w:val="24"/>
        </w:rPr>
        <w:t xml:space="preserve"> </w:t>
      </w:r>
      <w:r>
        <w:rPr>
          <w:rFonts w:ascii="Calibri" w:eastAsia="Calibri" w:hAnsi="Calibri" w:cs="Calibri"/>
          <w:sz w:val="24"/>
          <w:szCs w:val="24"/>
          <w:highlight w:val="white"/>
        </w:rPr>
        <w:t xml:space="preserve">submitted a new drug application (NDA) to the U.S. Food and Drug Administration (FDA) in October for TNX-102 SL (cyclobenzaprine HCl sublingual tablets), </w:t>
      </w:r>
      <w:r>
        <w:rPr>
          <w:rFonts w:ascii="Calibri" w:eastAsia="Calibri" w:hAnsi="Calibri" w:cs="Calibri"/>
          <w:sz w:val="24"/>
          <w:szCs w:val="24"/>
        </w:rPr>
        <w:t xml:space="preserve">Tonix’s </w:t>
      </w:r>
      <w:r>
        <w:rPr>
          <w:rFonts w:ascii="Calibri" w:eastAsia="Calibri" w:hAnsi="Calibri" w:cs="Calibri"/>
          <w:sz w:val="24"/>
          <w:szCs w:val="24"/>
          <w:highlight w:val="white"/>
        </w:rPr>
        <w:t>drug candidate for the management of fibromyalgia.</w:t>
      </w:r>
    </w:p>
    <w:p w14:paraId="21BCB7A7" w14:textId="77777777" w:rsidR="007F53ED" w:rsidRDefault="007F53ED">
      <w:pPr>
        <w:shd w:val="clear" w:color="auto" w:fill="FFFFFF"/>
        <w:spacing w:line="240" w:lineRule="auto"/>
        <w:rPr>
          <w:rFonts w:ascii="Calibri" w:eastAsia="Calibri" w:hAnsi="Calibri" w:cs="Calibri"/>
          <w:sz w:val="24"/>
          <w:szCs w:val="24"/>
          <w:highlight w:val="white"/>
        </w:rPr>
      </w:pPr>
    </w:p>
    <w:p w14:paraId="5FDE579C" w14:textId="121F0B7E" w:rsidR="007F53ED" w:rsidRDefault="00EB7C14">
      <w:pPr>
        <w:shd w:val="clear" w:color="auto" w:fill="FFFFFF"/>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lastRenderedPageBreak/>
        <w:t xml:space="preserve">Tonix expects to hear a decision on NDA acceptance by the FDA in mid-December. If the NDA is accepted, Tonix said the FDA could </w:t>
      </w:r>
      <w:r w:rsidR="00165C3C">
        <w:rPr>
          <w:rFonts w:ascii="Calibri" w:eastAsia="Calibri" w:hAnsi="Calibri" w:cs="Calibri"/>
          <w:sz w:val="24"/>
          <w:szCs w:val="24"/>
          <w:highlight w:val="white"/>
        </w:rPr>
        <w:t>commit to a decision on</w:t>
      </w:r>
      <w:r>
        <w:rPr>
          <w:rFonts w:ascii="Calibri" w:eastAsia="Calibri" w:hAnsi="Calibri" w:cs="Calibri"/>
          <w:sz w:val="24"/>
          <w:szCs w:val="24"/>
          <w:highlight w:val="white"/>
        </w:rPr>
        <w:t xml:space="preserve"> approval in 2025, which means </w:t>
      </w:r>
      <w:r>
        <w:rPr>
          <w:rFonts w:ascii="Calibri" w:eastAsia="Calibri" w:hAnsi="Calibri" w:cs="Calibri"/>
          <w:sz w:val="24"/>
          <w:szCs w:val="24"/>
        </w:rPr>
        <w:t>TNX-102 SL</w:t>
      </w:r>
      <w:r>
        <w:rPr>
          <w:rFonts w:ascii="Calibri" w:eastAsia="Calibri" w:hAnsi="Calibri" w:cs="Calibri"/>
          <w:sz w:val="24"/>
          <w:szCs w:val="24"/>
          <w:highlight w:val="white"/>
        </w:rPr>
        <w:t xml:space="preserve"> </w:t>
      </w:r>
      <w:r w:rsidR="00751E33">
        <w:rPr>
          <w:rFonts w:ascii="Calibri" w:eastAsia="Calibri" w:hAnsi="Calibri" w:cs="Calibri"/>
          <w:sz w:val="24"/>
          <w:szCs w:val="24"/>
          <w:highlight w:val="white"/>
        </w:rPr>
        <w:t xml:space="preserve">could </w:t>
      </w:r>
      <w:r>
        <w:rPr>
          <w:rFonts w:ascii="Calibri" w:eastAsia="Calibri" w:hAnsi="Calibri" w:cs="Calibri"/>
          <w:sz w:val="24"/>
          <w:szCs w:val="24"/>
          <w:highlight w:val="white"/>
        </w:rPr>
        <w:t xml:space="preserve">be on the market </w:t>
      </w:r>
      <w:r w:rsidR="00751E33">
        <w:rPr>
          <w:rFonts w:ascii="Calibri" w:eastAsia="Calibri" w:hAnsi="Calibri" w:cs="Calibri"/>
          <w:sz w:val="24"/>
          <w:szCs w:val="24"/>
          <w:highlight w:val="white"/>
        </w:rPr>
        <w:t xml:space="preserve">as early as </w:t>
      </w:r>
      <w:r>
        <w:rPr>
          <w:rFonts w:ascii="Calibri" w:eastAsia="Calibri" w:hAnsi="Calibri" w:cs="Calibri"/>
          <w:sz w:val="24"/>
          <w:szCs w:val="24"/>
          <w:highlight w:val="white"/>
        </w:rPr>
        <w:t>next year</w:t>
      </w:r>
      <w:r w:rsidR="001920AA">
        <w:rPr>
          <w:rFonts w:ascii="Calibri" w:eastAsia="Calibri" w:hAnsi="Calibri" w:cs="Calibri"/>
          <w:sz w:val="24"/>
          <w:szCs w:val="24"/>
          <w:highlight w:val="white"/>
        </w:rPr>
        <w:t>,</w:t>
      </w:r>
      <w:r>
        <w:rPr>
          <w:rFonts w:ascii="Calibri" w:eastAsia="Calibri" w:hAnsi="Calibri" w:cs="Calibri"/>
          <w:sz w:val="24"/>
          <w:szCs w:val="24"/>
          <w:highlight w:val="white"/>
        </w:rPr>
        <w:t xml:space="preserve"> giving fibromyalgia sufferers a much-needed new non-opioid option. As it stands, Tonix </w:t>
      </w:r>
      <w:r w:rsidR="001920AA">
        <w:rPr>
          <w:rFonts w:ascii="Calibri" w:eastAsia="Calibri" w:hAnsi="Calibri" w:cs="Calibri"/>
          <w:sz w:val="24"/>
          <w:szCs w:val="24"/>
          <w:highlight w:val="white"/>
        </w:rPr>
        <w:t xml:space="preserve">believes </w:t>
      </w:r>
      <w:r>
        <w:rPr>
          <w:rFonts w:ascii="Calibri" w:eastAsia="Calibri" w:hAnsi="Calibri" w:cs="Calibri"/>
          <w:sz w:val="24"/>
          <w:szCs w:val="24"/>
          <w:highlight w:val="white"/>
        </w:rPr>
        <w:t>85% of fibromyalgia patients fail their first-line therapy, and 79% are on multiple therapies.</w:t>
      </w:r>
    </w:p>
    <w:p w14:paraId="6FD3E29F" w14:textId="42CBDFDB" w:rsidR="007F53ED" w:rsidRDefault="00EB7C14">
      <w:pPr>
        <w:pStyle w:val="Heading2"/>
        <w:shd w:val="clear" w:color="auto" w:fill="FFFFFF"/>
        <w:spacing w:line="240" w:lineRule="auto"/>
      </w:pPr>
      <w:bookmarkStart w:id="0" w:name="_wwsorcuxu4pu" w:colFirst="0" w:colLast="0"/>
      <w:bookmarkEnd w:id="0"/>
      <w:r>
        <w:t xml:space="preserve">Fast Track Status </w:t>
      </w:r>
    </w:p>
    <w:p w14:paraId="2EA9DDA2" w14:textId="54E12072" w:rsidR="007F53ED" w:rsidRDefault="00EB7C14">
      <w:pPr>
        <w:shd w:val="clear" w:color="auto" w:fill="FFFFFF"/>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 xml:space="preserve">The FDA previously granted </w:t>
      </w:r>
      <w:r>
        <w:rPr>
          <w:rFonts w:ascii="Calibri" w:eastAsia="Calibri" w:hAnsi="Calibri" w:cs="Calibri"/>
          <w:sz w:val="24"/>
          <w:szCs w:val="24"/>
        </w:rPr>
        <w:t>TNX-102 SL</w:t>
      </w:r>
      <w:r>
        <w:rPr>
          <w:rFonts w:ascii="Calibri" w:eastAsia="Calibri" w:hAnsi="Calibri" w:cs="Calibri"/>
          <w:sz w:val="24"/>
          <w:szCs w:val="24"/>
          <w:highlight w:val="white"/>
        </w:rPr>
        <w:t xml:space="preserve"> Fast Track designation which expedites the review of </w:t>
      </w:r>
      <w:r w:rsidR="00EF5D0D">
        <w:rPr>
          <w:rFonts w:ascii="Calibri" w:eastAsia="Calibri" w:hAnsi="Calibri" w:cs="Calibri"/>
          <w:sz w:val="24"/>
          <w:szCs w:val="24"/>
          <w:highlight w:val="white"/>
        </w:rPr>
        <w:t xml:space="preserve">important new drugs </w:t>
      </w:r>
      <w:r>
        <w:rPr>
          <w:rFonts w:ascii="Calibri" w:eastAsia="Calibri" w:hAnsi="Calibri" w:cs="Calibri"/>
          <w:sz w:val="24"/>
          <w:szCs w:val="24"/>
          <w:highlight w:val="white"/>
        </w:rPr>
        <w:t xml:space="preserve">intended to treat </w:t>
      </w:r>
      <w:r w:rsidR="00436D90">
        <w:rPr>
          <w:rFonts w:ascii="Calibri" w:eastAsia="Calibri" w:hAnsi="Calibri" w:cs="Calibri"/>
          <w:sz w:val="24"/>
          <w:szCs w:val="24"/>
          <w:highlight w:val="white"/>
        </w:rPr>
        <w:t>“</w:t>
      </w:r>
      <w:r>
        <w:rPr>
          <w:rFonts w:ascii="Calibri" w:eastAsia="Calibri" w:hAnsi="Calibri" w:cs="Calibri"/>
          <w:sz w:val="24"/>
          <w:szCs w:val="24"/>
          <w:highlight w:val="white"/>
        </w:rPr>
        <w:t>serious conditions</w:t>
      </w:r>
      <w:r w:rsidR="00436D90">
        <w:rPr>
          <w:rFonts w:ascii="Calibri" w:eastAsia="Calibri" w:hAnsi="Calibri" w:cs="Calibri"/>
          <w:sz w:val="24"/>
          <w:szCs w:val="24"/>
          <w:highlight w:val="white"/>
        </w:rPr>
        <w:t>”</w:t>
      </w:r>
      <w:r>
        <w:rPr>
          <w:rFonts w:ascii="Calibri" w:eastAsia="Calibri" w:hAnsi="Calibri" w:cs="Calibri"/>
          <w:sz w:val="24"/>
          <w:szCs w:val="24"/>
          <w:highlight w:val="white"/>
        </w:rPr>
        <w:t xml:space="preserve"> and address unmet medical needs</w:t>
      </w:r>
      <w:r w:rsidR="0030121A">
        <w:rPr>
          <w:rFonts w:ascii="Calibri" w:eastAsia="Calibri" w:hAnsi="Calibri" w:cs="Calibri"/>
          <w:sz w:val="24"/>
          <w:szCs w:val="24"/>
          <w:highlight w:val="white"/>
        </w:rPr>
        <w:t xml:space="preserve">.  Fast </w:t>
      </w:r>
      <w:r w:rsidR="00751E33">
        <w:rPr>
          <w:rFonts w:ascii="Calibri" w:eastAsia="Calibri" w:hAnsi="Calibri" w:cs="Calibri"/>
          <w:sz w:val="24"/>
          <w:szCs w:val="24"/>
          <w:highlight w:val="white"/>
        </w:rPr>
        <w:t>T</w:t>
      </w:r>
      <w:r w:rsidR="0030121A">
        <w:rPr>
          <w:rFonts w:ascii="Calibri" w:eastAsia="Calibri" w:hAnsi="Calibri" w:cs="Calibri"/>
          <w:sz w:val="24"/>
          <w:szCs w:val="24"/>
          <w:highlight w:val="white"/>
        </w:rPr>
        <w:t xml:space="preserve">rack </w:t>
      </w:r>
      <w:r w:rsidR="00751E33">
        <w:rPr>
          <w:rFonts w:ascii="Calibri" w:eastAsia="Calibri" w:hAnsi="Calibri" w:cs="Calibri"/>
          <w:sz w:val="24"/>
          <w:szCs w:val="24"/>
          <w:highlight w:val="white"/>
        </w:rPr>
        <w:t xml:space="preserve">designation has the goal of bringing </w:t>
      </w:r>
      <w:r>
        <w:rPr>
          <w:rFonts w:ascii="Calibri" w:eastAsia="Calibri" w:hAnsi="Calibri" w:cs="Calibri"/>
          <w:sz w:val="24"/>
          <w:szCs w:val="24"/>
          <w:highlight w:val="white"/>
        </w:rPr>
        <w:t xml:space="preserve">new treatments to patients sooner. </w:t>
      </w:r>
      <w:r w:rsidR="00CA33DE">
        <w:rPr>
          <w:rFonts w:ascii="Calibri" w:eastAsia="Calibri" w:hAnsi="Calibri" w:cs="Calibri"/>
          <w:sz w:val="24"/>
          <w:szCs w:val="24"/>
          <w:highlight w:val="white"/>
        </w:rPr>
        <w:t>In granting Fast Track, FDA recognized fibromyalgia as a “serious condition”</w:t>
      </w:r>
      <w:r w:rsidR="00A3260B">
        <w:rPr>
          <w:rFonts w:ascii="Calibri" w:eastAsia="Calibri" w:hAnsi="Calibri" w:cs="Calibri"/>
          <w:sz w:val="24"/>
          <w:szCs w:val="24"/>
          <w:highlight w:val="white"/>
        </w:rPr>
        <w:t>, which shows the recognition that fibromyalgia has achieved</w:t>
      </w:r>
      <w:r w:rsidR="00AD5467">
        <w:rPr>
          <w:rFonts w:ascii="Calibri" w:eastAsia="Calibri" w:hAnsi="Calibri" w:cs="Calibri"/>
          <w:sz w:val="24"/>
          <w:szCs w:val="24"/>
          <w:highlight w:val="white"/>
        </w:rPr>
        <w:t xml:space="preserve"> recently</w:t>
      </w:r>
      <w:r w:rsidR="00A3260B">
        <w:rPr>
          <w:rFonts w:ascii="Calibri" w:eastAsia="Calibri" w:hAnsi="Calibri" w:cs="Calibri"/>
          <w:sz w:val="24"/>
          <w:szCs w:val="24"/>
          <w:highlight w:val="white"/>
        </w:rPr>
        <w:t xml:space="preserve"> after be</w:t>
      </w:r>
      <w:r w:rsidR="00BC5B76">
        <w:rPr>
          <w:rFonts w:ascii="Calibri" w:eastAsia="Calibri" w:hAnsi="Calibri" w:cs="Calibri"/>
          <w:sz w:val="24"/>
          <w:szCs w:val="24"/>
          <w:highlight w:val="white"/>
        </w:rPr>
        <w:t>ing denigrated for so many years</w:t>
      </w:r>
      <w:r w:rsidR="00AD5467">
        <w:rPr>
          <w:rFonts w:ascii="Calibri" w:eastAsia="Calibri" w:hAnsi="Calibri" w:cs="Calibri"/>
          <w:sz w:val="24"/>
          <w:szCs w:val="24"/>
          <w:highlight w:val="white"/>
        </w:rPr>
        <w:t xml:space="preserve"> by </w:t>
      </w:r>
      <w:proofErr w:type="gramStart"/>
      <w:r w:rsidR="00AD5467">
        <w:rPr>
          <w:rFonts w:ascii="Calibri" w:eastAsia="Calibri" w:hAnsi="Calibri" w:cs="Calibri"/>
          <w:sz w:val="24"/>
          <w:szCs w:val="24"/>
          <w:highlight w:val="white"/>
        </w:rPr>
        <w:t>poorly-informed</w:t>
      </w:r>
      <w:proofErr w:type="gramEnd"/>
      <w:r w:rsidR="00AD5467">
        <w:rPr>
          <w:rFonts w:ascii="Calibri" w:eastAsia="Calibri" w:hAnsi="Calibri" w:cs="Calibri"/>
          <w:sz w:val="24"/>
          <w:szCs w:val="24"/>
          <w:highlight w:val="white"/>
        </w:rPr>
        <w:t xml:space="preserve"> health care providers</w:t>
      </w:r>
      <w:r w:rsidR="00911F87">
        <w:rPr>
          <w:rFonts w:ascii="Calibri" w:eastAsia="Calibri" w:hAnsi="Calibri" w:cs="Calibri"/>
          <w:sz w:val="24"/>
          <w:szCs w:val="24"/>
          <w:highlight w:val="white"/>
        </w:rPr>
        <w:t xml:space="preserve">.  Some of these providers distrusted fibromyalgia patients to the extent they </w:t>
      </w:r>
      <w:r w:rsidR="007952BB">
        <w:rPr>
          <w:rFonts w:ascii="Calibri" w:eastAsia="Calibri" w:hAnsi="Calibri" w:cs="Calibri"/>
          <w:sz w:val="24"/>
          <w:szCs w:val="24"/>
          <w:highlight w:val="white"/>
        </w:rPr>
        <w:t>believed fibromyalgia “didn’t exist”</w:t>
      </w:r>
      <w:r w:rsidR="00CA33DE">
        <w:rPr>
          <w:rFonts w:ascii="Calibri" w:eastAsia="Calibri" w:hAnsi="Calibri" w:cs="Calibri"/>
          <w:sz w:val="24"/>
          <w:szCs w:val="24"/>
          <w:highlight w:val="white"/>
        </w:rPr>
        <w:t>.</w:t>
      </w:r>
      <w:r>
        <w:rPr>
          <w:rFonts w:ascii="Calibri" w:eastAsia="Calibri" w:hAnsi="Calibri" w:cs="Calibri"/>
          <w:sz w:val="24"/>
          <w:szCs w:val="24"/>
          <w:highlight w:val="white"/>
        </w:rPr>
        <w:t xml:space="preserve"> </w:t>
      </w:r>
      <w:r w:rsidR="000328B9">
        <w:rPr>
          <w:rFonts w:ascii="Calibri" w:eastAsia="Calibri" w:hAnsi="Calibri" w:cs="Calibri"/>
          <w:sz w:val="24"/>
          <w:szCs w:val="24"/>
          <w:highlight w:val="white"/>
        </w:rPr>
        <w:t xml:space="preserve">  Fortunately, clinical science has progressed and today fibromyalgia is recognized as the p</w:t>
      </w:r>
      <w:r w:rsidR="00D05728">
        <w:rPr>
          <w:rFonts w:ascii="Calibri" w:eastAsia="Calibri" w:hAnsi="Calibri" w:cs="Calibri"/>
          <w:sz w:val="24"/>
          <w:szCs w:val="24"/>
          <w:highlight w:val="white"/>
        </w:rPr>
        <w:t>rototype for a new</w:t>
      </w:r>
      <w:r w:rsidR="00AE6F8A">
        <w:rPr>
          <w:rFonts w:ascii="Calibri" w:eastAsia="Calibri" w:hAnsi="Calibri" w:cs="Calibri"/>
          <w:sz w:val="24"/>
          <w:szCs w:val="24"/>
          <w:highlight w:val="white"/>
        </w:rPr>
        <w:t>ly designated</w:t>
      </w:r>
      <w:r w:rsidR="00D05728">
        <w:rPr>
          <w:rFonts w:ascii="Calibri" w:eastAsia="Calibri" w:hAnsi="Calibri" w:cs="Calibri"/>
          <w:sz w:val="24"/>
          <w:szCs w:val="24"/>
          <w:highlight w:val="white"/>
        </w:rPr>
        <w:t xml:space="preserve"> type of pain, called “nociplastic pain”.</w:t>
      </w:r>
    </w:p>
    <w:p w14:paraId="45A84AAC" w14:textId="77777777" w:rsidR="007F53ED" w:rsidRDefault="007F53ED">
      <w:pPr>
        <w:shd w:val="clear" w:color="auto" w:fill="FFFFFF"/>
        <w:spacing w:line="240" w:lineRule="auto"/>
        <w:rPr>
          <w:rFonts w:ascii="Calibri" w:eastAsia="Calibri" w:hAnsi="Calibri" w:cs="Calibri"/>
          <w:sz w:val="24"/>
          <w:szCs w:val="24"/>
          <w:highlight w:val="white"/>
        </w:rPr>
      </w:pPr>
    </w:p>
    <w:p w14:paraId="64457283" w14:textId="1929EA2B" w:rsidR="007F53ED" w:rsidRDefault="00EB7C14">
      <w:pPr>
        <w:shd w:val="clear" w:color="auto" w:fill="FFFFFF"/>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 xml:space="preserve"> “The </w:t>
      </w:r>
      <w:r w:rsidR="007952BB">
        <w:rPr>
          <w:rFonts w:ascii="Calibri" w:eastAsia="Calibri" w:hAnsi="Calibri" w:cs="Calibri"/>
          <w:sz w:val="24"/>
          <w:szCs w:val="24"/>
          <w:highlight w:val="white"/>
        </w:rPr>
        <w:t xml:space="preserve">Fast Track </w:t>
      </w:r>
      <w:r>
        <w:rPr>
          <w:rFonts w:ascii="Calibri" w:eastAsia="Calibri" w:hAnsi="Calibri" w:cs="Calibri"/>
          <w:sz w:val="24"/>
          <w:szCs w:val="24"/>
          <w:highlight w:val="white"/>
        </w:rPr>
        <w:t xml:space="preserve">designation underscores the importance of addressing the unmet needs of fibromyalgia patients,” said Seth Lederman, M.D., Chief Executive Officer of Tonix Pharmaceuticals. </w:t>
      </w:r>
      <w:r w:rsidR="00770767">
        <w:rPr>
          <w:rFonts w:ascii="Calibri" w:eastAsia="Calibri" w:hAnsi="Calibri" w:cs="Calibri"/>
          <w:sz w:val="24"/>
          <w:szCs w:val="24"/>
          <w:highlight w:val="white"/>
        </w:rPr>
        <w:t xml:space="preserve">Dr. Lederman continued, </w:t>
      </w:r>
      <w:r>
        <w:rPr>
          <w:rFonts w:ascii="Calibri" w:eastAsia="Calibri" w:hAnsi="Calibri" w:cs="Calibri"/>
          <w:sz w:val="24"/>
          <w:szCs w:val="24"/>
          <w:highlight w:val="white"/>
        </w:rPr>
        <w:t>“</w:t>
      </w:r>
      <w:r w:rsidR="00770767">
        <w:rPr>
          <w:rFonts w:ascii="Calibri" w:eastAsia="Calibri" w:hAnsi="Calibri" w:cs="Calibri"/>
          <w:sz w:val="24"/>
          <w:szCs w:val="24"/>
          <w:highlight w:val="white"/>
        </w:rPr>
        <w:t xml:space="preserve">Most fibromyalgia patients report dissatisfaction with current drug treatment options. </w:t>
      </w:r>
      <w:r>
        <w:rPr>
          <w:rFonts w:ascii="Calibri" w:eastAsia="Calibri" w:hAnsi="Calibri" w:cs="Calibri"/>
          <w:sz w:val="24"/>
          <w:szCs w:val="24"/>
          <w:highlight w:val="white"/>
        </w:rPr>
        <w:t xml:space="preserve">If approved by the FDA, we expect </w:t>
      </w:r>
      <w:r>
        <w:rPr>
          <w:rFonts w:ascii="Calibri" w:eastAsia="Calibri" w:hAnsi="Calibri" w:cs="Calibri"/>
          <w:sz w:val="24"/>
          <w:szCs w:val="24"/>
        </w:rPr>
        <w:t xml:space="preserve">TNX-102 SL </w:t>
      </w:r>
      <w:r>
        <w:rPr>
          <w:rFonts w:ascii="Calibri" w:eastAsia="Calibri" w:hAnsi="Calibri" w:cs="Calibri"/>
          <w:sz w:val="24"/>
          <w:szCs w:val="24"/>
          <w:highlight w:val="white"/>
        </w:rPr>
        <w:t xml:space="preserve">to become the first new </w:t>
      </w:r>
      <w:r w:rsidR="005A648C">
        <w:rPr>
          <w:rFonts w:ascii="Calibri" w:eastAsia="Calibri" w:hAnsi="Calibri" w:cs="Calibri"/>
          <w:sz w:val="24"/>
          <w:szCs w:val="24"/>
          <w:highlight w:val="white"/>
        </w:rPr>
        <w:t xml:space="preserve">drug </w:t>
      </w:r>
      <w:r>
        <w:rPr>
          <w:rFonts w:ascii="Calibri" w:eastAsia="Calibri" w:hAnsi="Calibri" w:cs="Calibri"/>
          <w:sz w:val="24"/>
          <w:szCs w:val="24"/>
          <w:highlight w:val="white"/>
        </w:rPr>
        <w:t>for fibromyalgia in over 15 years.”</w:t>
      </w:r>
    </w:p>
    <w:p w14:paraId="5746F71C" w14:textId="07EB2B0A" w:rsidR="007F53ED" w:rsidRDefault="005A648C">
      <w:pPr>
        <w:pStyle w:val="Heading2"/>
        <w:shd w:val="clear" w:color="auto" w:fill="FFFFFF"/>
        <w:spacing w:line="240" w:lineRule="auto"/>
      </w:pPr>
      <w:bookmarkStart w:id="1" w:name="_4be69f7lhisj" w:colFirst="0" w:colLast="0"/>
      <w:bookmarkEnd w:id="1"/>
      <w:r>
        <w:t xml:space="preserve">Targeting Disturbed Sleep to Relieve Pain </w:t>
      </w:r>
    </w:p>
    <w:p w14:paraId="5882E01C" w14:textId="76D05C71" w:rsidR="007F53ED" w:rsidRPr="003D7D0C" w:rsidRDefault="00EB7C14">
      <w:pPr>
        <w:shd w:val="clear" w:color="auto" w:fill="FFFFFF"/>
        <w:spacing w:line="240" w:lineRule="auto"/>
        <w:rPr>
          <w:rFonts w:asciiTheme="majorHAnsi" w:eastAsia="Calibri" w:hAnsiTheme="majorHAnsi" w:cstheme="majorHAnsi"/>
          <w:sz w:val="24"/>
          <w:szCs w:val="24"/>
          <w:highlight w:val="white"/>
        </w:rPr>
      </w:pPr>
      <w:r w:rsidRPr="003D7D0C">
        <w:rPr>
          <w:rFonts w:asciiTheme="majorHAnsi" w:eastAsia="Calibri" w:hAnsiTheme="majorHAnsi" w:cstheme="majorHAnsi"/>
          <w:sz w:val="24"/>
          <w:szCs w:val="24"/>
        </w:rPr>
        <w:t xml:space="preserve">Tonix reports that TNX-102 SL </w:t>
      </w:r>
      <w:r w:rsidRPr="003D7D0C">
        <w:rPr>
          <w:rFonts w:asciiTheme="majorHAnsi" w:eastAsia="Calibri" w:hAnsiTheme="majorHAnsi" w:cstheme="majorHAnsi"/>
          <w:sz w:val="24"/>
          <w:szCs w:val="24"/>
          <w:highlight w:val="white"/>
        </w:rPr>
        <w:t xml:space="preserve">is a sublingual formulation of cyclobenzaprine hydrochloride that dissolves under the tongue and is designed to </w:t>
      </w:r>
      <w:r w:rsidR="00226591" w:rsidRPr="003D7D0C">
        <w:rPr>
          <w:rFonts w:asciiTheme="majorHAnsi" w:eastAsia="Calibri" w:hAnsiTheme="majorHAnsi" w:cstheme="majorHAnsi"/>
          <w:sz w:val="24"/>
          <w:szCs w:val="24"/>
          <w:highlight w:val="white"/>
        </w:rPr>
        <w:t xml:space="preserve">target the sleep problems that </w:t>
      </w:r>
      <w:r w:rsidR="00861327" w:rsidRPr="003D7D0C">
        <w:rPr>
          <w:rFonts w:asciiTheme="majorHAnsi" w:eastAsia="Calibri" w:hAnsiTheme="majorHAnsi" w:cstheme="majorHAnsi"/>
          <w:sz w:val="24"/>
          <w:szCs w:val="24"/>
          <w:highlight w:val="white"/>
        </w:rPr>
        <w:t xml:space="preserve">typify fibromyalgia.  </w:t>
      </w:r>
      <w:r w:rsidR="00E87A3E" w:rsidRPr="003D7D0C">
        <w:rPr>
          <w:rFonts w:asciiTheme="majorHAnsi" w:eastAsia="Calibri" w:hAnsiTheme="majorHAnsi" w:cstheme="majorHAnsi"/>
          <w:sz w:val="24"/>
          <w:szCs w:val="24"/>
          <w:highlight w:val="white"/>
        </w:rPr>
        <w:t>Poor quality s</w:t>
      </w:r>
      <w:r w:rsidRPr="003D7D0C">
        <w:rPr>
          <w:rFonts w:asciiTheme="majorHAnsi" w:eastAsia="Calibri" w:hAnsiTheme="majorHAnsi" w:cstheme="majorHAnsi"/>
          <w:sz w:val="24"/>
          <w:szCs w:val="24"/>
          <w:highlight w:val="white"/>
        </w:rPr>
        <w:t xml:space="preserve">leep can have a </w:t>
      </w:r>
      <w:hyperlink r:id="rId16">
        <w:r w:rsidR="007F53ED" w:rsidRPr="003D7D0C">
          <w:rPr>
            <w:rFonts w:asciiTheme="majorHAnsi" w:eastAsia="Calibri" w:hAnsiTheme="majorHAnsi" w:cstheme="majorHAnsi"/>
            <w:color w:val="1155CC"/>
            <w:sz w:val="24"/>
            <w:szCs w:val="24"/>
            <w:highlight w:val="white"/>
            <w:u w:val="single"/>
          </w:rPr>
          <w:t>big impact on chronic pain</w:t>
        </w:r>
      </w:hyperlink>
      <w:r w:rsidRPr="003D7D0C">
        <w:rPr>
          <w:rFonts w:asciiTheme="majorHAnsi" w:eastAsia="Calibri" w:hAnsiTheme="majorHAnsi" w:cstheme="majorHAnsi"/>
          <w:sz w:val="24"/>
          <w:szCs w:val="24"/>
          <w:highlight w:val="white"/>
        </w:rPr>
        <w:t xml:space="preserve">. Lack of </w:t>
      </w:r>
      <w:r w:rsidR="00BD123D" w:rsidRPr="003D7D0C">
        <w:rPr>
          <w:rFonts w:asciiTheme="majorHAnsi" w:eastAsia="Calibri" w:hAnsiTheme="majorHAnsi" w:cstheme="majorHAnsi"/>
          <w:sz w:val="24"/>
          <w:szCs w:val="24"/>
          <w:highlight w:val="white"/>
        </w:rPr>
        <w:t xml:space="preserve">quality </w:t>
      </w:r>
      <w:r w:rsidRPr="003D7D0C">
        <w:rPr>
          <w:rFonts w:asciiTheme="majorHAnsi" w:eastAsia="Calibri" w:hAnsiTheme="majorHAnsi" w:cstheme="majorHAnsi"/>
          <w:sz w:val="24"/>
          <w:szCs w:val="24"/>
          <w:highlight w:val="white"/>
        </w:rPr>
        <w:t xml:space="preserve">sleep can also </w:t>
      </w:r>
      <w:proofErr w:type="spellStart"/>
      <w:r w:rsidRPr="003D7D0C">
        <w:rPr>
          <w:rFonts w:asciiTheme="majorHAnsi" w:eastAsia="Calibri" w:hAnsiTheme="majorHAnsi" w:cstheme="majorHAnsi"/>
          <w:sz w:val="24"/>
          <w:szCs w:val="24"/>
          <w:highlight w:val="white"/>
        </w:rPr>
        <w:t>hyperexcite</w:t>
      </w:r>
      <w:proofErr w:type="spellEnd"/>
      <w:r w:rsidRPr="003D7D0C">
        <w:rPr>
          <w:rFonts w:asciiTheme="majorHAnsi" w:eastAsia="Calibri" w:hAnsiTheme="majorHAnsi" w:cstheme="majorHAnsi"/>
          <w:sz w:val="24"/>
          <w:szCs w:val="24"/>
          <w:highlight w:val="white"/>
        </w:rPr>
        <w:t xml:space="preserve"> the central nervous system (CNS)</w:t>
      </w:r>
      <w:r w:rsidR="002F0601" w:rsidRPr="003D7D0C">
        <w:rPr>
          <w:rFonts w:asciiTheme="majorHAnsi" w:eastAsia="Calibri" w:hAnsiTheme="majorHAnsi" w:cstheme="majorHAnsi"/>
          <w:sz w:val="24"/>
          <w:szCs w:val="24"/>
          <w:highlight w:val="white"/>
        </w:rPr>
        <w:t>, which can</w:t>
      </w:r>
      <w:r w:rsidRPr="003D7D0C">
        <w:rPr>
          <w:rFonts w:asciiTheme="majorHAnsi" w:eastAsia="Calibri" w:hAnsiTheme="majorHAnsi" w:cstheme="majorHAnsi"/>
          <w:sz w:val="24"/>
          <w:szCs w:val="24"/>
          <w:highlight w:val="white"/>
        </w:rPr>
        <w:t xml:space="preserve"> lowe</w:t>
      </w:r>
      <w:r w:rsidR="002F0601" w:rsidRPr="003D7D0C">
        <w:rPr>
          <w:rFonts w:asciiTheme="majorHAnsi" w:eastAsia="Calibri" w:hAnsiTheme="majorHAnsi" w:cstheme="majorHAnsi"/>
          <w:sz w:val="24"/>
          <w:szCs w:val="24"/>
          <w:highlight w:val="white"/>
        </w:rPr>
        <w:t>r</w:t>
      </w:r>
      <w:r w:rsidRPr="003D7D0C">
        <w:rPr>
          <w:rFonts w:asciiTheme="majorHAnsi" w:eastAsia="Calibri" w:hAnsiTheme="majorHAnsi" w:cstheme="majorHAnsi"/>
          <w:sz w:val="24"/>
          <w:szCs w:val="24"/>
          <w:highlight w:val="white"/>
        </w:rPr>
        <w:t xml:space="preserve"> pain tolerance. </w:t>
      </w:r>
    </w:p>
    <w:p w14:paraId="2FDC8470" w14:textId="77777777" w:rsidR="007F53ED" w:rsidRPr="003D7D0C" w:rsidRDefault="007F53ED">
      <w:pPr>
        <w:shd w:val="clear" w:color="auto" w:fill="FFFFFF"/>
        <w:spacing w:line="240" w:lineRule="auto"/>
        <w:rPr>
          <w:rFonts w:asciiTheme="majorHAnsi" w:eastAsia="Calibri" w:hAnsiTheme="majorHAnsi" w:cstheme="majorHAnsi"/>
          <w:sz w:val="24"/>
          <w:szCs w:val="24"/>
          <w:highlight w:val="white"/>
        </w:rPr>
      </w:pPr>
    </w:p>
    <w:p w14:paraId="0682F24D" w14:textId="5BA69253" w:rsidR="00367B24" w:rsidRPr="003D7D0C" w:rsidRDefault="00BD123D" w:rsidP="00367B24">
      <w:pPr>
        <w:shd w:val="clear" w:color="auto" w:fill="FFFFFF"/>
        <w:spacing w:line="240" w:lineRule="auto"/>
        <w:rPr>
          <w:rFonts w:asciiTheme="majorHAnsi" w:hAnsiTheme="majorHAnsi" w:cstheme="majorHAnsi"/>
          <w:sz w:val="24"/>
          <w:szCs w:val="24"/>
        </w:rPr>
      </w:pPr>
      <w:r w:rsidRPr="003D7D0C">
        <w:rPr>
          <w:rFonts w:asciiTheme="majorHAnsi" w:eastAsia="Calibri" w:hAnsiTheme="majorHAnsi" w:cstheme="majorHAnsi"/>
          <w:sz w:val="24"/>
          <w:szCs w:val="24"/>
          <w:highlight w:val="white"/>
        </w:rPr>
        <w:t xml:space="preserve">With </w:t>
      </w:r>
      <w:r w:rsidRPr="003D7D0C">
        <w:rPr>
          <w:rFonts w:asciiTheme="majorHAnsi" w:eastAsia="Calibri" w:hAnsiTheme="majorHAnsi" w:cstheme="majorHAnsi"/>
          <w:sz w:val="24"/>
          <w:szCs w:val="24"/>
        </w:rPr>
        <w:t>TNX-102 SL</w:t>
      </w:r>
      <w:r w:rsidR="00B54D7C" w:rsidRPr="003D7D0C">
        <w:rPr>
          <w:rFonts w:asciiTheme="majorHAnsi" w:eastAsia="Calibri" w:hAnsiTheme="majorHAnsi" w:cstheme="majorHAnsi"/>
          <w:sz w:val="24"/>
          <w:szCs w:val="24"/>
        </w:rPr>
        <w:t xml:space="preserve"> treatment</w:t>
      </w:r>
      <w:r w:rsidRPr="003D7D0C">
        <w:rPr>
          <w:rFonts w:asciiTheme="majorHAnsi" w:eastAsia="Calibri" w:hAnsiTheme="majorHAnsi" w:cstheme="majorHAnsi"/>
          <w:sz w:val="24"/>
          <w:szCs w:val="24"/>
          <w:highlight w:val="white"/>
        </w:rPr>
        <w:t xml:space="preserve">, patients </w:t>
      </w:r>
      <w:r w:rsidR="003C7C54" w:rsidRPr="003D7D0C">
        <w:rPr>
          <w:rFonts w:asciiTheme="majorHAnsi" w:eastAsia="Calibri" w:hAnsiTheme="majorHAnsi" w:cstheme="majorHAnsi"/>
          <w:sz w:val="24"/>
          <w:szCs w:val="24"/>
          <w:highlight w:val="white"/>
        </w:rPr>
        <w:t xml:space="preserve">in Tonix’s studies experienced </w:t>
      </w:r>
      <w:r w:rsidRPr="003D7D0C">
        <w:rPr>
          <w:rFonts w:asciiTheme="majorHAnsi" w:eastAsia="Calibri" w:hAnsiTheme="majorHAnsi" w:cstheme="majorHAnsi"/>
          <w:sz w:val="24"/>
          <w:szCs w:val="24"/>
          <w:highlight w:val="white"/>
        </w:rPr>
        <w:t xml:space="preserve">less pain, the company says. In </w:t>
      </w:r>
      <w:r w:rsidR="003C7C54" w:rsidRPr="003D7D0C">
        <w:rPr>
          <w:rFonts w:asciiTheme="majorHAnsi" w:eastAsia="Calibri" w:hAnsiTheme="majorHAnsi" w:cstheme="majorHAnsi"/>
          <w:sz w:val="24"/>
          <w:szCs w:val="24"/>
          <w:highlight w:val="white"/>
        </w:rPr>
        <w:t xml:space="preserve">the most </w:t>
      </w:r>
      <w:r w:rsidRPr="003D7D0C">
        <w:rPr>
          <w:rFonts w:asciiTheme="majorHAnsi" w:eastAsia="Calibri" w:hAnsiTheme="majorHAnsi" w:cstheme="majorHAnsi"/>
          <w:sz w:val="24"/>
          <w:szCs w:val="24"/>
          <w:highlight w:val="white"/>
        </w:rPr>
        <w:t>recent phase 3 trial,</w:t>
      </w:r>
      <w:r w:rsidR="000F08CA" w:rsidRPr="003D7D0C">
        <w:rPr>
          <w:rFonts w:asciiTheme="majorHAnsi" w:eastAsia="Calibri" w:hAnsiTheme="majorHAnsi" w:cstheme="majorHAnsi"/>
          <w:sz w:val="24"/>
          <w:szCs w:val="24"/>
          <w:highlight w:val="white"/>
        </w:rPr>
        <w:t xml:space="preserve"> called </w:t>
      </w:r>
      <w:r w:rsidR="00EB7C14" w:rsidRPr="003D7D0C">
        <w:rPr>
          <w:rFonts w:asciiTheme="majorHAnsi" w:eastAsia="Calibri" w:hAnsiTheme="majorHAnsi" w:cstheme="majorHAnsi"/>
          <w:sz w:val="24"/>
          <w:szCs w:val="24"/>
          <w:highlight w:val="white"/>
        </w:rPr>
        <w:t>RESILIENT</w:t>
      </w:r>
      <w:r w:rsidR="000F08CA" w:rsidRPr="003D7D0C">
        <w:rPr>
          <w:rFonts w:asciiTheme="majorHAnsi" w:eastAsia="Calibri" w:hAnsiTheme="majorHAnsi" w:cstheme="majorHAnsi"/>
          <w:sz w:val="24"/>
          <w:szCs w:val="24"/>
          <w:highlight w:val="white"/>
        </w:rPr>
        <w:t>,</w:t>
      </w:r>
      <w:r w:rsidRPr="003D7D0C">
        <w:rPr>
          <w:rFonts w:asciiTheme="majorHAnsi" w:eastAsia="Calibri" w:hAnsiTheme="majorHAnsi" w:cstheme="majorHAnsi"/>
          <w:sz w:val="24"/>
          <w:szCs w:val="24"/>
          <w:highlight w:val="white"/>
        </w:rPr>
        <w:t xml:space="preserve"> </w:t>
      </w:r>
      <w:r w:rsidRPr="003D7D0C">
        <w:rPr>
          <w:rFonts w:asciiTheme="majorHAnsi" w:eastAsia="Calibri" w:hAnsiTheme="majorHAnsi" w:cstheme="majorHAnsi"/>
          <w:sz w:val="24"/>
          <w:szCs w:val="24"/>
        </w:rPr>
        <w:t>TNX-102 SL</w:t>
      </w:r>
      <w:r w:rsidRPr="003D7D0C">
        <w:rPr>
          <w:rFonts w:asciiTheme="majorHAnsi" w:eastAsia="Calibri" w:hAnsiTheme="majorHAnsi" w:cstheme="majorHAnsi"/>
          <w:sz w:val="24"/>
          <w:szCs w:val="24"/>
          <w:highlight w:val="white"/>
        </w:rPr>
        <w:t xml:space="preserve"> showed a statistically significant improvement in fibromyalgia pain with a p-value of 0.00005. Tonix reports that</w:t>
      </w:r>
      <w:r w:rsidR="00520D72" w:rsidRPr="003D7D0C">
        <w:rPr>
          <w:rFonts w:asciiTheme="majorHAnsi" w:eastAsia="Calibri" w:hAnsiTheme="majorHAnsi" w:cstheme="majorHAnsi"/>
          <w:sz w:val="24"/>
          <w:szCs w:val="24"/>
          <w:highlight w:val="white"/>
        </w:rPr>
        <w:t xml:space="preserve"> in the </w:t>
      </w:r>
      <w:r w:rsidR="00EB7C14" w:rsidRPr="003D7D0C">
        <w:rPr>
          <w:rFonts w:asciiTheme="majorHAnsi" w:eastAsia="Calibri" w:hAnsiTheme="majorHAnsi" w:cstheme="majorHAnsi"/>
          <w:sz w:val="24"/>
          <w:szCs w:val="24"/>
          <w:highlight w:val="white"/>
        </w:rPr>
        <w:t xml:space="preserve">RESILIENT </w:t>
      </w:r>
      <w:r w:rsidR="00520D72" w:rsidRPr="003D7D0C">
        <w:rPr>
          <w:rFonts w:asciiTheme="majorHAnsi" w:eastAsia="Calibri" w:hAnsiTheme="majorHAnsi" w:cstheme="majorHAnsi"/>
          <w:sz w:val="24"/>
          <w:szCs w:val="24"/>
          <w:highlight w:val="white"/>
        </w:rPr>
        <w:t>study,</w:t>
      </w:r>
      <w:r w:rsidRPr="003D7D0C">
        <w:rPr>
          <w:rFonts w:asciiTheme="majorHAnsi" w:eastAsia="Calibri" w:hAnsiTheme="majorHAnsi" w:cstheme="majorHAnsi"/>
          <w:sz w:val="24"/>
          <w:szCs w:val="24"/>
          <w:highlight w:val="white"/>
        </w:rPr>
        <w:t xml:space="preserve"> significant results were also seen in improving sleep quality, reducing fatigue and improving overall fibromyalgia symptoms and function.  </w:t>
      </w:r>
      <w:r w:rsidR="005F732D">
        <w:rPr>
          <w:rFonts w:asciiTheme="majorHAnsi" w:hAnsiTheme="majorHAnsi" w:cstheme="majorHAnsi"/>
          <w:sz w:val="24"/>
          <w:szCs w:val="24"/>
        </w:rPr>
        <w:t>TNX-102 SL</w:t>
      </w:r>
      <w:r w:rsidR="005F732D" w:rsidRPr="003D7D0C">
        <w:rPr>
          <w:rFonts w:asciiTheme="majorHAnsi" w:hAnsiTheme="majorHAnsi" w:cstheme="majorHAnsi"/>
          <w:sz w:val="24"/>
          <w:szCs w:val="24"/>
        </w:rPr>
        <w:t xml:space="preserve"> </w:t>
      </w:r>
      <w:r w:rsidR="00EF1CF1" w:rsidRPr="003D7D0C">
        <w:rPr>
          <w:rFonts w:asciiTheme="majorHAnsi" w:hAnsiTheme="majorHAnsi" w:cstheme="majorHAnsi"/>
          <w:sz w:val="24"/>
          <w:szCs w:val="24"/>
        </w:rPr>
        <w:t xml:space="preserve">was </w:t>
      </w:r>
      <w:r w:rsidR="00367B24" w:rsidRPr="003D7D0C">
        <w:rPr>
          <w:rFonts w:asciiTheme="majorHAnsi" w:hAnsiTheme="majorHAnsi" w:cstheme="majorHAnsi"/>
          <w:sz w:val="24"/>
          <w:szCs w:val="24"/>
        </w:rPr>
        <w:t xml:space="preserve">generally </w:t>
      </w:r>
      <w:r w:rsidR="00EF1CF1" w:rsidRPr="003D7D0C">
        <w:rPr>
          <w:rFonts w:asciiTheme="majorHAnsi" w:hAnsiTheme="majorHAnsi" w:cstheme="majorHAnsi"/>
          <w:sz w:val="24"/>
          <w:szCs w:val="24"/>
        </w:rPr>
        <w:t xml:space="preserve">well </w:t>
      </w:r>
      <w:proofErr w:type="gramStart"/>
      <w:r w:rsidR="00EF1CF1" w:rsidRPr="003D7D0C">
        <w:rPr>
          <w:rFonts w:asciiTheme="majorHAnsi" w:hAnsiTheme="majorHAnsi" w:cstheme="majorHAnsi"/>
          <w:sz w:val="24"/>
          <w:szCs w:val="24"/>
        </w:rPr>
        <w:t>tolerated</w:t>
      </w:r>
      <w:proofErr w:type="gramEnd"/>
      <w:r w:rsidR="00EF1CF1" w:rsidRPr="003D7D0C">
        <w:rPr>
          <w:rFonts w:asciiTheme="majorHAnsi" w:hAnsiTheme="majorHAnsi" w:cstheme="majorHAnsi"/>
          <w:sz w:val="24"/>
          <w:szCs w:val="24"/>
        </w:rPr>
        <w:t xml:space="preserve"> and the most common adverse events were transient sensations in the mouth corresponding with the disintegration of the tablets under the tongue.</w:t>
      </w:r>
      <w:bookmarkStart w:id="2" w:name="_2ixplcil87lh" w:colFirst="0" w:colLast="0"/>
      <w:bookmarkEnd w:id="2"/>
    </w:p>
    <w:p w14:paraId="04635DDC" w14:textId="77777777" w:rsidR="006163B3" w:rsidRPr="003D7D0C" w:rsidRDefault="006163B3" w:rsidP="00367B24">
      <w:pPr>
        <w:shd w:val="clear" w:color="auto" w:fill="FFFFFF"/>
        <w:spacing w:line="240" w:lineRule="auto"/>
        <w:rPr>
          <w:rFonts w:asciiTheme="majorHAnsi" w:hAnsiTheme="majorHAnsi" w:cstheme="majorHAnsi"/>
          <w:sz w:val="24"/>
          <w:szCs w:val="24"/>
        </w:rPr>
      </w:pPr>
    </w:p>
    <w:p w14:paraId="388B6A96" w14:textId="7DF04B3A" w:rsidR="007F53ED" w:rsidRPr="0047367B" w:rsidRDefault="00EB7C14" w:rsidP="006163B3">
      <w:pPr>
        <w:shd w:val="clear" w:color="auto" w:fill="FFFFFF"/>
        <w:spacing w:line="240" w:lineRule="auto"/>
        <w:rPr>
          <w:sz w:val="32"/>
          <w:szCs w:val="32"/>
        </w:rPr>
      </w:pPr>
      <w:r w:rsidRPr="0047367B">
        <w:rPr>
          <w:sz w:val="32"/>
          <w:szCs w:val="32"/>
        </w:rPr>
        <w:t>Fibromyalgia</w:t>
      </w:r>
      <w:r w:rsidR="00C26FA9" w:rsidRPr="0047367B">
        <w:rPr>
          <w:sz w:val="32"/>
          <w:szCs w:val="32"/>
        </w:rPr>
        <w:t xml:space="preserve"> is the P</w:t>
      </w:r>
      <w:r w:rsidR="005A226A" w:rsidRPr="0047367B">
        <w:rPr>
          <w:sz w:val="32"/>
          <w:szCs w:val="32"/>
        </w:rPr>
        <w:t>oster Child of Nociplastic Pain</w:t>
      </w:r>
      <w:r w:rsidRPr="0047367B">
        <w:rPr>
          <w:sz w:val="32"/>
          <w:szCs w:val="32"/>
        </w:rPr>
        <w:t xml:space="preserve"> </w:t>
      </w:r>
    </w:p>
    <w:p w14:paraId="5784D1C2" w14:textId="518CF8C4" w:rsidR="007F53ED" w:rsidRDefault="00EB7C14">
      <w:pPr>
        <w:shd w:val="clear" w:color="auto" w:fill="FFFFFF"/>
        <w:spacing w:line="240" w:lineRule="auto"/>
        <w:rPr>
          <w:rFonts w:ascii="Calibri" w:eastAsia="Calibri" w:hAnsi="Calibri" w:cs="Calibri"/>
          <w:sz w:val="24"/>
          <w:szCs w:val="24"/>
        </w:rPr>
      </w:pPr>
      <w:r>
        <w:rPr>
          <w:rFonts w:ascii="Calibri" w:eastAsia="Calibri" w:hAnsi="Calibri" w:cs="Calibri"/>
          <w:sz w:val="24"/>
          <w:szCs w:val="24"/>
          <w:highlight w:val="white"/>
        </w:rPr>
        <w:t xml:space="preserve">If the FDA approves TNX-102 SL for fibromyalgia, it could pave the way for the drug to become </w:t>
      </w:r>
      <w:r w:rsidR="003E60DE">
        <w:rPr>
          <w:rFonts w:ascii="Calibri" w:eastAsia="Calibri" w:hAnsi="Calibri" w:cs="Calibri"/>
          <w:sz w:val="24"/>
          <w:szCs w:val="24"/>
          <w:highlight w:val="white"/>
        </w:rPr>
        <w:t xml:space="preserve">a first line therapy for fibromyalgia. </w:t>
      </w:r>
      <w:r w:rsidR="008C3C27">
        <w:rPr>
          <w:rFonts w:ascii="Calibri" w:eastAsia="Calibri" w:hAnsi="Calibri" w:cs="Calibri"/>
          <w:sz w:val="24"/>
          <w:szCs w:val="24"/>
          <w:highlight w:val="white"/>
        </w:rPr>
        <w:t xml:space="preserve">Fibromyalgia is now recognized as the prototypic </w:t>
      </w:r>
      <w:r>
        <w:rPr>
          <w:rFonts w:ascii="Calibri" w:eastAsia="Calibri" w:hAnsi="Calibri" w:cs="Calibri"/>
          <w:sz w:val="24"/>
          <w:szCs w:val="24"/>
          <w:highlight w:val="white"/>
        </w:rPr>
        <w:t>nociplastic pain</w:t>
      </w:r>
      <w:r w:rsidR="008C3C27">
        <w:rPr>
          <w:rFonts w:ascii="Calibri" w:eastAsia="Calibri" w:hAnsi="Calibri" w:cs="Calibri"/>
          <w:sz w:val="24"/>
          <w:szCs w:val="24"/>
          <w:highlight w:val="white"/>
        </w:rPr>
        <w:t xml:space="preserve"> disorder.  Nocipla</w:t>
      </w:r>
      <w:r w:rsidR="00CB4443">
        <w:rPr>
          <w:rFonts w:ascii="Calibri" w:eastAsia="Calibri" w:hAnsi="Calibri" w:cs="Calibri"/>
          <w:sz w:val="24"/>
          <w:szCs w:val="24"/>
          <w:highlight w:val="white"/>
        </w:rPr>
        <w:t>s</w:t>
      </w:r>
      <w:r w:rsidR="008C3C27">
        <w:rPr>
          <w:rFonts w:ascii="Calibri" w:eastAsia="Calibri" w:hAnsi="Calibri" w:cs="Calibri"/>
          <w:sz w:val="24"/>
          <w:szCs w:val="24"/>
          <w:highlight w:val="white"/>
        </w:rPr>
        <w:t>tic pain</w:t>
      </w:r>
      <w:r>
        <w:rPr>
          <w:rFonts w:ascii="Calibri" w:eastAsia="Calibri" w:hAnsi="Calibri" w:cs="Calibri"/>
          <w:sz w:val="24"/>
          <w:szCs w:val="24"/>
          <w:highlight w:val="white"/>
        </w:rPr>
        <w:t xml:space="preserve">, also known as central </w:t>
      </w:r>
      <w:proofErr w:type="gramStart"/>
      <w:r>
        <w:rPr>
          <w:rFonts w:ascii="Calibri" w:eastAsia="Calibri" w:hAnsi="Calibri" w:cs="Calibri"/>
          <w:sz w:val="24"/>
          <w:szCs w:val="24"/>
          <w:highlight w:val="white"/>
        </w:rPr>
        <w:t>sensitization</w:t>
      </w:r>
      <w:proofErr w:type="gramEnd"/>
      <w:r>
        <w:rPr>
          <w:rFonts w:ascii="Calibri" w:eastAsia="Calibri" w:hAnsi="Calibri" w:cs="Calibri"/>
          <w:sz w:val="24"/>
          <w:szCs w:val="24"/>
          <w:highlight w:val="white"/>
        </w:rPr>
        <w:t xml:space="preserve"> is a type of pain that occurs when the </w:t>
      </w:r>
      <w:r w:rsidR="00CB4443">
        <w:rPr>
          <w:rFonts w:ascii="Calibri" w:eastAsia="Calibri" w:hAnsi="Calibri" w:cs="Calibri"/>
          <w:sz w:val="24"/>
          <w:szCs w:val="24"/>
          <w:highlight w:val="white"/>
        </w:rPr>
        <w:t xml:space="preserve">brain </w:t>
      </w:r>
      <w:r>
        <w:rPr>
          <w:rFonts w:ascii="Calibri" w:eastAsia="Calibri" w:hAnsi="Calibri" w:cs="Calibri"/>
          <w:sz w:val="24"/>
          <w:szCs w:val="24"/>
          <w:highlight w:val="white"/>
        </w:rPr>
        <w:t xml:space="preserve">processes </w:t>
      </w:r>
      <w:r w:rsidR="00AC1996">
        <w:rPr>
          <w:rFonts w:ascii="Calibri" w:eastAsia="Calibri" w:hAnsi="Calibri" w:cs="Calibri"/>
          <w:sz w:val="24"/>
          <w:szCs w:val="24"/>
          <w:highlight w:val="white"/>
        </w:rPr>
        <w:t xml:space="preserve">sensory </w:t>
      </w:r>
      <w:r>
        <w:rPr>
          <w:rFonts w:ascii="Calibri" w:eastAsia="Calibri" w:hAnsi="Calibri" w:cs="Calibri"/>
          <w:sz w:val="24"/>
          <w:szCs w:val="24"/>
          <w:highlight w:val="white"/>
        </w:rPr>
        <w:t>signals in an altered way</w:t>
      </w:r>
      <w:r w:rsidR="00AC1996">
        <w:rPr>
          <w:rFonts w:ascii="Calibri" w:eastAsia="Calibri" w:hAnsi="Calibri" w:cs="Calibri"/>
          <w:sz w:val="24"/>
          <w:szCs w:val="24"/>
          <w:highlight w:val="white"/>
        </w:rPr>
        <w:t>, which amplifies how they are perceived</w:t>
      </w:r>
      <w:r w:rsidR="00CB4443">
        <w:rPr>
          <w:rFonts w:ascii="Calibri" w:eastAsia="Calibri" w:hAnsi="Calibri" w:cs="Calibri"/>
          <w:sz w:val="24"/>
          <w:szCs w:val="24"/>
          <w:highlight w:val="white"/>
        </w:rPr>
        <w:t>.</w:t>
      </w:r>
      <w:r>
        <w:rPr>
          <w:rFonts w:ascii="Calibri" w:eastAsia="Calibri" w:hAnsi="Calibri" w:cs="Calibri"/>
          <w:sz w:val="24"/>
          <w:szCs w:val="24"/>
        </w:rPr>
        <w:t xml:space="preserve"> </w:t>
      </w:r>
      <w:r w:rsidR="00A56AEF">
        <w:rPr>
          <w:rFonts w:ascii="Calibri" w:eastAsia="Calibri" w:hAnsi="Calibri" w:cs="Calibri"/>
          <w:sz w:val="24"/>
          <w:szCs w:val="24"/>
        </w:rPr>
        <w:t xml:space="preserve">This amplification of sensory information is believed to result in </w:t>
      </w:r>
      <w:r w:rsidR="005B4D54">
        <w:rPr>
          <w:rFonts w:ascii="Calibri" w:eastAsia="Calibri" w:hAnsi="Calibri" w:cs="Calibri"/>
          <w:sz w:val="24"/>
          <w:szCs w:val="24"/>
        </w:rPr>
        <w:t>the pain that fibromyalgia patients experience.</w:t>
      </w:r>
    </w:p>
    <w:p w14:paraId="1D6FF471" w14:textId="77777777" w:rsidR="007F53ED" w:rsidRDefault="00EB7C14">
      <w:p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 </w:t>
      </w:r>
    </w:p>
    <w:p w14:paraId="6B015B48" w14:textId="6FF75F39" w:rsidR="007F53ED" w:rsidRDefault="003378A0">
      <w:p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Fibromyalgia sufferers around the world </w:t>
      </w:r>
      <w:proofErr w:type="gramStart"/>
      <w:r>
        <w:rPr>
          <w:rFonts w:ascii="Calibri" w:eastAsia="Calibri" w:hAnsi="Calibri" w:cs="Calibri"/>
          <w:sz w:val="24"/>
          <w:szCs w:val="24"/>
        </w:rPr>
        <w:t>are in need of</w:t>
      </w:r>
      <w:proofErr w:type="gramEnd"/>
      <w:r>
        <w:rPr>
          <w:rFonts w:ascii="Calibri" w:eastAsia="Calibri" w:hAnsi="Calibri" w:cs="Calibri"/>
          <w:sz w:val="24"/>
          <w:szCs w:val="24"/>
        </w:rPr>
        <w:t xml:space="preserve"> relief. </w:t>
      </w:r>
      <w:r w:rsidR="00EB0EF6">
        <w:rPr>
          <w:rFonts w:ascii="Calibri" w:eastAsia="Calibri" w:hAnsi="Calibri" w:cs="Calibri"/>
          <w:sz w:val="24"/>
          <w:szCs w:val="24"/>
        </w:rPr>
        <w:t xml:space="preserve">Tonix is hoping that a new treatment option may soon be available. </w:t>
      </w:r>
      <w:r>
        <w:rPr>
          <w:rFonts w:ascii="Calibri" w:eastAsia="Calibri" w:hAnsi="Calibri" w:cs="Calibri"/>
          <w:sz w:val="24"/>
          <w:szCs w:val="24"/>
        </w:rPr>
        <w:t xml:space="preserve">Tonix Pharmaceuticals awaits </w:t>
      </w:r>
      <w:r w:rsidR="005A226A">
        <w:rPr>
          <w:rFonts w:ascii="Calibri" w:eastAsia="Calibri" w:hAnsi="Calibri" w:cs="Calibri"/>
          <w:sz w:val="24"/>
          <w:szCs w:val="24"/>
        </w:rPr>
        <w:t xml:space="preserve">the FDA decision on </w:t>
      </w:r>
      <w:r>
        <w:rPr>
          <w:rFonts w:ascii="Calibri" w:eastAsia="Calibri" w:hAnsi="Calibri" w:cs="Calibri"/>
          <w:sz w:val="24"/>
          <w:szCs w:val="24"/>
        </w:rPr>
        <w:t xml:space="preserve">NDA </w:t>
      </w:r>
      <w:r w:rsidR="005A226A">
        <w:rPr>
          <w:rFonts w:ascii="Calibri" w:eastAsia="Calibri" w:hAnsi="Calibri" w:cs="Calibri"/>
          <w:sz w:val="24"/>
          <w:szCs w:val="24"/>
        </w:rPr>
        <w:t>acceptance</w:t>
      </w:r>
      <w:r>
        <w:rPr>
          <w:rFonts w:ascii="Calibri" w:eastAsia="Calibri" w:hAnsi="Calibri" w:cs="Calibri"/>
          <w:sz w:val="24"/>
          <w:szCs w:val="24"/>
        </w:rPr>
        <w:t xml:space="preserve"> from the FDA for TNX-102 SL. If </w:t>
      </w:r>
      <w:r w:rsidR="005A226A">
        <w:rPr>
          <w:rFonts w:ascii="Calibri" w:eastAsia="Calibri" w:hAnsi="Calibri" w:cs="Calibri"/>
          <w:sz w:val="24"/>
          <w:szCs w:val="24"/>
        </w:rPr>
        <w:t xml:space="preserve">FDA accepts the NDA </w:t>
      </w:r>
      <w:r>
        <w:rPr>
          <w:rFonts w:ascii="Calibri" w:eastAsia="Calibri" w:hAnsi="Calibri" w:cs="Calibri"/>
          <w:sz w:val="24"/>
          <w:szCs w:val="24"/>
        </w:rPr>
        <w:t xml:space="preserve">in mid-December, </w:t>
      </w:r>
      <w:r w:rsidR="005A226A">
        <w:rPr>
          <w:rFonts w:ascii="Calibri" w:eastAsia="Calibri" w:hAnsi="Calibri" w:cs="Calibri"/>
          <w:sz w:val="24"/>
          <w:szCs w:val="24"/>
        </w:rPr>
        <w:t xml:space="preserve">that </w:t>
      </w:r>
      <w:proofErr w:type="gramStart"/>
      <w:r w:rsidR="005A226A">
        <w:rPr>
          <w:rFonts w:ascii="Calibri" w:eastAsia="Calibri" w:hAnsi="Calibri" w:cs="Calibri"/>
          <w:sz w:val="24"/>
          <w:szCs w:val="24"/>
        </w:rPr>
        <w:t>would</w:t>
      </w:r>
      <w:proofErr w:type="gramEnd"/>
      <w:r w:rsidR="005A226A">
        <w:rPr>
          <w:rFonts w:ascii="Calibri" w:eastAsia="Calibri" w:hAnsi="Calibri" w:cs="Calibri"/>
          <w:sz w:val="24"/>
          <w:szCs w:val="24"/>
        </w:rPr>
        <w:t xml:space="preserve"> </w:t>
      </w:r>
      <w:r>
        <w:rPr>
          <w:rFonts w:ascii="Calibri" w:eastAsia="Calibri" w:hAnsi="Calibri" w:cs="Calibri"/>
          <w:sz w:val="24"/>
          <w:szCs w:val="24"/>
        </w:rPr>
        <w:t xml:space="preserve">put the drug on track </w:t>
      </w:r>
      <w:r w:rsidR="00CF657E">
        <w:rPr>
          <w:rFonts w:ascii="Calibri" w:eastAsia="Calibri" w:hAnsi="Calibri" w:cs="Calibri"/>
          <w:sz w:val="24"/>
          <w:szCs w:val="24"/>
        </w:rPr>
        <w:t xml:space="preserve">for an FDA decision on approval in mid-August 2025 for standard review.  </w:t>
      </w:r>
      <w:r>
        <w:rPr>
          <w:rFonts w:ascii="Calibri" w:eastAsia="Calibri" w:hAnsi="Calibri" w:cs="Calibri"/>
          <w:sz w:val="24"/>
          <w:szCs w:val="24"/>
        </w:rPr>
        <w:t xml:space="preserve">With millions suffering from </w:t>
      </w:r>
      <w:r w:rsidR="00D67DDD">
        <w:rPr>
          <w:rFonts w:ascii="Calibri" w:eastAsia="Calibri" w:hAnsi="Calibri" w:cs="Calibri"/>
          <w:sz w:val="24"/>
          <w:szCs w:val="24"/>
        </w:rPr>
        <w:t xml:space="preserve">the </w:t>
      </w:r>
      <w:r>
        <w:rPr>
          <w:rFonts w:ascii="Calibri" w:eastAsia="Calibri" w:hAnsi="Calibri" w:cs="Calibri"/>
          <w:sz w:val="24"/>
          <w:szCs w:val="24"/>
        </w:rPr>
        <w:t>chronic pain</w:t>
      </w:r>
      <w:r w:rsidR="00D67DDD">
        <w:rPr>
          <w:rFonts w:ascii="Calibri" w:eastAsia="Calibri" w:hAnsi="Calibri" w:cs="Calibri"/>
          <w:sz w:val="24"/>
          <w:szCs w:val="24"/>
        </w:rPr>
        <w:t xml:space="preserve"> of fibromyalgia</w:t>
      </w:r>
      <w:r>
        <w:rPr>
          <w:rFonts w:ascii="Calibri" w:eastAsia="Calibri" w:hAnsi="Calibri" w:cs="Calibri"/>
          <w:sz w:val="24"/>
          <w:szCs w:val="24"/>
        </w:rPr>
        <w:t xml:space="preserve">, this </w:t>
      </w:r>
      <w:r w:rsidR="00CF657E">
        <w:rPr>
          <w:rFonts w:ascii="Calibri" w:eastAsia="Calibri" w:hAnsi="Calibri" w:cs="Calibri"/>
          <w:sz w:val="24"/>
          <w:szCs w:val="24"/>
        </w:rPr>
        <w:t xml:space="preserve">could lead to </w:t>
      </w:r>
      <w:r>
        <w:rPr>
          <w:rFonts w:ascii="Calibri" w:eastAsia="Calibri" w:hAnsi="Calibri" w:cs="Calibri"/>
          <w:sz w:val="24"/>
          <w:szCs w:val="24"/>
        </w:rPr>
        <w:t>potential growth for Tonix.</w:t>
      </w:r>
    </w:p>
    <w:p w14:paraId="195C6559" w14:textId="77777777" w:rsidR="00F24C38" w:rsidRDefault="00F24C38">
      <w:pPr>
        <w:shd w:val="clear" w:color="auto" w:fill="FFFFFF"/>
        <w:spacing w:line="360" w:lineRule="auto"/>
        <w:rPr>
          <w:rFonts w:ascii="Calibri" w:eastAsia="Calibri" w:hAnsi="Calibri" w:cs="Calibri"/>
          <w:sz w:val="24"/>
          <w:szCs w:val="24"/>
        </w:rPr>
      </w:pPr>
    </w:p>
    <w:p w14:paraId="0BB08DBF" w14:textId="4585B542" w:rsidR="00F24C38" w:rsidRDefault="00F24C38" w:rsidP="00F24C38">
      <w:pPr>
        <w:rPr>
          <w:rFonts w:ascii="Calibri" w:eastAsia="Calibri" w:hAnsi="Calibri" w:cs="Calibri"/>
        </w:rPr>
      </w:pPr>
      <w:hyperlink r:id="rId17" w:history="1">
        <w:r w:rsidRPr="00F24C38">
          <w:rPr>
            <w:rStyle w:val="Hyperlink"/>
            <w:rFonts w:ascii="Calibri" w:eastAsia="Calibri" w:hAnsi="Calibri" w:cs="Calibri"/>
          </w:rPr>
          <w:t>Click here</w:t>
        </w:r>
      </w:hyperlink>
      <w:r>
        <w:rPr>
          <w:rFonts w:ascii="Calibri" w:eastAsia="Calibri" w:hAnsi="Calibri" w:cs="Calibri"/>
        </w:rPr>
        <w:t xml:space="preserve"> for more information on Tonix Pharmaceuticals: </w:t>
      </w:r>
    </w:p>
    <w:p w14:paraId="53F1F082" w14:textId="77777777" w:rsidR="00F24C38" w:rsidRDefault="00F24C38" w:rsidP="00F24C38">
      <w:pPr>
        <w:rPr>
          <w:rFonts w:ascii="Calibri" w:eastAsia="Calibri" w:hAnsi="Calibri" w:cs="Calibri"/>
        </w:rPr>
      </w:pPr>
    </w:p>
    <w:p w14:paraId="5ED02BA8" w14:textId="0F3A8AF7" w:rsidR="007F53ED" w:rsidRDefault="00EB7C14" w:rsidP="00F24C38">
      <w:pPr>
        <w:rPr>
          <w:rFonts w:ascii="Calibri" w:eastAsia="Calibri" w:hAnsi="Calibri" w:cs="Calibri"/>
          <w:sz w:val="24"/>
          <w:szCs w:val="24"/>
        </w:rPr>
      </w:pPr>
      <w:r>
        <w:rPr>
          <w:rFonts w:ascii="Calibri" w:eastAsia="Calibri" w:hAnsi="Calibri" w:cs="Calibri"/>
          <w:sz w:val="24"/>
          <w:szCs w:val="24"/>
        </w:rPr>
        <w:t xml:space="preserve">Featured photo by </w:t>
      </w:r>
      <w:r w:rsidR="00F24C38">
        <w:rPr>
          <w:rFonts w:ascii="Calibri" w:eastAsia="Calibri" w:hAnsi="Calibri" w:cs="Calibri"/>
          <w:sz w:val="24"/>
          <w:szCs w:val="24"/>
        </w:rPr>
        <w:t>Tonix Pharmaceuticals</w:t>
      </w:r>
    </w:p>
    <w:p w14:paraId="3DB099BA" w14:textId="77777777" w:rsidR="00F24C38" w:rsidRDefault="00F24C38" w:rsidP="00F24C38">
      <w:pPr>
        <w:rPr>
          <w:rFonts w:ascii="Calibri" w:eastAsia="Calibri" w:hAnsi="Calibri" w:cs="Calibri"/>
          <w:sz w:val="24"/>
          <w:szCs w:val="24"/>
          <w:highlight w:val="white"/>
        </w:rPr>
      </w:pPr>
    </w:p>
    <w:p w14:paraId="72EFE184" w14:textId="3B063F20" w:rsidR="00D67C7E" w:rsidRDefault="00EB7C14" w:rsidP="00F24C38">
      <w:pPr>
        <w:spacing w:after="240"/>
        <w:rPr>
          <w:rFonts w:ascii="Calibri" w:eastAsia="Calibri" w:hAnsi="Calibri" w:cs="Calibri"/>
        </w:rPr>
      </w:pPr>
      <w:r>
        <w:rPr>
          <w:rFonts w:ascii="Calibri" w:eastAsia="Calibri" w:hAnsi="Calibri" w:cs="Calibri"/>
          <w:i/>
          <w:sz w:val="24"/>
          <w:szCs w:val="24"/>
        </w:rPr>
        <w:t>This post contains sponsored content. This content is for informational purposes only and not intended to be investing advice.</w:t>
      </w:r>
    </w:p>
    <w:sectPr w:rsidR="00D67C7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53ED"/>
    <w:rsid w:val="000328B9"/>
    <w:rsid w:val="00096F07"/>
    <w:rsid w:val="000D10B8"/>
    <w:rsid w:val="000F08CA"/>
    <w:rsid w:val="000F3ED6"/>
    <w:rsid w:val="00136D1A"/>
    <w:rsid w:val="00165C3C"/>
    <w:rsid w:val="001920AA"/>
    <w:rsid w:val="00226591"/>
    <w:rsid w:val="002A0202"/>
    <w:rsid w:val="002F0601"/>
    <w:rsid w:val="0030121A"/>
    <w:rsid w:val="00326513"/>
    <w:rsid w:val="003378A0"/>
    <w:rsid w:val="00367B24"/>
    <w:rsid w:val="003749E1"/>
    <w:rsid w:val="00377038"/>
    <w:rsid w:val="00377899"/>
    <w:rsid w:val="003B0FEA"/>
    <w:rsid w:val="003C1052"/>
    <w:rsid w:val="003C7C54"/>
    <w:rsid w:val="003D7D0C"/>
    <w:rsid w:val="003E60DE"/>
    <w:rsid w:val="00436D90"/>
    <w:rsid w:val="00440756"/>
    <w:rsid w:val="0047367B"/>
    <w:rsid w:val="00481696"/>
    <w:rsid w:val="00482661"/>
    <w:rsid w:val="00520D72"/>
    <w:rsid w:val="00522A9D"/>
    <w:rsid w:val="005A226A"/>
    <w:rsid w:val="005A5DAE"/>
    <w:rsid w:val="005A648C"/>
    <w:rsid w:val="005B4D54"/>
    <w:rsid w:val="005B5D60"/>
    <w:rsid w:val="005F4D9A"/>
    <w:rsid w:val="005F732D"/>
    <w:rsid w:val="006163B3"/>
    <w:rsid w:val="00667DC9"/>
    <w:rsid w:val="00747CB8"/>
    <w:rsid w:val="00751E33"/>
    <w:rsid w:val="00770767"/>
    <w:rsid w:val="007952BB"/>
    <w:rsid w:val="007B7845"/>
    <w:rsid w:val="007F53ED"/>
    <w:rsid w:val="00861327"/>
    <w:rsid w:val="008B25D0"/>
    <w:rsid w:val="008C3C27"/>
    <w:rsid w:val="00901CA1"/>
    <w:rsid w:val="00911F87"/>
    <w:rsid w:val="009303DB"/>
    <w:rsid w:val="00936E13"/>
    <w:rsid w:val="00954AD6"/>
    <w:rsid w:val="0096211F"/>
    <w:rsid w:val="009643F4"/>
    <w:rsid w:val="00967726"/>
    <w:rsid w:val="00A3260B"/>
    <w:rsid w:val="00A531A8"/>
    <w:rsid w:val="00A56AEF"/>
    <w:rsid w:val="00AC1996"/>
    <w:rsid w:val="00AD5467"/>
    <w:rsid w:val="00AE6F8A"/>
    <w:rsid w:val="00B54D7C"/>
    <w:rsid w:val="00B56D35"/>
    <w:rsid w:val="00BA5B41"/>
    <w:rsid w:val="00BC5B76"/>
    <w:rsid w:val="00BD123D"/>
    <w:rsid w:val="00BE4592"/>
    <w:rsid w:val="00C0211B"/>
    <w:rsid w:val="00C13F73"/>
    <w:rsid w:val="00C26FA9"/>
    <w:rsid w:val="00C536E2"/>
    <w:rsid w:val="00CA33DE"/>
    <w:rsid w:val="00CB4443"/>
    <w:rsid w:val="00CF4D3F"/>
    <w:rsid w:val="00CF657E"/>
    <w:rsid w:val="00D05728"/>
    <w:rsid w:val="00D3749C"/>
    <w:rsid w:val="00D506E0"/>
    <w:rsid w:val="00D5127C"/>
    <w:rsid w:val="00D67C7E"/>
    <w:rsid w:val="00D67DDD"/>
    <w:rsid w:val="00E47B21"/>
    <w:rsid w:val="00E67095"/>
    <w:rsid w:val="00E87A3E"/>
    <w:rsid w:val="00E9429B"/>
    <w:rsid w:val="00EB0EF6"/>
    <w:rsid w:val="00EB7C14"/>
    <w:rsid w:val="00EF1CF1"/>
    <w:rsid w:val="00EF5D0D"/>
    <w:rsid w:val="00F24C38"/>
    <w:rsid w:val="00F3027F"/>
    <w:rsid w:val="00F60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A6360"/>
  <w15:docId w15:val="{824372FB-394A-426E-9C73-E5BFD4F20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5A5DAE"/>
    <w:pPr>
      <w:spacing w:line="240" w:lineRule="auto"/>
    </w:pPr>
  </w:style>
  <w:style w:type="character" w:styleId="CommentReference">
    <w:name w:val="annotation reference"/>
    <w:basedOn w:val="DefaultParagraphFont"/>
    <w:uiPriority w:val="99"/>
    <w:semiHidden/>
    <w:unhideWhenUsed/>
    <w:rsid w:val="00EB7C14"/>
    <w:rPr>
      <w:sz w:val="16"/>
      <w:szCs w:val="16"/>
    </w:rPr>
  </w:style>
  <w:style w:type="paragraph" w:styleId="CommentText">
    <w:name w:val="annotation text"/>
    <w:basedOn w:val="Normal"/>
    <w:link w:val="CommentTextChar"/>
    <w:uiPriority w:val="99"/>
    <w:unhideWhenUsed/>
    <w:rsid w:val="00EB7C14"/>
    <w:pPr>
      <w:spacing w:line="240" w:lineRule="auto"/>
    </w:pPr>
    <w:rPr>
      <w:sz w:val="20"/>
      <w:szCs w:val="20"/>
    </w:rPr>
  </w:style>
  <w:style w:type="character" w:customStyle="1" w:styleId="CommentTextChar">
    <w:name w:val="Comment Text Char"/>
    <w:basedOn w:val="DefaultParagraphFont"/>
    <w:link w:val="CommentText"/>
    <w:uiPriority w:val="99"/>
    <w:rsid w:val="00EB7C14"/>
    <w:rPr>
      <w:sz w:val="20"/>
      <w:szCs w:val="20"/>
    </w:rPr>
  </w:style>
  <w:style w:type="paragraph" w:styleId="CommentSubject">
    <w:name w:val="annotation subject"/>
    <w:basedOn w:val="CommentText"/>
    <w:next w:val="CommentText"/>
    <w:link w:val="CommentSubjectChar"/>
    <w:uiPriority w:val="99"/>
    <w:semiHidden/>
    <w:unhideWhenUsed/>
    <w:rsid w:val="00EB7C14"/>
    <w:rPr>
      <w:b/>
      <w:bCs/>
    </w:rPr>
  </w:style>
  <w:style w:type="character" w:customStyle="1" w:styleId="CommentSubjectChar">
    <w:name w:val="Comment Subject Char"/>
    <w:basedOn w:val="CommentTextChar"/>
    <w:link w:val="CommentSubject"/>
    <w:uiPriority w:val="99"/>
    <w:semiHidden/>
    <w:rsid w:val="00EB7C14"/>
    <w:rPr>
      <w:b/>
      <w:bCs/>
      <w:sz w:val="20"/>
      <w:szCs w:val="20"/>
    </w:rPr>
  </w:style>
  <w:style w:type="character" w:styleId="Hyperlink">
    <w:name w:val="Hyperlink"/>
    <w:basedOn w:val="DefaultParagraphFont"/>
    <w:uiPriority w:val="99"/>
    <w:unhideWhenUsed/>
    <w:rsid w:val="00F24C38"/>
    <w:rPr>
      <w:color w:val="0000FF" w:themeColor="hyperlink"/>
      <w:u w:val="single"/>
    </w:rPr>
  </w:style>
  <w:style w:type="character" w:styleId="UnresolvedMention">
    <w:name w:val="Unresolved Mention"/>
    <w:basedOn w:val="DefaultParagraphFont"/>
    <w:uiPriority w:val="99"/>
    <w:semiHidden/>
    <w:unhideWhenUsed/>
    <w:rsid w:val="00F24C38"/>
    <w:rPr>
      <w:color w:val="605E5C"/>
      <w:shd w:val="clear" w:color="auto" w:fill="E1DFDD"/>
    </w:rPr>
  </w:style>
  <w:style w:type="character" w:styleId="FollowedHyperlink">
    <w:name w:val="FollowedHyperlink"/>
    <w:basedOn w:val="DefaultParagraphFont"/>
    <w:uiPriority w:val="99"/>
    <w:semiHidden/>
    <w:unhideWhenUsed/>
    <w:rsid w:val="00A531A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122747">
      <w:bodyDiv w:val="1"/>
      <w:marLeft w:val="0"/>
      <w:marRight w:val="0"/>
      <w:marTop w:val="0"/>
      <w:marBottom w:val="0"/>
      <w:divBdr>
        <w:top w:val="none" w:sz="0" w:space="0" w:color="auto"/>
        <w:left w:val="none" w:sz="0" w:space="0" w:color="auto"/>
        <w:bottom w:val="none" w:sz="0" w:space="0" w:color="auto"/>
        <w:right w:val="none" w:sz="0" w:space="0" w:color="auto"/>
      </w:divBdr>
    </w:div>
    <w:div w:id="343632671">
      <w:bodyDiv w:val="1"/>
      <w:marLeft w:val="0"/>
      <w:marRight w:val="0"/>
      <w:marTop w:val="0"/>
      <w:marBottom w:val="0"/>
      <w:divBdr>
        <w:top w:val="none" w:sz="0" w:space="0" w:color="auto"/>
        <w:left w:val="none" w:sz="0" w:space="0" w:color="auto"/>
        <w:bottom w:val="none" w:sz="0" w:space="0" w:color="auto"/>
        <w:right w:val="none" w:sz="0" w:space="0" w:color="auto"/>
      </w:divBdr>
    </w:div>
    <w:div w:id="778836488">
      <w:bodyDiv w:val="1"/>
      <w:marLeft w:val="0"/>
      <w:marRight w:val="0"/>
      <w:marTop w:val="0"/>
      <w:marBottom w:val="0"/>
      <w:divBdr>
        <w:top w:val="none" w:sz="0" w:space="0" w:color="auto"/>
        <w:left w:val="none" w:sz="0" w:space="0" w:color="auto"/>
        <w:bottom w:val="none" w:sz="0" w:space="0" w:color="auto"/>
        <w:right w:val="none" w:sz="0" w:space="0" w:color="auto"/>
      </w:divBdr>
    </w:div>
    <w:div w:id="11995906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fmaware.org/fibromyalgia-prevalence/" TargetMode="External"/><Relationship Id="rId13" Type="http://schemas.openxmlformats.org/officeDocument/2006/relationships/hyperlink" Target="https://finance.yahoo.com/news/fibromyalgia-treatment-market-size-worth-151000162.html?guccounter=1&amp;guce_referrer=aHR0cHM6Ly93d3cuZ29vZ2xlLmNvbS8&amp;guce_referrer_sig=AQAAACDs0J2_F23ue_oW7QsSM809V9Mp8uOEhIEEzL6GrVJBlBpfQyjVA6sETw79aSpEfupzMBgew41er9SM1ASK6EjpaNodxbzTnlrmmUT9pOt3Qed9AYXuNmTzKQ9Eo2UMeE6YpW9gnmC7qIe8UT_oppqNFy03gOI4ynIzgQiRFlH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redingtonvirtual.com/wp-content/uploads/2024/12/TNXP-102SL-update-2411.mp4" TargetMode="External"/><Relationship Id="rId12" Type="http://schemas.openxmlformats.org/officeDocument/2006/relationships/hyperlink" Target="https://journals.lww.com/pain/abstract/2015/04000/rates_of_opioid_misuse,_abuse,_and_addiction_in.3.aspx" TargetMode="External"/><Relationship Id="rId17" Type="http://schemas.openxmlformats.org/officeDocument/2006/relationships/hyperlink" Target="https://redingtonvirtual.com/tnxp-aw-2412/" TargetMode="External"/><Relationship Id="rId2" Type="http://schemas.openxmlformats.org/officeDocument/2006/relationships/styles" Target="styles.xml"/><Relationship Id="rId16" Type="http://schemas.openxmlformats.org/officeDocument/2006/relationships/hyperlink" Target="https://news.harvard.edu/gazette/story/2023/11/researchers-find-link-between-poor-sleep-and-chronic-pain/" TargetMode="External"/><Relationship Id="rId1" Type="http://schemas.openxmlformats.org/officeDocument/2006/relationships/customXml" Target="../customXml/item1.xml"/><Relationship Id="rId6" Type="http://schemas.openxmlformats.org/officeDocument/2006/relationships/oleObject" Target="embeddings/oleObject1.bin"/><Relationship Id="rId11" Type="http://schemas.openxmlformats.org/officeDocument/2006/relationships/hyperlink" Target="https://journals.lww.com/pain/abstract/2015/04000/rates_of_opioid_misuse,_abuse,_and_addiction_in.3.aspx" TargetMode="External"/><Relationship Id="rId5" Type="http://schemas.openxmlformats.org/officeDocument/2006/relationships/image" Target="media/image1.emf"/><Relationship Id="rId15" Type="http://schemas.openxmlformats.org/officeDocument/2006/relationships/hyperlink" Target="https://www.tonixpharma.com/" TargetMode="External"/><Relationship Id="rId10" Type="http://schemas.openxmlformats.org/officeDocument/2006/relationships/hyperlink" Target="https://www.mayoclinicproceedings.org/article/S0025-6196(16)00102-6/fulltext"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mayoclinicproceedings.org/article/S0025-6196(16)00102-6/fulltext" TargetMode="External"/><Relationship Id="rId14" Type="http://schemas.openxmlformats.org/officeDocument/2006/relationships/hyperlink" Target="https://finance.yahoo.com/news/fibromyalgia-treatment-market-size-worth-151000162.html?guccounter=1&amp;guce_referrer=aHR0cHM6Ly93d3cuZ29vZ2xlLmNvbS8&amp;guce_referrer_sig=AQAAACDs0J2_F23ue_oW7QsSM809V9Mp8uOEhIEEzL6GrVJBlBpfQyjVA6sETw79aSpEfupzMBgew41er9SM1ASK6EjpaNodxbzTnlrmmUT9pOt3Qed9AYXuNmTzKQ9Eo2UMeE6YpW9gnmC7qIe8UT_oppqNFy03gOI4ynIzgQiRFlH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
</file>

<file path=customXml/itemProps1.xml><?xml version="1.0" encoding="utf-8"?>
<ds:datastoreItem xmlns:ds="http://schemas.openxmlformats.org/officeDocument/2006/customXml" ds:itemID="{4B494519-E2B7-4D77-B341-7F6BE9A6D3DE}">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3</Pages>
  <Words>1096</Words>
  <Characters>6250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Redington</dc:creator>
  <cp:lastModifiedBy>Deirdre Abbotts</cp:lastModifiedBy>
  <cp:revision>5</cp:revision>
  <cp:lastPrinted>2024-12-01T15:47:00Z</cp:lastPrinted>
  <dcterms:created xsi:type="dcterms:W3CDTF">2024-12-08T19:10:00Z</dcterms:created>
  <dcterms:modified xsi:type="dcterms:W3CDTF">2024-12-08T20:02:00Z</dcterms:modified>
</cp:coreProperties>
</file>