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A07AE5" w14:textId="10522B2C" w:rsidR="00BA479D" w:rsidRDefault="00BA479D">
      <w:pPr>
        <w:rPr>
          <w:rFonts w:ascii="Arial" w:hAnsi="Arial" w:cs="Arial" w:hint="eastAsia"/>
          <w:sz w:val="24"/>
          <w:szCs w:val="24"/>
        </w:rPr>
      </w:pPr>
      <w:r>
        <w:rPr>
          <w:rFonts w:ascii="Arial" w:hAnsi="Arial" w:cs="Arial" w:hint="eastAsia"/>
          <w:sz w:val="24"/>
          <w:szCs w:val="24"/>
        </w:rPr>
        <w:t>Sept. 26</w:t>
      </w:r>
      <w:r w:rsidRPr="00BA479D">
        <w:rPr>
          <w:rFonts w:ascii="Arial" w:hAnsi="Arial" w:cs="Arial" w:hint="eastAsia"/>
          <w:sz w:val="24"/>
          <w:szCs w:val="24"/>
          <w:vertAlign w:val="superscript"/>
        </w:rPr>
        <w:t>th</w:t>
      </w:r>
      <w:r>
        <w:rPr>
          <w:rFonts w:ascii="Arial" w:hAnsi="Arial" w:cs="Arial" w:hint="eastAsia"/>
          <w:sz w:val="24"/>
          <w:szCs w:val="24"/>
        </w:rPr>
        <w:t>, 2004</w:t>
      </w:r>
    </w:p>
    <w:p w14:paraId="4CFBDA45" w14:textId="36E4DD6F" w:rsidR="00BA479D" w:rsidRPr="00262267" w:rsidRDefault="00262267">
      <w:pPr>
        <w:rPr>
          <w:rFonts w:ascii="Arial" w:hAnsi="Arial" w:cs="Arial" w:hint="eastAsia"/>
          <w:b/>
          <w:bCs/>
          <w:sz w:val="28"/>
          <w:szCs w:val="28"/>
        </w:rPr>
      </w:pPr>
      <w:r w:rsidRPr="00262267">
        <w:rPr>
          <w:rFonts w:ascii="Arial" w:hAnsi="Arial" w:cs="Arial" w:hint="eastAsia"/>
          <w:b/>
          <w:bCs/>
          <w:sz w:val="28"/>
          <w:szCs w:val="28"/>
        </w:rPr>
        <w:t>Ground Breakings of New Water</w:t>
      </w:r>
      <w:r w:rsidR="008B25FD">
        <w:rPr>
          <w:rFonts w:ascii="Arial" w:hAnsi="Arial" w:cs="Arial" w:hint="eastAsia"/>
          <w:b/>
          <w:bCs/>
          <w:sz w:val="28"/>
          <w:szCs w:val="28"/>
        </w:rPr>
        <w:t xml:space="preserve"> </w:t>
      </w:r>
      <w:r w:rsidRPr="00262267">
        <w:rPr>
          <w:rFonts w:ascii="Arial" w:hAnsi="Arial" w:cs="Arial" w:hint="eastAsia"/>
          <w:b/>
          <w:bCs/>
          <w:sz w:val="28"/>
          <w:szCs w:val="28"/>
        </w:rPr>
        <w:t xml:space="preserve">Front </w:t>
      </w:r>
      <w:r w:rsidR="008B25FD">
        <w:rPr>
          <w:rFonts w:ascii="Arial" w:hAnsi="Arial" w:cs="Arial" w:hint="eastAsia"/>
          <w:b/>
          <w:bCs/>
          <w:sz w:val="28"/>
          <w:szCs w:val="28"/>
        </w:rPr>
        <w:t xml:space="preserve">Luxury </w:t>
      </w:r>
      <w:r w:rsidRPr="00262267">
        <w:rPr>
          <w:rFonts w:ascii="Arial" w:hAnsi="Arial" w:cs="Arial" w:hint="eastAsia"/>
          <w:b/>
          <w:bCs/>
          <w:sz w:val="28"/>
          <w:szCs w:val="28"/>
        </w:rPr>
        <w:t>Homes</w:t>
      </w:r>
    </w:p>
    <w:p w14:paraId="319EB38D" w14:textId="3DD42A67" w:rsidR="00000000" w:rsidRDefault="00C24064">
      <w:pPr>
        <w:rPr>
          <w:rFonts w:ascii="Arial" w:hAnsi="Arial" w:cs="Arial" w:hint="eastAsia"/>
          <w:sz w:val="24"/>
          <w:szCs w:val="24"/>
        </w:rPr>
      </w:pPr>
      <w:r>
        <w:rPr>
          <w:rFonts w:ascii="Arial" w:hAnsi="Arial" w:cs="Arial" w:hint="eastAsia"/>
          <w:sz w:val="24"/>
          <w:szCs w:val="24"/>
        </w:rPr>
        <w:t>ASC Global Inc. as a wholly-owned subsidiary of t</w:t>
      </w:r>
      <w:r w:rsidR="00532514" w:rsidRPr="00532514">
        <w:rPr>
          <w:rFonts w:ascii="Arial" w:hAnsi="Arial" w:cs="Arial"/>
          <w:sz w:val="24"/>
          <w:szCs w:val="24"/>
        </w:rPr>
        <w:t xml:space="preserve">he </w:t>
      </w:r>
      <w:r w:rsidR="00532514">
        <w:rPr>
          <w:rFonts w:ascii="Arial" w:hAnsi="Arial" w:cs="Arial" w:hint="eastAsia"/>
          <w:sz w:val="24"/>
          <w:szCs w:val="24"/>
        </w:rPr>
        <w:t xml:space="preserve">Company has received work permits on 7 of its 22 waterfront home sites located in Northport, Port Charlotte and Punta Gorda </w:t>
      </w:r>
      <w:r>
        <w:rPr>
          <w:rFonts w:ascii="Arial" w:hAnsi="Arial" w:cs="Arial" w:hint="eastAsia"/>
          <w:sz w:val="24"/>
          <w:szCs w:val="24"/>
        </w:rPr>
        <w:t xml:space="preserve">recently, and constructions have started on these properties with Tricor Homes as the General Contractor and Home Builder. All these homesites are canal front, gulf-access premium waterfront properties with private seawall and boat docks, a luxury home model </w:t>
      </w:r>
      <w:r>
        <w:rPr>
          <w:rFonts w:ascii="Arial" w:hAnsi="Arial" w:cs="Arial"/>
          <w:sz w:val="24"/>
          <w:szCs w:val="24"/>
        </w:rPr>
        <w:t>“</w:t>
      </w:r>
      <w:r>
        <w:rPr>
          <w:rFonts w:ascii="Arial" w:hAnsi="Arial" w:cs="Arial" w:hint="eastAsia"/>
          <w:sz w:val="24"/>
          <w:szCs w:val="24"/>
        </w:rPr>
        <w:t xml:space="preserve"> Summit </w:t>
      </w:r>
      <w:r>
        <w:rPr>
          <w:rFonts w:ascii="Arial" w:hAnsi="Arial" w:cs="Arial"/>
          <w:sz w:val="24"/>
          <w:szCs w:val="24"/>
        </w:rPr>
        <w:t>“</w:t>
      </w:r>
      <w:r>
        <w:rPr>
          <w:rFonts w:ascii="Arial" w:hAnsi="Arial" w:cs="Arial" w:hint="eastAsia"/>
          <w:sz w:val="24"/>
          <w:szCs w:val="24"/>
        </w:rPr>
        <w:t xml:space="preserve"> will be built on these home sites, which it is a 3,597 Sq.Ft two story contemporary design home with 4 bedrooms, </w:t>
      </w:r>
      <w:r w:rsidR="00BA479D">
        <w:rPr>
          <w:rFonts w:ascii="Arial" w:hAnsi="Arial" w:cs="Arial" w:hint="eastAsia"/>
          <w:sz w:val="24"/>
          <w:szCs w:val="24"/>
        </w:rPr>
        <w:t xml:space="preserve">3 full bath, </w:t>
      </w:r>
      <w:r>
        <w:rPr>
          <w:rFonts w:ascii="Arial" w:hAnsi="Arial" w:cs="Arial" w:hint="eastAsia"/>
          <w:sz w:val="24"/>
          <w:szCs w:val="24"/>
        </w:rPr>
        <w:t xml:space="preserve">2.5 car garages, </w:t>
      </w:r>
      <w:r w:rsidR="00BA479D">
        <w:rPr>
          <w:rFonts w:ascii="Arial" w:hAnsi="Arial" w:cs="Arial" w:hint="eastAsia"/>
          <w:sz w:val="24"/>
          <w:szCs w:val="24"/>
        </w:rPr>
        <w:t>a huge play room, a big water-view second floor patio on the second floor</w:t>
      </w:r>
      <w:r w:rsidR="00E674DB">
        <w:rPr>
          <w:rFonts w:ascii="Arial" w:hAnsi="Arial" w:cs="Arial" w:hint="eastAsia"/>
          <w:sz w:val="24"/>
          <w:szCs w:val="24"/>
        </w:rPr>
        <w:t xml:space="preserve"> and more.</w:t>
      </w:r>
    </w:p>
    <w:p w14:paraId="00D94718" w14:textId="48FE1411" w:rsidR="00BA479D" w:rsidRDefault="00BA479D">
      <w:pPr>
        <w:rPr>
          <w:rFonts w:ascii="Arial" w:hAnsi="Arial" w:cs="Arial"/>
          <w:sz w:val="24"/>
          <w:szCs w:val="24"/>
        </w:rPr>
      </w:pPr>
      <w:r>
        <w:rPr>
          <w:rFonts w:ascii="Arial" w:hAnsi="Arial" w:cs="Arial" w:hint="eastAsia"/>
          <w:sz w:val="24"/>
          <w:szCs w:val="24"/>
        </w:rPr>
        <w:t xml:space="preserve">These brand new waterfront homes are scheduled to be completed and become available starting Q-2 next year, and the estimated selling price will be around 1.5 </w:t>
      </w:r>
      <w:r>
        <w:rPr>
          <w:rFonts w:ascii="Arial" w:hAnsi="Arial" w:cs="Arial"/>
          <w:sz w:val="24"/>
          <w:szCs w:val="24"/>
        </w:rPr>
        <w:t>–</w:t>
      </w:r>
      <w:r>
        <w:rPr>
          <w:rFonts w:ascii="Arial" w:hAnsi="Arial" w:cs="Arial" w:hint="eastAsia"/>
          <w:sz w:val="24"/>
          <w:szCs w:val="24"/>
        </w:rPr>
        <w:t xml:space="preserve"> 1.7 million dollars. </w:t>
      </w:r>
    </w:p>
    <w:p w14:paraId="53EC1325" w14:textId="77777777" w:rsidR="00262267" w:rsidRDefault="00262267">
      <w:pPr>
        <w:rPr>
          <w:rFonts w:ascii="Arial" w:hAnsi="Arial" w:cs="Arial"/>
          <w:sz w:val="24"/>
          <w:szCs w:val="24"/>
        </w:rPr>
      </w:pPr>
    </w:p>
    <w:p w14:paraId="0D5DE6BC" w14:textId="77777777" w:rsidR="00262267" w:rsidRPr="00262267" w:rsidRDefault="00262267" w:rsidP="00262267">
      <w:pPr>
        <w:shd w:val="clear" w:color="auto" w:fill="FFFFFF"/>
        <w:spacing w:after="240" w:line="240" w:lineRule="auto"/>
        <w:outlineLvl w:val="2"/>
        <w:rPr>
          <w:rFonts w:ascii="Georgia" w:eastAsia="Times New Roman" w:hAnsi="Georgia" w:cs="Times New Roman"/>
          <w:b/>
          <w:bCs/>
          <w:color w:val="000C3F"/>
          <w:sz w:val="27"/>
          <w:szCs w:val="27"/>
        </w:rPr>
      </w:pPr>
      <w:r w:rsidRPr="00262267">
        <w:rPr>
          <w:rFonts w:ascii="Georgia" w:eastAsia="Times New Roman" w:hAnsi="Georgia" w:cs="Times New Roman"/>
          <w:b/>
          <w:bCs/>
          <w:color w:val="000C3F"/>
          <w:sz w:val="27"/>
          <w:szCs w:val="27"/>
        </w:rPr>
        <w:t>Forward-Looking Statements</w:t>
      </w:r>
    </w:p>
    <w:p w14:paraId="66696920" w14:textId="77777777"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color w:val="374151"/>
          <w:sz w:val="20"/>
          <w:szCs w:val="20"/>
        </w:rPr>
      </w:pPr>
      <w:r w:rsidRPr="00262267">
        <w:rPr>
          <w:rFonts w:ascii="Segoe UI" w:eastAsia="Times New Roman" w:hAnsi="Segoe UI" w:cs="Segoe UI"/>
          <w:i/>
          <w:iCs/>
          <w:color w:val="374151"/>
          <w:sz w:val="20"/>
          <w:szCs w:val="20"/>
        </w:rPr>
        <w:t>Certain information set forth in this presentation contains “forward-looking information”, including “future-oriented financial information” and “financial outlook”, under applicable securities laws (collectively referred to herein as forward-looking statements). Except for statements of historical fact, the information contained herein constitutes forward-looking statements and includes, but is not limited to, the (i) projected financial performance of the Company; (ii) completion of, and the use of proceeds from, the sale of the shares being offered hereunder; (iii) the expected development of the Company’s business, projects, and joint ventures; (iv) execution of the Company’s vision and growth strategy, including with respect to future M&amp;A activity and global growth; (v) sources and availability of third-party financing for the Company’s projects; (vi) completion of the Company’s projects that are currently underway, in development or otherwise under consideration; (vi) renewal of the Company’s current customer, supplier and other material agreements; and (vii) future liquidity, working capital, and capital requirements. Forward-looking statements are provided to allow potential investors the opportunity to understand management’s beliefs and opinions in respect of the future so that they may use such beliefs and opinions as one factor in evaluating an investment.</w:t>
      </w:r>
    </w:p>
    <w:p w14:paraId="74F2DE9E" w14:textId="77777777"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color w:val="374151"/>
          <w:sz w:val="20"/>
          <w:szCs w:val="20"/>
        </w:rPr>
      </w:pPr>
      <w:r w:rsidRPr="00262267">
        <w:rPr>
          <w:rFonts w:ascii="Segoe UI" w:eastAsia="Times New Roman" w:hAnsi="Segoe UI" w:cs="Segoe UI"/>
          <w:i/>
          <w:iCs/>
          <w:color w:val="374151"/>
          <w:sz w:val="20"/>
          <w:szCs w:val="20"/>
        </w:rPr>
        <w:t>These statements are not guarantees of future performance and undue reliance should not be placed on them. Such forward-looking statements necessarily involve known and unknown risks and uncertainties, which may cause actual performance and financial results in future periods to differ materially from any projections of future performance or result expressed or implied by such forward-looking statements.</w:t>
      </w:r>
    </w:p>
    <w:p w14:paraId="2453461E" w14:textId="77777777"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color w:val="374151"/>
          <w:sz w:val="20"/>
          <w:szCs w:val="20"/>
        </w:rPr>
      </w:pPr>
      <w:r w:rsidRPr="00262267">
        <w:rPr>
          <w:rFonts w:ascii="Segoe UI" w:eastAsia="Times New Roman" w:hAnsi="Segoe UI" w:cs="Segoe UI"/>
          <w:i/>
          <w:iCs/>
          <w:color w:val="374151"/>
          <w:sz w:val="20"/>
          <w:szCs w:val="20"/>
        </w:rPr>
        <w:t>Although forward-looking statements contained in this presentation are based upon what management of the Company believes are reasonable assumptions, there can be no assurance that forward-looking statements will prove to be accurate, as actual results and future events could differ materially from those anticipated in such statements. The Company undertakes no obligation to update forward-looking statements if circumstances or management’s estimates or opinions should change except as required by applicable securities laws. The reader is cautioned not to place undue reliance on forward-looking statements.</w:t>
      </w:r>
    </w:p>
    <w:p w14:paraId="422DCA58" w14:textId="586D5B4D"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hint="eastAsia"/>
          <w:color w:val="374151"/>
          <w:sz w:val="24"/>
          <w:szCs w:val="24"/>
        </w:rPr>
      </w:pPr>
      <w:r w:rsidRPr="00262267">
        <w:rPr>
          <w:rFonts w:ascii="Segoe UI" w:eastAsia="Times New Roman" w:hAnsi="Segoe UI" w:cs="Segoe UI" w:hint="eastAsia"/>
          <w:color w:val="374151"/>
          <w:sz w:val="24"/>
          <w:szCs w:val="24"/>
        </w:rPr>
        <w:lastRenderedPageBreak/>
        <w:t xml:space="preserve"> </w:t>
      </w:r>
    </w:p>
    <w:p w14:paraId="072637D5" w14:textId="77777777" w:rsidR="00262267" w:rsidRPr="00C24064" w:rsidRDefault="00262267">
      <w:pPr>
        <w:rPr>
          <w:rFonts w:ascii="Arial" w:hAnsi="Arial" w:cs="Arial" w:hint="eastAsia"/>
          <w:sz w:val="24"/>
          <w:szCs w:val="24"/>
        </w:rPr>
      </w:pPr>
    </w:p>
    <w:sectPr w:rsidR="00262267" w:rsidRPr="00C240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A437E6"/>
    <w:multiLevelType w:val="multilevel"/>
    <w:tmpl w:val="73A85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66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514"/>
    <w:rsid w:val="001175E2"/>
    <w:rsid w:val="00262267"/>
    <w:rsid w:val="002C26A1"/>
    <w:rsid w:val="00532514"/>
    <w:rsid w:val="005E0AFD"/>
    <w:rsid w:val="008B25FD"/>
    <w:rsid w:val="00BA479D"/>
    <w:rsid w:val="00C24064"/>
    <w:rsid w:val="00E67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F759B"/>
  <w15:chartTrackingRefBased/>
  <w15:docId w15:val="{8525FD37-C0AB-4F9D-BFA3-EB114867B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1663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Chen</dc:creator>
  <cp:keywords/>
  <dc:description/>
  <cp:lastModifiedBy>David Chen</cp:lastModifiedBy>
  <cp:revision>2</cp:revision>
  <dcterms:created xsi:type="dcterms:W3CDTF">2024-09-27T13:06:00Z</dcterms:created>
  <dcterms:modified xsi:type="dcterms:W3CDTF">2024-09-27T13:41:00Z</dcterms:modified>
</cp:coreProperties>
</file>