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9B7E0" w14:textId="3B5914CD" w:rsidR="00F87CD8" w:rsidRPr="00F87CD8" w:rsidRDefault="00F87CD8" w:rsidP="00F87CD8">
      <w:pPr>
        <w:ind w:firstLine="0"/>
        <w:jc w:val="center"/>
        <w:rPr>
          <w:sz w:val="18"/>
          <w:szCs w:val="18"/>
        </w:rPr>
      </w:pPr>
      <w:r w:rsidRPr="00F87CD8">
        <w:rPr>
          <w:sz w:val="18"/>
          <w:szCs w:val="18"/>
        </w:rPr>
        <w:t>THIS NEWS RELEASE IS INTENDED FOR DISTRIBUTION IN CANADA ONLY AND IS NOT INTENDED FOR DISTRIBUTION TO UNITED STATES NEWSWIRE SERVICES OR DISSEMINATION IN THE UNITED STATES.</w:t>
      </w:r>
    </w:p>
    <w:p w14:paraId="41CF81B8" w14:textId="77777777" w:rsidR="00F87CD8" w:rsidRDefault="00F87CD8" w:rsidP="006817B7">
      <w:pPr>
        <w:ind w:firstLine="0"/>
        <w:jc w:val="center"/>
        <w:rPr>
          <w:b/>
          <w:bCs/>
        </w:rPr>
      </w:pPr>
    </w:p>
    <w:p w14:paraId="01C4291F" w14:textId="416B6E78" w:rsidR="00A54B7D" w:rsidRPr="00CC5E6A" w:rsidRDefault="002C0C2A" w:rsidP="006817B7">
      <w:pPr>
        <w:ind w:firstLine="0"/>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79625604" w14:textId="2EECBA56" w:rsidR="00996970" w:rsidRPr="00996970" w:rsidRDefault="00996970" w:rsidP="006817B7">
      <w:pPr>
        <w:ind w:firstLine="0"/>
        <w:jc w:val="center"/>
        <w:rPr>
          <w:b/>
          <w:bCs/>
          <w:sz w:val="28"/>
          <w:szCs w:val="28"/>
        </w:rPr>
      </w:pPr>
      <w:r>
        <w:rPr>
          <w:b/>
          <w:bCs/>
          <w:sz w:val="28"/>
          <w:szCs w:val="28"/>
        </w:rPr>
        <w:t xml:space="preserve">QUANTUM BIOPHARMA </w:t>
      </w:r>
      <w:r w:rsidR="006817B7" w:rsidRPr="006817B7">
        <w:rPr>
          <w:b/>
          <w:bCs/>
          <w:sz w:val="28"/>
          <w:szCs w:val="28"/>
        </w:rPr>
        <w:t>ANNOUNCES NON-BROKERED PRIVATE PLACEMENT OF CONVERTIBLE DEBENTURE UNITS FOR GROSS PROCEEDS OF UP TO $5 MILLION</w:t>
      </w:r>
    </w:p>
    <w:p w14:paraId="5DC21F97" w14:textId="77777777" w:rsidR="00DD6624" w:rsidRPr="00CC5E6A" w:rsidRDefault="00DD6624" w:rsidP="00A54B7D">
      <w:pPr>
        <w:jc w:val="center"/>
        <w:rPr>
          <w:b/>
          <w:szCs w:val="22"/>
        </w:rPr>
      </w:pPr>
    </w:p>
    <w:p w14:paraId="0CCEB6CB" w14:textId="6A9AC8B5" w:rsidR="00D43EE7" w:rsidRDefault="00A54B7D" w:rsidP="00D43EE7">
      <w:pPr>
        <w:ind w:firstLine="0"/>
      </w:pPr>
      <w:r w:rsidRPr="004D05D9">
        <w:rPr>
          <w:b/>
        </w:rPr>
        <w:t>Toronto, O</w:t>
      </w:r>
      <w:r w:rsidR="0060570E">
        <w:rPr>
          <w:b/>
        </w:rPr>
        <w:t>ntario</w:t>
      </w:r>
      <w:r w:rsidRPr="004D05D9">
        <w:rPr>
          <w:b/>
        </w:rPr>
        <w:t xml:space="preserve"> </w:t>
      </w:r>
      <w:r w:rsidRPr="007A7386">
        <w:rPr>
          <w:b/>
        </w:rPr>
        <w:t xml:space="preserve">– </w:t>
      </w:r>
      <w:r w:rsidR="006817B7">
        <w:rPr>
          <w:b/>
        </w:rPr>
        <w:t>December 4, 2024</w:t>
      </w:r>
      <w:r w:rsidRPr="004D05D9">
        <w:t xml:space="preserve"> – </w:t>
      </w:r>
      <w:r w:rsidR="00DF62CC" w:rsidRPr="004D05D9">
        <w:t>Quantum</w:t>
      </w:r>
      <w:r w:rsidR="00DF62CC" w:rsidRPr="00DF62CC">
        <w:t xml:space="preserve"> BioPharma Ltd. (NASDAQ: QNTM) (CSE: QNTM) (FRA: 0K91) (</w:t>
      </w:r>
      <w:r w:rsidR="001D5114">
        <w:t>“</w:t>
      </w:r>
      <w:r w:rsidR="00DF62CC" w:rsidRPr="00DF62CC">
        <w:rPr>
          <w:b/>
        </w:rPr>
        <w:t>Quantum BioPharma</w:t>
      </w:r>
      <w:r w:rsidR="001D5114">
        <w:t>”</w:t>
      </w:r>
      <w:r w:rsidR="00DF62CC" w:rsidRPr="00DF62CC">
        <w:t xml:space="preserve"> or the </w:t>
      </w:r>
      <w:r w:rsidR="001D5114">
        <w:t>“</w:t>
      </w:r>
      <w:r w:rsidR="00DF62CC" w:rsidRPr="00DF62CC">
        <w:rPr>
          <w:b/>
        </w:rPr>
        <w:t>Company</w:t>
      </w:r>
      <w:r w:rsidR="001D5114">
        <w:t>”</w:t>
      </w:r>
      <w:r w:rsidR="00DF62CC" w:rsidRPr="00DF62CC">
        <w:t>)</w:t>
      </w:r>
      <w:r w:rsidR="00DF62CC" w:rsidRPr="00DF62CC">
        <w:rPr>
          <w:lang w:val="en-CA"/>
        </w:rPr>
        <w:t xml:space="preserve">, </w:t>
      </w:r>
      <w:r w:rsidR="006817B7" w:rsidRPr="006817B7">
        <w:t xml:space="preserve">is pleased to announce that it intends to complete a non-brokered private placement offering (the </w:t>
      </w:r>
      <w:r w:rsidR="001D5114">
        <w:t>“</w:t>
      </w:r>
      <w:r w:rsidR="006817B7" w:rsidRPr="006817B7">
        <w:rPr>
          <w:b/>
          <w:bCs/>
        </w:rPr>
        <w:t>Offering</w:t>
      </w:r>
      <w:r w:rsidR="001D5114">
        <w:t>”</w:t>
      </w:r>
      <w:r w:rsidR="006817B7" w:rsidRPr="006817B7">
        <w:t xml:space="preserve">) of up to </w:t>
      </w:r>
      <w:r w:rsidR="001D5114">
        <w:t>5</w:t>
      </w:r>
      <w:r w:rsidR="006817B7" w:rsidRPr="006817B7">
        <w:t>,</w:t>
      </w:r>
      <w:r w:rsidR="001D5114">
        <w:t>000</w:t>
      </w:r>
      <w:r w:rsidR="006817B7" w:rsidRPr="006817B7">
        <w:t xml:space="preserve"> convertible debenture units of the Company (the </w:t>
      </w:r>
      <w:r w:rsidR="001D5114">
        <w:t>“</w:t>
      </w:r>
      <w:r w:rsidR="006817B7" w:rsidRPr="001D5114">
        <w:rPr>
          <w:b/>
          <w:bCs/>
        </w:rPr>
        <w:t>Debenture Units</w:t>
      </w:r>
      <w:r w:rsidR="001D5114">
        <w:t>”</w:t>
      </w:r>
      <w:r w:rsidR="006817B7" w:rsidRPr="006817B7">
        <w:t xml:space="preserve">) at a price of $1,000 per Debenture Unit (the </w:t>
      </w:r>
      <w:r w:rsidR="001D5114">
        <w:t>“</w:t>
      </w:r>
      <w:r w:rsidR="006817B7" w:rsidRPr="001D5114">
        <w:rPr>
          <w:b/>
          <w:bCs/>
        </w:rPr>
        <w:t>Issue Price</w:t>
      </w:r>
      <w:r w:rsidR="001D5114">
        <w:t>”</w:t>
      </w:r>
      <w:r w:rsidR="006817B7" w:rsidRPr="006817B7">
        <w:t>).</w:t>
      </w:r>
      <w:r w:rsidR="00D43EE7" w:rsidRPr="00D43EE7">
        <w:t xml:space="preserve"> </w:t>
      </w:r>
    </w:p>
    <w:p w14:paraId="02006C45" w14:textId="77777777" w:rsidR="0078567F" w:rsidRDefault="0078567F" w:rsidP="00D43EE7">
      <w:pPr>
        <w:ind w:firstLine="0"/>
      </w:pPr>
    </w:p>
    <w:p w14:paraId="0ACF5D6A" w14:textId="4867AC7C" w:rsidR="0060570E" w:rsidRDefault="006817B7" w:rsidP="006817B7">
      <w:pPr>
        <w:ind w:firstLine="0"/>
      </w:pPr>
      <w:r w:rsidRPr="006817B7">
        <w:t>Each Debenture Unit will consist of (</w:t>
      </w:r>
      <w:proofErr w:type="spellStart"/>
      <w:r w:rsidRPr="006817B7">
        <w:t>i</w:t>
      </w:r>
      <w:proofErr w:type="spellEnd"/>
      <w:r w:rsidRPr="006817B7">
        <w:t xml:space="preserve">) </w:t>
      </w:r>
      <w:r w:rsidR="001D5114">
        <w:t xml:space="preserve">one </w:t>
      </w:r>
      <w:r w:rsidRPr="006817B7">
        <w:t>secured convertible debenture having a face value of</w:t>
      </w:r>
      <w:r w:rsidR="001D5114">
        <w:t xml:space="preserve"> </w:t>
      </w:r>
      <w:r w:rsidRPr="006817B7">
        <w:t>$1</w:t>
      </w:r>
      <w:r w:rsidR="001D5114">
        <w:t>,000</w:t>
      </w:r>
      <w:r w:rsidRPr="006817B7">
        <w:t>.00</w:t>
      </w:r>
      <w:r w:rsidR="001D5114">
        <w:t xml:space="preserve"> </w:t>
      </w:r>
      <w:r w:rsidR="001D5114" w:rsidRPr="006817B7">
        <w:t xml:space="preserve">(each a </w:t>
      </w:r>
      <w:r w:rsidR="001D5114">
        <w:t>“</w:t>
      </w:r>
      <w:r w:rsidR="001D5114">
        <w:rPr>
          <w:b/>
          <w:bCs/>
        </w:rPr>
        <w:t>Debenture</w:t>
      </w:r>
      <w:r w:rsidR="001D5114">
        <w:t>”</w:t>
      </w:r>
      <w:r w:rsidR="001D5114" w:rsidRPr="006817B7">
        <w:t>)</w:t>
      </w:r>
      <w:r w:rsidR="001D5114">
        <w:t>;</w:t>
      </w:r>
      <w:r w:rsidRPr="006817B7">
        <w:t xml:space="preserve"> </w:t>
      </w:r>
      <w:r w:rsidR="001D5114" w:rsidRPr="006817B7">
        <w:t xml:space="preserve">and (ii) </w:t>
      </w:r>
      <w:r w:rsidR="00E207C6">
        <w:t>80</w:t>
      </w:r>
      <w:r w:rsidR="0060570E">
        <w:t xml:space="preserve"> </w:t>
      </w:r>
      <w:r w:rsidR="00E207C6">
        <w:t xml:space="preserve">class B </w:t>
      </w:r>
      <w:r w:rsidR="001D5114" w:rsidRPr="006817B7">
        <w:t>common share purchase warrants (</w:t>
      </w:r>
      <w:r w:rsidR="0060570E">
        <w:t xml:space="preserve">each a </w:t>
      </w:r>
      <w:r w:rsidR="001D5114">
        <w:t>“</w:t>
      </w:r>
      <w:r w:rsidR="001D5114" w:rsidRPr="006817B7">
        <w:rPr>
          <w:b/>
          <w:bCs/>
        </w:rPr>
        <w:t>Warrant</w:t>
      </w:r>
      <w:r w:rsidR="001D5114">
        <w:t>”</w:t>
      </w:r>
      <w:r w:rsidR="001D5114" w:rsidRPr="006817B7">
        <w:t>)</w:t>
      </w:r>
      <w:r w:rsidR="0060570E">
        <w:t xml:space="preserve"> </w:t>
      </w:r>
      <w:r w:rsidR="0060570E" w:rsidRPr="0060570E">
        <w:t xml:space="preserve">exercisable for </w:t>
      </w:r>
      <w:r w:rsidR="00E207C6">
        <w:t>80</w:t>
      </w:r>
      <w:r w:rsidR="0060570E" w:rsidRPr="0060570E">
        <w:t xml:space="preserve"> Class B</w:t>
      </w:r>
      <w:r w:rsidR="0060570E">
        <w:t xml:space="preserve"> s</w:t>
      </w:r>
      <w:r w:rsidR="0060570E" w:rsidRPr="0060570E">
        <w:t xml:space="preserve">ubordinate </w:t>
      </w:r>
      <w:r w:rsidR="0060570E">
        <w:t>v</w:t>
      </w:r>
      <w:r w:rsidR="0060570E" w:rsidRPr="0060570E">
        <w:t>oting</w:t>
      </w:r>
      <w:r w:rsidR="0060570E">
        <w:t xml:space="preserve"> s</w:t>
      </w:r>
      <w:r w:rsidR="0060570E" w:rsidRPr="0060570E">
        <w:t xml:space="preserve">hares in the Company (each, a </w:t>
      </w:r>
      <w:r w:rsidR="0060570E">
        <w:t>“</w:t>
      </w:r>
      <w:r w:rsidR="0060570E" w:rsidRPr="0060570E">
        <w:rPr>
          <w:b/>
          <w:bCs/>
        </w:rPr>
        <w:t>Share</w:t>
      </w:r>
      <w:r w:rsidR="0060570E">
        <w:t>”</w:t>
      </w:r>
      <w:r w:rsidR="0060570E" w:rsidRPr="0060570E">
        <w:t>).</w:t>
      </w:r>
      <w:r w:rsidR="00E75564">
        <w:t xml:space="preserve"> </w:t>
      </w:r>
      <w:r w:rsidR="00E75564" w:rsidRPr="00E75564">
        <w:t xml:space="preserve">The Debentures will mature on the </w:t>
      </w:r>
      <w:proofErr w:type="gramStart"/>
      <w:r w:rsidR="00E75564" w:rsidRPr="00E75564">
        <w:t>date that is</w:t>
      </w:r>
      <w:proofErr w:type="gramEnd"/>
      <w:r w:rsidR="00E75564" w:rsidRPr="00E75564">
        <w:t xml:space="preserve"> </w:t>
      </w:r>
      <w:r w:rsidR="00E75564">
        <w:t>36</w:t>
      </w:r>
      <w:r w:rsidR="00E75564" w:rsidRPr="00E75564">
        <w:t xml:space="preserve"> months from the date of issuance (the "</w:t>
      </w:r>
      <w:r w:rsidR="00E75564" w:rsidRPr="00E75564">
        <w:rPr>
          <w:b/>
          <w:bCs/>
        </w:rPr>
        <w:t>Maturity Date</w:t>
      </w:r>
      <w:r w:rsidR="00E75564" w:rsidRPr="00E75564">
        <w:t>") and shall bear interest at a rate of 1</w:t>
      </w:r>
      <w:r w:rsidR="00E75564">
        <w:t>.25</w:t>
      </w:r>
      <w:r w:rsidR="00E75564" w:rsidRPr="00E75564">
        <w:t xml:space="preserve">% per month, beginning on the date of issuance and payable in cash on the last day of each calendar </w:t>
      </w:r>
      <w:r w:rsidR="00E75564">
        <w:t>quarter</w:t>
      </w:r>
      <w:r w:rsidR="00E75564" w:rsidRPr="00E75564">
        <w:t>.</w:t>
      </w:r>
    </w:p>
    <w:p w14:paraId="28AD6C6C" w14:textId="77777777" w:rsidR="0060570E" w:rsidRDefault="0060570E" w:rsidP="006817B7">
      <w:pPr>
        <w:ind w:firstLine="0"/>
      </w:pPr>
    </w:p>
    <w:p w14:paraId="0674056F" w14:textId="61664CC7" w:rsidR="00E75564" w:rsidRDefault="00E75564" w:rsidP="006817B7">
      <w:pPr>
        <w:ind w:firstLine="0"/>
      </w:pPr>
      <w:r w:rsidRPr="00E75564">
        <w:t xml:space="preserve">The principal sum of the Debentures, or any portion thereof, and any accrued but unpaid interest, may be converted into </w:t>
      </w:r>
      <w:r w:rsidR="00E207C6">
        <w:t xml:space="preserve">class B </w:t>
      </w:r>
      <w:r w:rsidRPr="00E75564">
        <w:t>Shares at a conversion price of $</w:t>
      </w:r>
      <w:r>
        <w:t>6</w:t>
      </w:r>
      <w:r w:rsidRPr="00E75564">
        <w:t>.</w:t>
      </w:r>
      <w:r w:rsidR="00E207C6">
        <w:t>25</w:t>
      </w:r>
      <w:r w:rsidRPr="00E75564">
        <w:t xml:space="preserve"> per </w:t>
      </w:r>
      <w:r w:rsidR="00E207C6">
        <w:t xml:space="preserve">class B </w:t>
      </w:r>
      <w:r w:rsidRPr="00E75564">
        <w:t>Share</w:t>
      </w:r>
      <w:r w:rsidRPr="00055B26">
        <w:t>.</w:t>
      </w:r>
      <w:r w:rsidRPr="00E75564">
        <w:t xml:space="preserve"> Each Warrant shall entitle the holder to acquire one additional </w:t>
      </w:r>
      <w:r w:rsidR="00E207C6">
        <w:t xml:space="preserve">class B </w:t>
      </w:r>
      <w:r w:rsidRPr="00E75564">
        <w:t>Share (each, a "</w:t>
      </w:r>
      <w:r w:rsidRPr="00E75564">
        <w:rPr>
          <w:b/>
          <w:bCs/>
        </w:rPr>
        <w:t>Warrant Share</w:t>
      </w:r>
      <w:r w:rsidRPr="00E75564">
        <w:t>") at a price of $</w:t>
      </w:r>
      <w:r w:rsidR="00E207C6">
        <w:t>7.00</w:t>
      </w:r>
      <w:r w:rsidRPr="00E75564">
        <w:t xml:space="preserve"> per Warrant Share, for a period of </w:t>
      </w:r>
      <w:r w:rsidRPr="00ED770D">
        <w:rPr>
          <w:color w:val="000000" w:themeColor="text1"/>
        </w:rPr>
        <w:t xml:space="preserve">five (5) years </w:t>
      </w:r>
      <w:r w:rsidRPr="00E75564">
        <w:t>from the date of issuance.</w:t>
      </w:r>
    </w:p>
    <w:p w14:paraId="643F217F" w14:textId="77777777" w:rsidR="00E75564" w:rsidRDefault="00E75564" w:rsidP="006817B7">
      <w:pPr>
        <w:ind w:firstLine="0"/>
      </w:pPr>
    </w:p>
    <w:p w14:paraId="372B410B" w14:textId="590676EA" w:rsidR="00F87CD8" w:rsidRDefault="00F87CD8" w:rsidP="006817B7">
      <w:pPr>
        <w:ind w:firstLine="0"/>
      </w:pPr>
      <w:r w:rsidRPr="00F87CD8">
        <w:t>The Company will use the proceeds from the Offering for the ongoing development of the Company's business model and for general working capital purposes.</w:t>
      </w:r>
    </w:p>
    <w:p w14:paraId="54F91284" w14:textId="77777777" w:rsidR="00F87CD8" w:rsidRDefault="00F87CD8" w:rsidP="006817B7">
      <w:pPr>
        <w:ind w:firstLine="0"/>
      </w:pPr>
    </w:p>
    <w:p w14:paraId="70AE24AE" w14:textId="51E420DC" w:rsidR="00055B26" w:rsidRDefault="00055B26" w:rsidP="006817B7">
      <w:pPr>
        <w:ind w:firstLine="0"/>
      </w:pPr>
      <w:r w:rsidRPr="00055B26">
        <w:t xml:space="preserve">The Company may redeem the Debentures at any time prior to maturity, in whole or in part, upon </w:t>
      </w:r>
      <w:r>
        <w:t xml:space="preserve">fifteen </w:t>
      </w:r>
      <w:r w:rsidRPr="00055B26">
        <w:t>days’ notice and payment of certain penalties as applicable. The Company’s obligations under the Debentures are collaterally secured by general security from the Company.</w:t>
      </w:r>
    </w:p>
    <w:p w14:paraId="2B325676" w14:textId="77777777" w:rsidR="00055B26" w:rsidRDefault="00055B26" w:rsidP="006817B7">
      <w:pPr>
        <w:ind w:firstLine="0"/>
      </w:pPr>
    </w:p>
    <w:p w14:paraId="0DB8199C" w14:textId="63C22C82" w:rsidR="00F87CD8" w:rsidRDefault="00F87CD8" w:rsidP="006817B7">
      <w:pPr>
        <w:ind w:firstLine="0"/>
      </w:pPr>
      <w:r w:rsidRPr="00F87CD8">
        <w:t xml:space="preserve">The Company expects the Offering to be completed in </w:t>
      </w:r>
      <w:r>
        <w:t xml:space="preserve">tranches, with the first tranche closing </w:t>
      </w:r>
      <w:r w:rsidRPr="00F87CD8">
        <w:t xml:space="preserve">the week of December </w:t>
      </w:r>
      <w:r>
        <w:t>9</w:t>
      </w:r>
      <w:r w:rsidRPr="00F87CD8">
        <w:t>, 202</w:t>
      </w:r>
      <w:r>
        <w:t>4</w:t>
      </w:r>
      <w:r w:rsidRPr="00F87CD8">
        <w:t>.</w:t>
      </w:r>
    </w:p>
    <w:p w14:paraId="290C89A4" w14:textId="77777777" w:rsidR="00F87CD8" w:rsidRDefault="00F87CD8" w:rsidP="006817B7">
      <w:pPr>
        <w:ind w:firstLine="0"/>
      </w:pPr>
    </w:p>
    <w:p w14:paraId="27A123C3" w14:textId="77777777" w:rsidR="006817B7" w:rsidRDefault="006817B7" w:rsidP="006817B7">
      <w:pPr>
        <w:ind w:firstLine="0"/>
      </w:pPr>
      <w:r w:rsidRPr="006817B7">
        <w:t>All amounts in this press release are expressed in Canadian dollars.</w:t>
      </w:r>
    </w:p>
    <w:p w14:paraId="692E1DBC" w14:textId="77777777" w:rsidR="006817B7" w:rsidRPr="006817B7" w:rsidRDefault="006817B7" w:rsidP="006817B7">
      <w:pPr>
        <w:ind w:firstLine="0"/>
      </w:pPr>
    </w:p>
    <w:p w14:paraId="6BE5A616" w14:textId="77777777" w:rsidR="006817B7" w:rsidRDefault="006817B7" w:rsidP="006817B7">
      <w:pPr>
        <w:ind w:firstLine="0"/>
        <w:rPr>
          <w:i/>
          <w:iCs/>
        </w:rPr>
      </w:pPr>
      <w:r w:rsidRPr="006817B7">
        <w:rPr>
          <w:i/>
          <w:iCs/>
        </w:rPr>
        <w:t xml:space="preserve">The securities being offered have not been, nor will they be, registered under the United States Securities Act of 1933, as amended, and may not be offered or sold in the United States or to, or for the account or benefit of, U.S. persons absent registration or an applicable exemption from the registration requirements. This press release shall not constitute an offer to sell or the solicitation </w:t>
      </w:r>
      <w:r w:rsidRPr="006817B7">
        <w:rPr>
          <w:i/>
          <w:iCs/>
        </w:rPr>
        <w:lastRenderedPageBreak/>
        <w:t xml:space="preserve">of an offer to buy nor shall there be any sale of the securities in any State in which such </w:t>
      </w:r>
      <w:proofErr w:type="gramStart"/>
      <w:r w:rsidRPr="006817B7">
        <w:rPr>
          <w:i/>
          <w:iCs/>
        </w:rPr>
        <w:t>offer</w:t>
      </w:r>
      <w:proofErr w:type="gramEnd"/>
      <w:r w:rsidRPr="006817B7">
        <w:rPr>
          <w:i/>
          <w:iCs/>
        </w:rPr>
        <w:t>, solicitation or sale would be unlawful.</w:t>
      </w:r>
    </w:p>
    <w:p w14:paraId="09DB2E01" w14:textId="77777777" w:rsidR="00F87CD8" w:rsidRDefault="00F87CD8" w:rsidP="006817B7">
      <w:pPr>
        <w:ind w:firstLine="0"/>
        <w:rPr>
          <w:i/>
          <w:iCs/>
        </w:rPr>
      </w:pPr>
    </w:p>
    <w:p w14:paraId="39656265" w14:textId="4857DC99" w:rsidR="00F87CD8" w:rsidRPr="006817B7" w:rsidRDefault="0043378E" w:rsidP="006817B7">
      <w:pPr>
        <w:ind w:firstLine="0"/>
      </w:pPr>
      <w:r w:rsidRPr="0043378E">
        <w:t>In addition, the Company has settled $43,825.17 of amounts owing to an arm’s length creditor through the issuance of 7,500 Shares at the deemed price of $5.84 per share.</w:t>
      </w:r>
    </w:p>
    <w:p w14:paraId="50371D05" w14:textId="77777777" w:rsidR="00C458C9" w:rsidRPr="00D43EE7" w:rsidRDefault="00C458C9" w:rsidP="00D43EE7">
      <w:pPr>
        <w:ind w:firstLine="0"/>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3141082C"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001D5114">
        <w:rPr>
          <w:bCs/>
        </w:rPr>
        <w:t>“</w:t>
      </w:r>
      <w:r w:rsidRPr="00F420DA">
        <w:rPr>
          <w:b/>
          <w:bCs/>
        </w:rPr>
        <w:t>Lucid</w:t>
      </w:r>
      <w:r w:rsidR="001D5114">
        <w:rPr>
          <w:bCs/>
        </w:rPr>
        <w:t>”</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001D5114">
        <w:rPr>
          <w:bCs/>
        </w:rPr>
        <w:t>“</w:t>
      </w:r>
      <w:r w:rsidRPr="00F420DA">
        <w:rPr>
          <w:b/>
          <w:bCs/>
        </w:rPr>
        <w:t>Celly Nutrition</w:t>
      </w:r>
      <w:r w:rsidR="001D5114">
        <w:rPr>
          <w:bCs/>
        </w:rPr>
        <w:t>”</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2">
        <w:r w:rsidR="004C6285">
          <w:rPr>
            <w:rStyle w:val="Hyperlink"/>
            <w:bCs/>
          </w:rPr>
          <w:t>www.unbuzzd.com</w:t>
        </w:r>
      </w:hyperlink>
      <w:r w:rsidRPr="00F420DA">
        <w:rPr>
          <w:bCs/>
        </w:rPr>
        <w:t xml:space="preserve">. The agreement with Celly Nutrition also includes royalty payments of 7% of sales from unbuzzd ™ until payments to Quantum BioPharma total $250 million. Once $250 million is reached, the royalty drops to 3% in perpetuity. Additionally, Quantum BioPharma retains a large tax loss carry forward of approximately C$130 million and could be utilized in the future to offset tax payable obligations against future profits. Quantum BioPharma retains 100% of the rights to develop similar </w:t>
      </w:r>
      <w:proofErr w:type="gramStart"/>
      <w:r w:rsidRPr="00F420DA">
        <w:rPr>
          <w:bCs/>
        </w:rPr>
        <w:t>product</w:t>
      </w:r>
      <w:proofErr w:type="gramEnd"/>
      <w:r w:rsidRPr="00F420DA">
        <w:rPr>
          <w:bCs/>
        </w:rPr>
        <w:t xml:space="preserve">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4CF1FCCA" w14:textId="7D7D72EC"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2AED7186" w14:textId="433B31F2" w:rsidR="0043378E" w:rsidRDefault="0043378E" w:rsidP="0043378E">
      <w:pPr>
        <w:ind w:firstLine="0"/>
        <w:rPr>
          <w:i/>
          <w:iCs/>
          <w:lang w:val="en-CA"/>
        </w:rPr>
      </w:pPr>
      <w:r w:rsidRPr="0043378E">
        <w:rPr>
          <w:i/>
          <w:iCs/>
          <w:lang w:val="en-CA"/>
        </w:rPr>
        <w:t xml:space="preserve">Certain information in this news release constitutes forward-looking statements under applicable securities laws. Any statements that are contained in this news release that are not statements of historical fact may be deemed to be forward-looking statements. Forward-looking statements are often identified by terms such as "may", "should", "anticipate", "expect", "potential", "believe", "intend" or the negative of these terms and similar expressions. Forward-looking statements in this news release include statements relating </w:t>
      </w:r>
      <w:proofErr w:type="gramStart"/>
      <w:r w:rsidRPr="0043378E">
        <w:rPr>
          <w:i/>
          <w:iCs/>
          <w:lang w:val="en-CA"/>
        </w:rPr>
        <w:t>to:</w:t>
      </w:r>
      <w:proofErr w:type="gramEnd"/>
      <w:r w:rsidRPr="0043378E">
        <w:rPr>
          <w:i/>
          <w:iCs/>
          <w:lang w:val="en-CA"/>
        </w:rPr>
        <w:t xml:space="preserve"> the stated terms, use of proceeds, and timeline of the Offering; </w:t>
      </w:r>
      <w:r>
        <w:rPr>
          <w:i/>
          <w:iCs/>
          <w:lang w:val="en-CA"/>
        </w:rPr>
        <w:t xml:space="preserve">and </w:t>
      </w:r>
      <w:r w:rsidRPr="0043378E">
        <w:rPr>
          <w:i/>
          <w:iCs/>
          <w:lang w:val="en-CA"/>
        </w:rPr>
        <w:t>the Company's issuance of the Debentures, Warrants (and the underlying Warrant Shares if exercised), and potential issuance of Shares (if the Debentures are converted).</w:t>
      </w:r>
    </w:p>
    <w:p w14:paraId="317A6FCB" w14:textId="77777777" w:rsidR="0043378E" w:rsidRPr="0043378E" w:rsidRDefault="0043378E" w:rsidP="0043378E">
      <w:pPr>
        <w:ind w:firstLine="0"/>
        <w:rPr>
          <w:i/>
          <w:iCs/>
          <w:lang w:val="en-CA"/>
        </w:rPr>
      </w:pPr>
    </w:p>
    <w:p w14:paraId="7228F23A" w14:textId="78EFF3A8" w:rsidR="0043378E" w:rsidRPr="0043378E" w:rsidRDefault="0043378E" w:rsidP="0043378E">
      <w:pPr>
        <w:ind w:firstLine="0"/>
        <w:rPr>
          <w:i/>
          <w:iCs/>
          <w:lang w:val="en-CA"/>
        </w:rPr>
      </w:pPr>
      <w:r w:rsidRPr="0043378E">
        <w:rPr>
          <w:i/>
          <w:iCs/>
          <w:lang w:val="en-CA"/>
        </w:rPr>
        <w:t xml:space="preserve">Forward-looking information in this press release are based on certain assumptions and expected future events, including but not limited </w:t>
      </w:r>
      <w:proofErr w:type="gramStart"/>
      <w:r w:rsidRPr="0043378E">
        <w:rPr>
          <w:i/>
          <w:iCs/>
          <w:lang w:val="en-CA"/>
        </w:rPr>
        <w:t>to:</w:t>
      </w:r>
      <w:proofErr w:type="gramEnd"/>
      <w:r w:rsidRPr="0043378E">
        <w:rPr>
          <w:i/>
          <w:iCs/>
          <w:lang w:val="en-CA"/>
        </w:rPr>
        <w:t xml:space="preserve"> the Company has the ability to carry out the Offering as stated; </w:t>
      </w:r>
      <w:r>
        <w:rPr>
          <w:i/>
          <w:iCs/>
          <w:lang w:val="en-CA"/>
        </w:rPr>
        <w:t xml:space="preserve">and </w:t>
      </w:r>
      <w:r w:rsidRPr="0043378E">
        <w:rPr>
          <w:i/>
          <w:iCs/>
          <w:lang w:val="en-CA"/>
        </w:rPr>
        <w:t>the Company has the ability to issue the Debentures, Warrants (and the underlying Warrant Shares if exercised), and Shares (if the Debentures are converted).</w:t>
      </w:r>
    </w:p>
    <w:p w14:paraId="08528BDC" w14:textId="77777777" w:rsidR="0043378E" w:rsidRDefault="0043378E" w:rsidP="0043378E">
      <w:pPr>
        <w:ind w:firstLine="0"/>
        <w:rPr>
          <w:i/>
          <w:iCs/>
          <w:lang w:val="en-CA"/>
        </w:rPr>
      </w:pPr>
    </w:p>
    <w:p w14:paraId="7397988B" w14:textId="09B39445" w:rsidR="0043378E" w:rsidRDefault="0043378E" w:rsidP="0043378E">
      <w:pPr>
        <w:ind w:firstLine="0"/>
        <w:rPr>
          <w:i/>
          <w:iCs/>
          <w:lang w:val="en-CA"/>
        </w:rPr>
      </w:pPr>
      <w:r w:rsidRPr="0043378E">
        <w:rPr>
          <w:i/>
          <w:iCs/>
          <w:lang w:val="en-CA"/>
        </w:rPr>
        <w:t xml:space="preserve">These statements involve known and unknown risks, uncertainties and other factors, which may cause actual results, performance or achievements to differ materially from those expressed or implied by such statements, including but not limited to: the Company's inability to carry out the </w:t>
      </w:r>
      <w:r w:rsidRPr="0043378E">
        <w:rPr>
          <w:i/>
          <w:iCs/>
          <w:lang w:val="en-CA"/>
        </w:rPr>
        <w:lastRenderedPageBreak/>
        <w:t xml:space="preserve">Offering as stated; </w:t>
      </w:r>
      <w:r>
        <w:rPr>
          <w:i/>
          <w:iCs/>
          <w:lang w:val="en-CA"/>
        </w:rPr>
        <w:t xml:space="preserve">and </w:t>
      </w:r>
      <w:r w:rsidRPr="0043378E">
        <w:rPr>
          <w:i/>
          <w:iCs/>
          <w:lang w:val="en-CA"/>
        </w:rPr>
        <w:t xml:space="preserve">the Company's inability to issue the Debentures, Warrants (and the underlying Warrant Shares if exercised), and Shares (if the Debentures are converted), as well </w:t>
      </w:r>
      <w:r w:rsidR="00055B26">
        <w:rPr>
          <w:i/>
          <w:iCs/>
          <w:lang w:val="en-CA"/>
        </w:rPr>
        <w:t>t</w:t>
      </w:r>
      <w:r w:rsidRPr="00E22F5C">
        <w:rPr>
          <w:i/>
          <w:iCs/>
          <w:lang w:val="en-CA"/>
        </w:rPr>
        <w:t xml:space="preserve">he reader is urged to refer to additional information relating to Quantum BioPharma, including its annual information form, can be located on the SEDAR+ website at www.sedarplus.ca and on the EDGAR section of the United States Securities and Exchange Commission’s website at </w:t>
      </w:r>
      <w:hyperlink r:id="rId13" w:history="1">
        <w:r w:rsidRPr="00E22F5C">
          <w:rPr>
            <w:rStyle w:val="Hyperlink"/>
            <w:i/>
            <w:iCs/>
            <w:lang w:val="en-CA"/>
          </w:rPr>
          <w:t>www.sec.gov</w:t>
        </w:r>
      </w:hyperlink>
      <w:r w:rsidRPr="00E22F5C">
        <w:rPr>
          <w:i/>
          <w:iCs/>
          <w:lang w:val="en-CA"/>
        </w:rPr>
        <w:t xml:space="preserve"> for a more complete discussion of such risk factors and their potential effects</w:t>
      </w:r>
      <w:r w:rsidR="00055B26">
        <w:rPr>
          <w:i/>
          <w:iCs/>
          <w:lang w:val="en-CA"/>
        </w:rPr>
        <w:t>.</w:t>
      </w:r>
    </w:p>
    <w:p w14:paraId="3F38F903" w14:textId="77777777" w:rsidR="0043378E" w:rsidRPr="0043378E" w:rsidRDefault="0043378E" w:rsidP="0043378E">
      <w:pPr>
        <w:ind w:firstLine="0"/>
        <w:rPr>
          <w:i/>
          <w:iCs/>
          <w:lang w:val="en-CA"/>
        </w:rPr>
      </w:pPr>
    </w:p>
    <w:p w14:paraId="10D2EF03" w14:textId="77777777" w:rsidR="0043378E" w:rsidRDefault="0043378E" w:rsidP="0043378E">
      <w:pPr>
        <w:ind w:firstLine="0"/>
        <w:rPr>
          <w:i/>
          <w:iCs/>
          <w:lang w:val="en-CA"/>
        </w:rPr>
      </w:pPr>
      <w:r w:rsidRPr="0043378E">
        <w:rPr>
          <w:i/>
          <w:iCs/>
          <w:lang w:val="en-CA"/>
        </w:rPr>
        <w:t>Readers are cautioned that the foregoing list is not exhaustive. Readers are further cautioned not to place undue reliance on forward-looking statements, as there can be no assurance that the plans, intentions or expectations upon which they are placed will occur. Such information, although considered reasonable by management at the time of preparation, may prove to be incorrect and actual results may differ materially from those anticipated.</w:t>
      </w:r>
    </w:p>
    <w:p w14:paraId="7A795099" w14:textId="77777777" w:rsidR="00055B26" w:rsidRPr="0043378E" w:rsidRDefault="00055B26" w:rsidP="0043378E">
      <w:pPr>
        <w:ind w:firstLine="0"/>
        <w:rPr>
          <w:i/>
          <w:iCs/>
          <w:lang w:val="en-CA"/>
        </w:rPr>
      </w:pPr>
    </w:p>
    <w:p w14:paraId="0727F3CD" w14:textId="77777777" w:rsidR="0043378E" w:rsidRPr="0043378E" w:rsidRDefault="0043378E" w:rsidP="0043378E">
      <w:pPr>
        <w:ind w:firstLine="0"/>
        <w:rPr>
          <w:i/>
          <w:iCs/>
          <w:lang w:val="en-CA"/>
        </w:rPr>
      </w:pPr>
      <w:r w:rsidRPr="0043378E">
        <w:rPr>
          <w:i/>
          <w:iCs/>
          <w:lang w:val="en-CA"/>
        </w:rPr>
        <w:t xml:space="preserve">Forward-looking statements contained in this press release are expressly qualified by this cautionary statement and reflect the Company's expectations as of the date hereof and are subject to change thereafter. The Company undertakes no obligation to update or revise any forward-looking statements, whether </w:t>
      </w:r>
      <w:proofErr w:type="gramStart"/>
      <w:r w:rsidRPr="0043378E">
        <w:rPr>
          <w:i/>
          <w:iCs/>
          <w:lang w:val="en-CA"/>
        </w:rPr>
        <w:t>as a result of</w:t>
      </w:r>
      <w:proofErr w:type="gramEnd"/>
      <w:r w:rsidRPr="0043378E">
        <w:rPr>
          <w:i/>
          <w:iCs/>
          <w:lang w:val="en-CA"/>
        </w:rPr>
        <w:t xml:space="preserve"> new information, estimates or opinions, future events or results or otherwise or to explain any material difference between subsequent actual events and such forward- looking information, except as required by applicable law.</w:t>
      </w:r>
    </w:p>
    <w:p w14:paraId="5CEC31C8" w14:textId="77777777" w:rsidR="0043378E" w:rsidRDefault="0043378E" w:rsidP="00E22F5C">
      <w:pPr>
        <w:ind w:firstLine="0"/>
        <w:rPr>
          <w:i/>
          <w:iCs/>
          <w:lang w:val="en-CA"/>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4"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15" w:history="1">
        <w:r w:rsidR="00156EBD" w:rsidRPr="001A4655">
          <w:rPr>
            <w:rStyle w:val="Hyperlink"/>
          </w:rPr>
          <w:t>ir@quantumbiopharma.com</w:t>
        </w:r>
      </w:hyperlink>
      <w:r w:rsidRPr="00CC5E6A">
        <w:t xml:space="preserve">, </w:t>
      </w:r>
      <w:hyperlink r:id="rId16"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17" w:history="1">
        <w:r w:rsidR="003C2FA8" w:rsidRPr="001A4655">
          <w:rPr>
            <w:rStyle w:val="Hyperlink"/>
          </w:rPr>
          <w:t>www.quantumbiopharma.com</w:t>
        </w:r>
      </w:hyperlink>
      <w:r w:rsidR="002B032C">
        <w:t xml:space="preserve"> </w:t>
      </w:r>
    </w:p>
    <w:sectPr w:rsidR="00F21191">
      <w:footerReference w:type="even"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C15A4E" w14:textId="77777777" w:rsidR="00AC53F9" w:rsidRDefault="00AC53F9">
      <w:r>
        <w:separator/>
      </w:r>
    </w:p>
  </w:endnote>
  <w:endnote w:type="continuationSeparator" w:id="0">
    <w:p w14:paraId="0937D003" w14:textId="77777777" w:rsidR="00AC53F9" w:rsidRDefault="00AC53F9">
      <w:r>
        <w:continuationSeparator/>
      </w:r>
    </w:p>
  </w:endnote>
  <w:endnote w:type="continuationNotice" w:id="1">
    <w:p w14:paraId="04EC9EF9" w14:textId="77777777" w:rsidR="00AC53F9" w:rsidRDefault="00AC53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FBD7CB" w14:textId="77777777" w:rsidR="00AC53F9" w:rsidRDefault="00AC53F9">
      <w:r>
        <w:separator/>
      </w:r>
    </w:p>
  </w:footnote>
  <w:footnote w:type="continuationSeparator" w:id="0">
    <w:p w14:paraId="1B6E5BC2" w14:textId="77777777" w:rsidR="00AC53F9" w:rsidRDefault="00AC53F9">
      <w:r>
        <w:continuationSeparator/>
      </w:r>
    </w:p>
  </w:footnote>
  <w:footnote w:type="continuationNotice" w:id="1">
    <w:p w14:paraId="176D03EA" w14:textId="77777777" w:rsidR="00AC53F9" w:rsidRDefault="00AC53F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6D9E"/>
    <w:rsid w:val="000178B2"/>
    <w:rsid w:val="0002180C"/>
    <w:rsid w:val="0002279A"/>
    <w:rsid w:val="00022A51"/>
    <w:rsid w:val="000255D3"/>
    <w:rsid w:val="00025918"/>
    <w:rsid w:val="00025C2C"/>
    <w:rsid w:val="00031F7C"/>
    <w:rsid w:val="0003248F"/>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5B26"/>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089D"/>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A7445"/>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E0A40"/>
    <w:rsid w:val="000E46C5"/>
    <w:rsid w:val="000E4BBC"/>
    <w:rsid w:val="000F5A7B"/>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4CB"/>
    <w:rsid w:val="001268EB"/>
    <w:rsid w:val="00127F3F"/>
    <w:rsid w:val="00130B0D"/>
    <w:rsid w:val="00130DDF"/>
    <w:rsid w:val="001315D0"/>
    <w:rsid w:val="0013243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3C27"/>
    <w:rsid w:val="001A492D"/>
    <w:rsid w:val="001A4FF0"/>
    <w:rsid w:val="001B3018"/>
    <w:rsid w:val="001B42F6"/>
    <w:rsid w:val="001B4BEB"/>
    <w:rsid w:val="001B5FAD"/>
    <w:rsid w:val="001B776B"/>
    <w:rsid w:val="001B7E7A"/>
    <w:rsid w:val="001C1C33"/>
    <w:rsid w:val="001C2AF0"/>
    <w:rsid w:val="001C319F"/>
    <w:rsid w:val="001C3B7B"/>
    <w:rsid w:val="001C5EEB"/>
    <w:rsid w:val="001C60C6"/>
    <w:rsid w:val="001C632A"/>
    <w:rsid w:val="001C66E4"/>
    <w:rsid w:val="001D134B"/>
    <w:rsid w:val="001D1A62"/>
    <w:rsid w:val="001D33A1"/>
    <w:rsid w:val="001D5114"/>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5A52"/>
    <w:rsid w:val="00206039"/>
    <w:rsid w:val="00207360"/>
    <w:rsid w:val="002106D9"/>
    <w:rsid w:val="002110CB"/>
    <w:rsid w:val="00211C1B"/>
    <w:rsid w:val="0021441F"/>
    <w:rsid w:val="00223FF3"/>
    <w:rsid w:val="00225973"/>
    <w:rsid w:val="00226CCE"/>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87E0F"/>
    <w:rsid w:val="00292165"/>
    <w:rsid w:val="002924FC"/>
    <w:rsid w:val="00293E24"/>
    <w:rsid w:val="00293E54"/>
    <w:rsid w:val="0029656B"/>
    <w:rsid w:val="002A05FE"/>
    <w:rsid w:val="002A1552"/>
    <w:rsid w:val="002A1F03"/>
    <w:rsid w:val="002A3A5F"/>
    <w:rsid w:val="002A3BC0"/>
    <w:rsid w:val="002A48F7"/>
    <w:rsid w:val="002A7F61"/>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3895"/>
    <w:rsid w:val="00355E45"/>
    <w:rsid w:val="00362934"/>
    <w:rsid w:val="003653D6"/>
    <w:rsid w:val="00366E92"/>
    <w:rsid w:val="0036725A"/>
    <w:rsid w:val="003711AE"/>
    <w:rsid w:val="00373D83"/>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386B"/>
    <w:rsid w:val="003B503D"/>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6BB"/>
    <w:rsid w:val="0042748A"/>
    <w:rsid w:val="00433148"/>
    <w:rsid w:val="004331A8"/>
    <w:rsid w:val="0043378E"/>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6664"/>
    <w:rsid w:val="004908E0"/>
    <w:rsid w:val="00490F86"/>
    <w:rsid w:val="004913B0"/>
    <w:rsid w:val="00491602"/>
    <w:rsid w:val="00493978"/>
    <w:rsid w:val="004A09A0"/>
    <w:rsid w:val="004A2236"/>
    <w:rsid w:val="004A2C6A"/>
    <w:rsid w:val="004A7496"/>
    <w:rsid w:val="004B0D10"/>
    <w:rsid w:val="004B0E41"/>
    <w:rsid w:val="004B181D"/>
    <w:rsid w:val="004B2146"/>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1EAA"/>
    <w:rsid w:val="004E24B6"/>
    <w:rsid w:val="004E31E2"/>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679E"/>
    <w:rsid w:val="00521869"/>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3A33"/>
    <w:rsid w:val="00563E5F"/>
    <w:rsid w:val="00564040"/>
    <w:rsid w:val="0056417E"/>
    <w:rsid w:val="00565366"/>
    <w:rsid w:val="0056672C"/>
    <w:rsid w:val="00566F5C"/>
    <w:rsid w:val="00576234"/>
    <w:rsid w:val="005804E9"/>
    <w:rsid w:val="0058235F"/>
    <w:rsid w:val="00584AA4"/>
    <w:rsid w:val="00585E27"/>
    <w:rsid w:val="00586699"/>
    <w:rsid w:val="00586CDF"/>
    <w:rsid w:val="00587881"/>
    <w:rsid w:val="005907BC"/>
    <w:rsid w:val="005918EC"/>
    <w:rsid w:val="00591F13"/>
    <w:rsid w:val="00593122"/>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4B5"/>
    <w:rsid w:val="005E0DE9"/>
    <w:rsid w:val="005E3925"/>
    <w:rsid w:val="005E45C0"/>
    <w:rsid w:val="005E6FDE"/>
    <w:rsid w:val="005E7378"/>
    <w:rsid w:val="005F3928"/>
    <w:rsid w:val="005F6C0A"/>
    <w:rsid w:val="006011A0"/>
    <w:rsid w:val="0060187D"/>
    <w:rsid w:val="00601DDB"/>
    <w:rsid w:val="00602D50"/>
    <w:rsid w:val="00603B39"/>
    <w:rsid w:val="0060570E"/>
    <w:rsid w:val="00610BAA"/>
    <w:rsid w:val="00610D02"/>
    <w:rsid w:val="0061318A"/>
    <w:rsid w:val="00615699"/>
    <w:rsid w:val="006168C7"/>
    <w:rsid w:val="00620B2B"/>
    <w:rsid w:val="00621164"/>
    <w:rsid w:val="006225CC"/>
    <w:rsid w:val="0062326E"/>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47FAC"/>
    <w:rsid w:val="0065037C"/>
    <w:rsid w:val="00654993"/>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17B7"/>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B0911"/>
    <w:rsid w:val="006B0E78"/>
    <w:rsid w:val="006B1C08"/>
    <w:rsid w:val="006B3238"/>
    <w:rsid w:val="006B69CA"/>
    <w:rsid w:val="006C0224"/>
    <w:rsid w:val="006C2013"/>
    <w:rsid w:val="006C307F"/>
    <w:rsid w:val="006C6D76"/>
    <w:rsid w:val="006C6E21"/>
    <w:rsid w:val="006D059A"/>
    <w:rsid w:val="006D4C95"/>
    <w:rsid w:val="006D4FA6"/>
    <w:rsid w:val="006D7D2D"/>
    <w:rsid w:val="006E0A77"/>
    <w:rsid w:val="006E2476"/>
    <w:rsid w:val="006E2E3A"/>
    <w:rsid w:val="006E6BA6"/>
    <w:rsid w:val="006F1858"/>
    <w:rsid w:val="006F2E46"/>
    <w:rsid w:val="006F301F"/>
    <w:rsid w:val="006F39C8"/>
    <w:rsid w:val="007004DD"/>
    <w:rsid w:val="0070168B"/>
    <w:rsid w:val="00701855"/>
    <w:rsid w:val="007050DC"/>
    <w:rsid w:val="00706D76"/>
    <w:rsid w:val="00706E9A"/>
    <w:rsid w:val="00707B88"/>
    <w:rsid w:val="00707FBD"/>
    <w:rsid w:val="00710ECA"/>
    <w:rsid w:val="00713607"/>
    <w:rsid w:val="00720478"/>
    <w:rsid w:val="0072061E"/>
    <w:rsid w:val="00722721"/>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0C"/>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578F7"/>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44F"/>
    <w:rsid w:val="008D6DD7"/>
    <w:rsid w:val="008D79C6"/>
    <w:rsid w:val="008E0121"/>
    <w:rsid w:val="008E0FC6"/>
    <w:rsid w:val="008E2F7E"/>
    <w:rsid w:val="008E4490"/>
    <w:rsid w:val="008E489E"/>
    <w:rsid w:val="008F0175"/>
    <w:rsid w:val="008F0533"/>
    <w:rsid w:val="008F1935"/>
    <w:rsid w:val="008F19BE"/>
    <w:rsid w:val="008F2AC5"/>
    <w:rsid w:val="008F3831"/>
    <w:rsid w:val="008F7409"/>
    <w:rsid w:val="008F7F2D"/>
    <w:rsid w:val="00900A17"/>
    <w:rsid w:val="00901BCF"/>
    <w:rsid w:val="009022FC"/>
    <w:rsid w:val="00905030"/>
    <w:rsid w:val="00905082"/>
    <w:rsid w:val="00905865"/>
    <w:rsid w:val="009059DD"/>
    <w:rsid w:val="00905D81"/>
    <w:rsid w:val="00907570"/>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817B2"/>
    <w:rsid w:val="00984A17"/>
    <w:rsid w:val="00987752"/>
    <w:rsid w:val="00990010"/>
    <w:rsid w:val="00990957"/>
    <w:rsid w:val="00992F1E"/>
    <w:rsid w:val="009937C0"/>
    <w:rsid w:val="009967C8"/>
    <w:rsid w:val="00996970"/>
    <w:rsid w:val="009970E5"/>
    <w:rsid w:val="0099764A"/>
    <w:rsid w:val="00997A28"/>
    <w:rsid w:val="009A07A2"/>
    <w:rsid w:val="009A108C"/>
    <w:rsid w:val="009A1601"/>
    <w:rsid w:val="009A30B6"/>
    <w:rsid w:val="009A424F"/>
    <w:rsid w:val="009A4331"/>
    <w:rsid w:val="009A5254"/>
    <w:rsid w:val="009A5316"/>
    <w:rsid w:val="009A68DC"/>
    <w:rsid w:val="009A7460"/>
    <w:rsid w:val="009A7CB1"/>
    <w:rsid w:val="009B1DFC"/>
    <w:rsid w:val="009B2553"/>
    <w:rsid w:val="009B5A4D"/>
    <w:rsid w:val="009B60EC"/>
    <w:rsid w:val="009C1A14"/>
    <w:rsid w:val="009C1FF9"/>
    <w:rsid w:val="009C26E6"/>
    <w:rsid w:val="009C3168"/>
    <w:rsid w:val="009C4584"/>
    <w:rsid w:val="009C7B01"/>
    <w:rsid w:val="009D09F5"/>
    <w:rsid w:val="009D217A"/>
    <w:rsid w:val="009D2803"/>
    <w:rsid w:val="009D2830"/>
    <w:rsid w:val="009D3485"/>
    <w:rsid w:val="009D3688"/>
    <w:rsid w:val="009D793C"/>
    <w:rsid w:val="009D7E77"/>
    <w:rsid w:val="009E1E53"/>
    <w:rsid w:val="009E1FE1"/>
    <w:rsid w:val="009E34FE"/>
    <w:rsid w:val="009E48A8"/>
    <w:rsid w:val="009E500B"/>
    <w:rsid w:val="009E64A6"/>
    <w:rsid w:val="009F0528"/>
    <w:rsid w:val="009F0863"/>
    <w:rsid w:val="009F1149"/>
    <w:rsid w:val="009F2475"/>
    <w:rsid w:val="009F709F"/>
    <w:rsid w:val="00A0305B"/>
    <w:rsid w:val="00A03392"/>
    <w:rsid w:val="00A035C0"/>
    <w:rsid w:val="00A049D9"/>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47717"/>
    <w:rsid w:val="00A50531"/>
    <w:rsid w:val="00A5152A"/>
    <w:rsid w:val="00A51FF8"/>
    <w:rsid w:val="00A52D5C"/>
    <w:rsid w:val="00A53BF3"/>
    <w:rsid w:val="00A54B7D"/>
    <w:rsid w:val="00A5653C"/>
    <w:rsid w:val="00A5659C"/>
    <w:rsid w:val="00A618C8"/>
    <w:rsid w:val="00A668DA"/>
    <w:rsid w:val="00A66917"/>
    <w:rsid w:val="00A70118"/>
    <w:rsid w:val="00A75BDB"/>
    <w:rsid w:val="00A80393"/>
    <w:rsid w:val="00A8070A"/>
    <w:rsid w:val="00A83857"/>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53F9"/>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2C2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5F4E"/>
    <w:rsid w:val="00BD66BF"/>
    <w:rsid w:val="00BD7C0A"/>
    <w:rsid w:val="00BE2A02"/>
    <w:rsid w:val="00BE2EF7"/>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2BA"/>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70C"/>
    <w:rsid w:val="00CA7C60"/>
    <w:rsid w:val="00CB0287"/>
    <w:rsid w:val="00CB0D8D"/>
    <w:rsid w:val="00CB366F"/>
    <w:rsid w:val="00CB74D6"/>
    <w:rsid w:val="00CB767A"/>
    <w:rsid w:val="00CC112D"/>
    <w:rsid w:val="00CC2F3D"/>
    <w:rsid w:val="00CC2FD2"/>
    <w:rsid w:val="00CC5E6A"/>
    <w:rsid w:val="00CC6B62"/>
    <w:rsid w:val="00CC7614"/>
    <w:rsid w:val="00CD2C1C"/>
    <w:rsid w:val="00CD4A31"/>
    <w:rsid w:val="00CD74FD"/>
    <w:rsid w:val="00CE35EB"/>
    <w:rsid w:val="00CE5F64"/>
    <w:rsid w:val="00CE70EA"/>
    <w:rsid w:val="00CF0545"/>
    <w:rsid w:val="00CF4303"/>
    <w:rsid w:val="00CF6CBA"/>
    <w:rsid w:val="00D00565"/>
    <w:rsid w:val="00D01F46"/>
    <w:rsid w:val="00D0408E"/>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3249"/>
    <w:rsid w:val="00DA28EF"/>
    <w:rsid w:val="00DA3394"/>
    <w:rsid w:val="00DA5A3D"/>
    <w:rsid w:val="00DA6430"/>
    <w:rsid w:val="00DA6DF6"/>
    <w:rsid w:val="00DA756B"/>
    <w:rsid w:val="00DB0F5E"/>
    <w:rsid w:val="00DB507D"/>
    <w:rsid w:val="00DB61CD"/>
    <w:rsid w:val="00DB7278"/>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12"/>
    <w:rsid w:val="00E01A42"/>
    <w:rsid w:val="00E01D0D"/>
    <w:rsid w:val="00E033B1"/>
    <w:rsid w:val="00E04EE3"/>
    <w:rsid w:val="00E108D0"/>
    <w:rsid w:val="00E1178E"/>
    <w:rsid w:val="00E14A5B"/>
    <w:rsid w:val="00E14C89"/>
    <w:rsid w:val="00E1758C"/>
    <w:rsid w:val="00E207C6"/>
    <w:rsid w:val="00E212A3"/>
    <w:rsid w:val="00E22F5C"/>
    <w:rsid w:val="00E233AC"/>
    <w:rsid w:val="00E25163"/>
    <w:rsid w:val="00E27E74"/>
    <w:rsid w:val="00E27F2F"/>
    <w:rsid w:val="00E317A5"/>
    <w:rsid w:val="00E32B9B"/>
    <w:rsid w:val="00E32E05"/>
    <w:rsid w:val="00E32F32"/>
    <w:rsid w:val="00E36999"/>
    <w:rsid w:val="00E3722E"/>
    <w:rsid w:val="00E37C7D"/>
    <w:rsid w:val="00E41BBA"/>
    <w:rsid w:val="00E43030"/>
    <w:rsid w:val="00E4352F"/>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5564"/>
    <w:rsid w:val="00E7723B"/>
    <w:rsid w:val="00E832F3"/>
    <w:rsid w:val="00E840D4"/>
    <w:rsid w:val="00E8673B"/>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81994"/>
    <w:rsid w:val="00F82FA5"/>
    <w:rsid w:val="00F85542"/>
    <w:rsid w:val="00F85A4B"/>
    <w:rsid w:val="00F85EBD"/>
    <w:rsid w:val="00F8627D"/>
    <w:rsid w:val="00F86761"/>
    <w:rsid w:val="00F87CD8"/>
    <w:rsid w:val="00F93814"/>
    <w:rsid w:val="00F94295"/>
    <w:rsid w:val="00FA0184"/>
    <w:rsid w:val="00FA1DCA"/>
    <w:rsid w:val="00FA3903"/>
    <w:rsid w:val="00FA3A0C"/>
    <w:rsid w:val="00FA4D1C"/>
    <w:rsid w:val="00FA5128"/>
    <w:rsid w:val="00FA7E46"/>
    <w:rsid w:val="00FB1003"/>
    <w:rsid w:val="00FB6009"/>
    <w:rsid w:val="00FB6620"/>
    <w:rsid w:val="00FB6713"/>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118384234">
      <w:bodyDiv w:val="1"/>
      <w:marLeft w:val="0"/>
      <w:marRight w:val="0"/>
      <w:marTop w:val="0"/>
      <w:marBottom w:val="0"/>
      <w:divBdr>
        <w:top w:val="none" w:sz="0" w:space="0" w:color="auto"/>
        <w:left w:val="none" w:sz="0" w:space="0" w:color="auto"/>
        <w:bottom w:val="none" w:sz="0" w:space="0" w:color="auto"/>
        <w:right w:val="none" w:sz="0" w:space="0" w:color="auto"/>
      </w:divBdr>
    </w:div>
    <w:div w:id="243032011">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977954345">
      <w:bodyDiv w:val="1"/>
      <w:marLeft w:val="0"/>
      <w:marRight w:val="0"/>
      <w:marTop w:val="0"/>
      <w:marBottom w:val="0"/>
      <w:divBdr>
        <w:top w:val="none" w:sz="0" w:space="0" w:color="auto"/>
        <w:left w:val="none" w:sz="0" w:space="0" w:color="auto"/>
        <w:bottom w:val="none" w:sz="0" w:space="0" w:color="auto"/>
        <w:right w:val="none" w:sz="0" w:space="0" w:color="auto"/>
      </w:divBdr>
    </w:div>
    <w:div w:id="1561403565">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1915820745">
      <w:bodyDiv w:val="1"/>
      <w:marLeft w:val="0"/>
      <w:marRight w:val="0"/>
      <w:marTop w:val="0"/>
      <w:marBottom w:val="0"/>
      <w:divBdr>
        <w:top w:val="none" w:sz="0" w:space="0" w:color="auto"/>
        <w:left w:val="none" w:sz="0" w:space="0" w:color="auto"/>
        <w:bottom w:val="none" w:sz="0" w:space="0" w:color="auto"/>
        <w:right w:val="none" w:sz="0" w:space="0" w:color="auto"/>
      </w:divBdr>
    </w:div>
    <w:div w:id="1991204386">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go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report/fv2" TargetMode="External"/><Relationship Id="rId17" Type="http://schemas.openxmlformats.org/officeDocument/2006/relationships/hyperlink" Target="http://www.quantumbiopharma.com" TargetMode="External"/><Relationship Id="rId2" Type="http://schemas.openxmlformats.org/officeDocument/2006/relationships/customXml" Target="../customXml/item2.xml"/><Relationship Id="rId16" Type="http://schemas.openxmlformats.org/officeDocument/2006/relationships/hyperlink" Target="mailto:info@quantumbiopharma.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r@quantumbiopharma.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saeed@quantumbio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2.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4.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1223</Words>
  <Characters>6972</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8179</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2</cp:revision>
  <cp:lastPrinted>1900-01-01T05:00:00Z</cp:lastPrinted>
  <dcterms:created xsi:type="dcterms:W3CDTF">2024-12-04T21:41:00Z</dcterms:created>
  <dcterms:modified xsi:type="dcterms:W3CDTF">2024-12-04T21:41:00Z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