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slozsn1ojylb" w:colFirst="0" w:colLast="0"/>
    <w:bookmarkEnd w:id="0"/>
    <w:p w14:paraId="2A9476C6" w14:textId="77777777" w:rsidR="00070CC4" w:rsidRDefault="00D75D25">
      <w:pPr>
        <w:pStyle w:val="Heading1"/>
        <w:keepNext w:val="0"/>
        <w:keepLines w:val="0"/>
        <w:spacing w:before="0" w:after="160" w:line="264" w:lineRule="auto"/>
        <w:jc w:val="center"/>
        <w:rPr>
          <w:color w:val="424242"/>
          <w:sz w:val="46"/>
          <w:szCs w:val="46"/>
        </w:rPr>
      </w:pPr>
      <w:r>
        <w:fldChar w:fldCharType="begin"/>
      </w:r>
      <w:r>
        <w:instrText xml:space="preserve"> HYPERLINK "https://innovativegx.com/" \h </w:instrText>
      </w:r>
      <w:r>
        <w:fldChar w:fldCharType="separate"/>
      </w:r>
      <w:r>
        <w:rPr>
          <w:noProof/>
          <w:color w:val="1155CC"/>
          <w:sz w:val="22"/>
          <w:szCs w:val="22"/>
          <w:u w:val="single"/>
        </w:rPr>
        <w:drawing>
          <wp:inline distT="114300" distB="114300" distL="114300" distR="114300" wp14:anchorId="5D9D8CF5" wp14:editId="00357949">
            <wp:extent cx="4643438" cy="16192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4643438" cy="1619250"/>
                    </a:xfrm>
                    <a:prstGeom prst="rect">
                      <a:avLst/>
                    </a:prstGeom>
                    <a:ln/>
                  </pic:spPr>
                </pic:pic>
              </a:graphicData>
            </a:graphic>
          </wp:inline>
        </w:drawing>
      </w:r>
      <w:r>
        <w:rPr>
          <w:noProof/>
          <w:color w:val="1155CC"/>
          <w:sz w:val="22"/>
          <w:szCs w:val="22"/>
          <w:u w:val="single"/>
        </w:rPr>
        <w:fldChar w:fldCharType="end"/>
      </w:r>
      <w:r>
        <w:rPr>
          <w:color w:val="424242"/>
          <w:sz w:val="46"/>
          <w:szCs w:val="46"/>
        </w:rPr>
        <w:t>InnovativeGx Laboratories Announce the Grand Opening of its Molecular Diagnostic Laboratory in Texas</w:t>
      </w:r>
    </w:p>
    <w:p w14:paraId="1C9D4846" w14:textId="77777777" w:rsidR="00070CC4" w:rsidRDefault="00070CC4"/>
    <w:p w14:paraId="58EA5DB3" w14:textId="77777777" w:rsidR="00070CC4" w:rsidRDefault="00D75D25">
      <w:pPr>
        <w:spacing w:line="360" w:lineRule="auto"/>
        <w:rPr>
          <w:rFonts w:ascii="Roboto" w:eastAsia="Roboto" w:hAnsi="Roboto" w:cs="Roboto"/>
          <w:sz w:val="24"/>
          <w:szCs w:val="24"/>
        </w:rPr>
      </w:pPr>
      <w:r>
        <w:rPr>
          <w:rFonts w:ascii="Roboto" w:eastAsia="Roboto" w:hAnsi="Roboto" w:cs="Roboto"/>
          <w:sz w:val="24"/>
          <w:szCs w:val="24"/>
        </w:rPr>
        <w:t>InnovativeGx</w:t>
      </w:r>
      <w:r>
        <w:rPr>
          <w:rFonts w:ascii="Roboto" w:eastAsia="Roboto" w:hAnsi="Roboto" w:cs="Roboto"/>
          <w:sz w:val="24"/>
          <w:szCs w:val="24"/>
        </w:rPr>
        <w:t xml:space="preserve"> Laboratories, a Texas-based molecular diagnostic company, is announcing the grand opening of its central testing laboratory in San Antonio, Texas on October 1, 2020. InnovativeGx specializes in molecular diagnosis using real-time RT PCR and DNA sequencing</w:t>
      </w:r>
      <w:r>
        <w:rPr>
          <w:rFonts w:ascii="Roboto" w:eastAsia="Roboto" w:hAnsi="Roboto" w:cs="Roboto"/>
          <w:sz w:val="24"/>
          <w:szCs w:val="24"/>
        </w:rPr>
        <w:t xml:space="preserve"> in many medical areas. The company is a leader in personalized medical solutions such as Respiratory Pathogens, Infectious Disease, COVID-19, and DNA-based Pharmacogenetic (PGx) testing services delivering genetic-based treatment of patient care.</w:t>
      </w:r>
    </w:p>
    <w:p w14:paraId="321985AD" w14:textId="77777777" w:rsidR="00070CC4" w:rsidRDefault="00070CC4">
      <w:pPr>
        <w:spacing w:line="360" w:lineRule="auto"/>
        <w:rPr>
          <w:rFonts w:ascii="Roboto" w:eastAsia="Roboto" w:hAnsi="Roboto" w:cs="Roboto"/>
          <w:sz w:val="24"/>
          <w:szCs w:val="24"/>
        </w:rPr>
      </w:pPr>
    </w:p>
    <w:p w14:paraId="182A1C09" w14:textId="497BA9F9" w:rsidR="00070CC4" w:rsidRDefault="00D75D25">
      <w:pPr>
        <w:spacing w:line="360" w:lineRule="auto"/>
        <w:rPr>
          <w:rFonts w:ascii="Roboto" w:eastAsia="Roboto" w:hAnsi="Roboto" w:cs="Roboto"/>
          <w:sz w:val="24"/>
          <w:szCs w:val="24"/>
        </w:rPr>
      </w:pPr>
      <w:r>
        <w:rPr>
          <w:rFonts w:ascii="Roboto" w:eastAsia="Roboto" w:hAnsi="Roboto" w:cs="Roboto"/>
          <w:sz w:val="24"/>
          <w:szCs w:val="24"/>
        </w:rPr>
        <w:t>Innovat</w:t>
      </w:r>
      <w:r>
        <w:rPr>
          <w:rFonts w:ascii="Roboto" w:eastAsia="Roboto" w:hAnsi="Roboto" w:cs="Roboto"/>
          <w:sz w:val="24"/>
          <w:szCs w:val="24"/>
        </w:rPr>
        <w:t xml:space="preserve">iveGx Laboratories was founded in 2019, by a team of career, medical diagnostic scientists with a combined 30+ years of </w:t>
      </w:r>
      <w:r>
        <w:rPr>
          <w:rFonts w:ascii="Roboto" w:eastAsia="Roboto" w:hAnsi="Roboto" w:cs="Roboto"/>
          <w:sz w:val="24"/>
          <w:szCs w:val="24"/>
        </w:rPr>
        <w:t>experience. Their scientific team is dedicated to providing the highest quality clinical testing services to help people reach the best hea</w:t>
      </w:r>
      <w:r>
        <w:rPr>
          <w:rFonts w:ascii="Roboto" w:eastAsia="Roboto" w:hAnsi="Roboto" w:cs="Roboto"/>
          <w:sz w:val="24"/>
          <w:szCs w:val="24"/>
        </w:rPr>
        <w:t>lth through personalized medicine. The company offers high accuracy testing, ship to home (reviewed by an independent physician)</w:t>
      </w:r>
      <w:r>
        <w:rPr>
          <w:rFonts w:ascii="Roboto" w:eastAsia="Roboto" w:hAnsi="Roboto" w:cs="Roboto"/>
          <w:sz w:val="24"/>
          <w:szCs w:val="24"/>
        </w:rPr>
        <w:t xml:space="preserve"> or B2B solutions, offering</w:t>
      </w:r>
      <w:r>
        <w:rPr>
          <w:rFonts w:ascii="Roboto" w:eastAsia="Roboto" w:hAnsi="Roboto" w:cs="Roboto"/>
          <w:sz w:val="24"/>
          <w:szCs w:val="24"/>
        </w:rPr>
        <w:t xml:space="preserve"> diagnostic kits, and rapid results (often delivered in as little as less than twenty-four hours) for its physicians, hospitals, and clinics it serves nationwide</w:t>
      </w:r>
      <w:r>
        <w:rPr>
          <w:rFonts w:ascii="Roboto" w:eastAsia="Roboto" w:hAnsi="Roboto" w:cs="Roboto"/>
          <w:sz w:val="24"/>
          <w:szCs w:val="24"/>
        </w:rPr>
        <w:t xml:space="preserve">. </w:t>
      </w:r>
    </w:p>
    <w:p w14:paraId="2282451C" w14:textId="77777777" w:rsidR="00070CC4" w:rsidRDefault="00070CC4">
      <w:pPr>
        <w:spacing w:line="360" w:lineRule="auto"/>
        <w:rPr>
          <w:rFonts w:ascii="Roboto" w:eastAsia="Roboto" w:hAnsi="Roboto" w:cs="Roboto"/>
          <w:sz w:val="24"/>
          <w:szCs w:val="24"/>
        </w:rPr>
      </w:pPr>
    </w:p>
    <w:p w14:paraId="7AA213B7" w14:textId="77777777" w:rsidR="00070CC4" w:rsidRDefault="00D75D25">
      <w:pPr>
        <w:spacing w:after="300" w:line="384" w:lineRule="auto"/>
        <w:rPr>
          <w:rFonts w:ascii="Roboto" w:eastAsia="Roboto" w:hAnsi="Roboto" w:cs="Roboto"/>
          <w:color w:val="333333"/>
          <w:sz w:val="24"/>
          <w:szCs w:val="24"/>
        </w:rPr>
      </w:pPr>
      <w:r>
        <w:rPr>
          <w:rFonts w:ascii="Roboto" w:eastAsia="Roboto" w:hAnsi="Roboto" w:cs="Roboto"/>
          <w:color w:val="333333"/>
          <w:sz w:val="24"/>
          <w:szCs w:val="24"/>
        </w:rPr>
        <w:t xml:space="preserve">InnovativeGx Laboratories provides one of the most comprehensive molecular testing options for physicians to help them accurately diagnose and treat many diseases through its targeted pharmacogenomic (PGx) panels. At present, InnovativeGx PGx </w:t>
      </w:r>
      <w:r>
        <w:rPr>
          <w:rFonts w:ascii="Roboto" w:eastAsia="Roboto" w:hAnsi="Roboto" w:cs="Roboto"/>
          <w:color w:val="333333"/>
          <w:sz w:val="24"/>
          <w:szCs w:val="24"/>
        </w:rPr>
        <w:lastRenderedPageBreak/>
        <w:t>panel</w:t>
      </w:r>
      <w:r>
        <w:rPr>
          <w:rFonts w:ascii="Roboto" w:eastAsia="Roboto" w:hAnsi="Roboto" w:cs="Roboto"/>
          <w:color w:val="333333"/>
          <w:sz w:val="24"/>
          <w:szCs w:val="24"/>
        </w:rPr>
        <w:t xml:space="preserve">s include medications commonly prescribed to treat cardiovascular disease, mental health, infectious disease, cancer, and adverse drug interactions and examines over sixty-two genes and two hundred gene variants.   </w:t>
      </w:r>
    </w:p>
    <w:p w14:paraId="36DB5DCD" w14:textId="5B6A5FDC" w:rsidR="00070CC4" w:rsidRDefault="00D75D25">
      <w:pPr>
        <w:spacing w:after="300" w:line="384" w:lineRule="auto"/>
        <w:rPr>
          <w:rFonts w:ascii="Roboto" w:eastAsia="Roboto" w:hAnsi="Roboto" w:cs="Roboto"/>
          <w:sz w:val="24"/>
          <w:szCs w:val="24"/>
        </w:rPr>
      </w:pPr>
      <w:r>
        <w:rPr>
          <w:rFonts w:ascii="Roboto" w:eastAsia="Roboto" w:hAnsi="Roboto" w:cs="Roboto"/>
          <w:color w:val="333333"/>
          <w:sz w:val="24"/>
          <w:szCs w:val="24"/>
        </w:rPr>
        <w:t>InnovativeGX Laboratories also specializ</w:t>
      </w:r>
      <w:r>
        <w:rPr>
          <w:rFonts w:ascii="Roboto" w:eastAsia="Roboto" w:hAnsi="Roboto" w:cs="Roboto"/>
          <w:color w:val="333333"/>
          <w:sz w:val="24"/>
          <w:szCs w:val="24"/>
        </w:rPr>
        <w:t xml:space="preserve">es in molecular testing of infectious disease, identification of a large range of respiratory pathogens, and RT PCR based COVID testing. </w:t>
      </w:r>
      <w:r>
        <w:rPr>
          <w:rFonts w:ascii="Roboto" w:eastAsia="Roboto" w:hAnsi="Roboto" w:cs="Roboto"/>
          <w:sz w:val="24"/>
          <w:szCs w:val="24"/>
        </w:rPr>
        <w:t>InnovativeGx RT PCR COVID-19 Test is considered the “gold standard” in COVID screening and has received FDA authorization for emergency use</w:t>
      </w:r>
      <w:r>
        <w:rPr>
          <w:rFonts w:ascii="Roboto" w:eastAsia="Roboto" w:hAnsi="Roboto" w:cs="Roboto"/>
          <w:sz w:val="24"/>
          <w:szCs w:val="24"/>
        </w:rPr>
        <w:t>. T</w:t>
      </w:r>
      <w:r>
        <w:rPr>
          <w:rFonts w:ascii="Roboto" w:eastAsia="Roboto" w:hAnsi="Roboto" w:cs="Roboto"/>
          <w:sz w:val="24"/>
          <w:szCs w:val="24"/>
        </w:rPr>
        <w:t>he test’s level of accuracy is much higher than antigen and antibody testing and</w:t>
      </w:r>
      <w:r>
        <w:rPr>
          <w:rFonts w:ascii="Roboto" w:eastAsia="Roboto" w:hAnsi="Roboto" w:cs="Roboto"/>
          <w:sz w:val="24"/>
          <w:szCs w:val="24"/>
        </w:rPr>
        <w:t xml:space="preserve"> attains 99% determination of virus present. </w:t>
      </w:r>
    </w:p>
    <w:p w14:paraId="18AA40F1" w14:textId="77777777" w:rsidR="00070CC4" w:rsidRDefault="00D75D25">
      <w:pPr>
        <w:spacing w:after="300" w:line="384" w:lineRule="auto"/>
        <w:rPr>
          <w:rFonts w:ascii="Roboto" w:eastAsia="Roboto" w:hAnsi="Roboto" w:cs="Roboto"/>
          <w:color w:val="3A3A3A"/>
          <w:sz w:val="24"/>
          <w:szCs w:val="24"/>
          <w:highlight w:val="white"/>
        </w:rPr>
      </w:pPr>
      <w:r>
        <w:rPr>
          <w:rFonts w:ascii="Roboto" w:eastAsia="Roboto" w:hAnsi="Roboto" w:cs="Roboto"/>
          <w:sz w:val="24"/>
          <w:szCs w:val="24"/>
        </w:rPr>
        <w:t>“Our team of scientists and physicians at InnovativeGx Laboratories work diligently to offer the most comprehensive testing panel</w:t>
      </w:r>
      <w:r>
        <w:rPr>
          <w:rFonts w:ascii="Roboto" w:eastAsia="Roboto" w:hAnsi="Roboto" w:cs="Roboto"/>
          <w:sz w:val="24"/>
          <w:szCs w:val="24"/>
        </w:rPr>
        <w:t>s for our hospitals, physicians, and patients,” said Enrique Perez-Paris, one of the co-founders of the company. He added, “</w:t>
      </w:r>
      <w:r>
        <w:rPr>
          <w:rFonts w:ascii="Roboto" w:eastAsia="Roboto" w:hAnsi="Roboto" w:cs="Roboto"/>
          <w:color w:val="3A3A3A"/>
          <w:sz w:val="24"/>
          <w:szCs w:val="24"/>
          <w:highlight w:val="white"/>
        </w:rPr>
        <w:t>Innovative Gx is much more than a business venture, it is my legacy, allowing the team at IG, to help others by providing precise he</w:t>
      </w:r>
      <w:r>
        <w:rPr>
          <w:rFonts w:ascii="Roboto" w:eastAsia="Roboto" w:hAnsi="Roboto" w:cs="Roboto"/>
          <w:color w:val="3A3A3A"/>
          <w:sz w:val="24"/>
          <w:szCs w:val="24"/>
          <w:highlight w:val="white"/>
        </w:rPr>
        <w:t>alth information in an accurate and timely manner.”</w:t>
      </w:r>
    </w:p>
    <w:p w14:paraId="568A0B42" w14:textId="77777777" w:rsidR="00070CC4" w:rsidRDefault="00D75D25">
      <w:pPr>
        <w:spacing w:after="300" w:line="384" w:lineRule="auto"/>
        <w:rPr>
          <w:rFonts w:ascii="Roboto" w:eastAsia="Roboto" w:hAnsi="Roboto" w:cs="Roboto"/>
          <w:sz w:val="24"/>
          <w:szCs w:val="24"/>
        </w:rPr>
      </w:pPr>
      <w:r>
        <w:rPr>
          <w:rFonts w:ascii="Roboto" w:eastAsia="Roboto" w:hAnsi="Roboto" w:cs="Roboto"/>
          <w:sz w:val="24"/>
          <w:szCs w:val="24"/>
        </w:rPr>
        <w:t>For more information about InnovativeGx Laboratories and details of their services, please visit them at:</w:t>
      </w:r>
    </w:p>
    <w:p w14:paraId="08DEB52D" w14:textId="77777777" w:rsidR="00070CC4" w:rsidRDefault="00D75D25">
      <w:pPr>
        <w:spacing w:after="300" w:line="240" w:lineRule="auto"/>
        <w:rPr>
          <w:rFonts w:ascii="Roboto" w:eastAsia="Roboto" w:hAnsi="Roboto" w:cs="Roboto"/>
          <w:b/>
          <w:sz w:val="24"/>
          <w:szCs w:val="24"/>
        </w:rPr>
      </w:pPr>
      <w:r>
        <w:rPr>
          <w:rFonts w:ascii="Roboto" w:eastAsia="Roboto" w:hAnsi="Roboto" w:cs="Roboto"/>
          <w:b/>
          <w:sz w:val="24"/>
          <w:szCs w:val="24"/>
        </w:rPr>
        <w:t>InnovativeGx Laboratories</w:t>
      </w:r>
    </w:p>
    <w:p w14:paraId="62D93CC9" w14:textId="77777777" w:rsidR="00070CC4" w:rsidRDefault="00D75D25">
      <w:pPr>
        <w:spacing w:after="300" w:line="240" w:lineRule="auto"/>
        <w:rPr>
          <w:rFonts w:ascii="Roboto" w:eastAsia="Roboto" w:hAnsi="Roboto" w:cs="Roboto"/>
          <w:sz w:val="24"/>
          <w:szCs w:val="24"/>
        </w:rPr>
      </w:pPr>
      <w:r>
        <w:rPr>
          <w:rFonts w:ascii="Roboto" w:eastAsia="Roboto" w:hAnsi="Roboto" w:cs="Roboto"/>
          <w:sz w:val="24"/>
          <w:szCs w:val="24"/>
        </w:rPr>
        <w:t>5410 Fredericksburg Road, Suite A304</w:t>
      </w:r>
    </w:p>
    <w:p w14:paraId="42FDE920" w14:textId="77777777" w:rsidR="00070CC4" w:rsidRDefault="00D75D25">
      <w:pPr>
        <w:spacing w:after="300" w:line="240" w:lineRule="auto"/>
        <w:rPr>
          <w:rFonts w:ascii="Roboto" w:eastAsia="Roboto" w:hAnsi="Roboto" w:cs="Roboto"/>
          <w:sz w:val="24"/>
          <w:szCs w:val="24"/>
        </w:rPr>
      </w:pPr>
      <w:r>
        <w:rPr>
          <w:rFonts w:ascii="Roboto" w:eastAsia="Roboto" w:hAnsi="Roboto" w:cs="Roboto"/>
          <w:sz w:val="24"/>
          <w:szCs w:val="24"/>
        </w:rPr>
        <w:t>San Antonio, Texas 78229</w:t>
      </w:r>
    </w:p>
    <w:p w14:paraId="21E53F01" w14:textId="77777777" w:rsidR="00070CC4" w:rsidRDefault="00D75D25">
      <w:pPr>
        <w:spacing w:after="300" w:line="240" w:lineRule="auto"/>
        <w:rPr>
          <w:rFonts w:ascii="Roboto" w:eastAsia="Roboto" w:hAnsi="Roboto" w:cs="Roboto"/>
          <w:sz w:val="24"/>
          <w:szCs w:val="24"/>
        </w:rPr>
      </w:pPr>
      <w:r>
        <w:rPr>
          <w:rFonts w:ascii="Roboto" w:eastAsia="Roboto" w:hAnsi="Roboto" w:cs="Roboto"/>
          <w:sz w:val="24"/>
          <w:szCs w:val="24"/>
        </w:rPr>
        <w:t xml:space="preserve">(866) 3PCR-DNA                  </w:t>
      </w:r>
    </w:p>
    <w:p w14:paraId="72AEBCB0" w14:textId="77777777" w:rsidR="00070CC4" w:rsidRDefault="00D75D25">
      <w:pPr>
        <w:spacing w:line="240" w:lineRule="auto"/>
        <w:rPr>
          <w:rFonts w:ascii="Roboto" w:eastAsia="Roboto" w:hAnsi="Roboto" w:cs="Roboto"/>
          <w:sz w:val="24"/>
          <w:szCs w:val="24"/>
        </w:rPr>
      </w:pPr>
      <w:r>
        <w:rPr>
          <w:rFonts w:ascii="Roboto" w:eastAsia="Roboto" w:hAnsi="Roboto" w:cs="Roboto"/>
          <w:sz w:val="24"/>
          <w:szCs w:val="24"/>
        </w:rPr>
        <w:t xml:space="preserve"> </w:t>
      </w:r>
      <w:hyperlink r:id="rId5">
        <w:r>
          <w:rPr>
            <w:rFonts w:ascii="Roboto" w:eastAsia="Roboto" w:hAnsi="Roboto" w:cs="Roboto"/>
            <w:color w:val="1155CC"/>
            <w:sz w:val="24"/>
            <w:szCs w:val="24"/>
            <w:u w:val="single"/>
          </w:rPr>
          <w:t>https://innovativegx.com</w:t>
        </w:r>
      </w:hyperlink>
      <w:r>
        <w:rPr>
          <w:rFonts w:ascii="Roboto" w:eastAsia="Roboto" w:hAnsi="Roboto" w:cs="Roboto"/>
          <w:sz w:val="24"/>
          <w:szCs w:val="24"/>
        </w:rPr>
        <w:t xml:space="preserve"> </w:t>
      </w:r>
    </w:p>
    <w:p w14:paraId="34899609" w14:textId="77777777" w:rsidR="00070CC4" w:rsidRDefault="00070CC4">
      <w:pPr>
        <w:rPr>
          <w:rFonts w:ascii="Roboto" w:eastAsia="Roboto" w:hAnsi="Roboto" w:cs="Roboto"/>
          <w:sz w:val="24"/>
          <w:szCs w:val="24"/>
        </w:rPr>
      </w:pPr>
    </w:p>
    <w:p w14:paraId="1D4DB8E7" w14:textId="77777777" w:rsidR="00070CC4" w:rsidRDefault="00D75D25">
      <w:pPr>
        <w:rPr>
          <w:rFonts w:ascii="Roboto" w:eastAsia="Roboto" w:hAnsi="Roboto" w:cs="Roboto"/>
          <w:sz w:val="24"/>
          <w:szCs w:val="24"/>
        </w:rPr>
      </w:pPr>
      <w:r>
        <w:rPr>
          <w:rFonts w:ascii="Roboto" w:eastAsia="Roboto" w:hAnsi="Roboto" w:cs="Roboto"/>
          <w:sz w:val="24"/>
          <w:szCs w:val="24"/>
        </w:rPr>
        <w:t>Corporate &amp; Fax</w:t>
      </w:r>
    </w:p>
    <w:p w14:paraId="49BB4365" w14:textId="77777777" w:rsidR="00070CC4" w:rsidRDefault="00D75D25">
      <w:pPr>
        <w:rPr>
          <w:rFonts w:ascii="Roboto" w:eastAsia="Roboto" w:hAnsi="Roboto" w:cs="Roboto"/>
          <w:sz w:val="24"/>
          <w:szCs w:val="24"/>
        </w:rPr>
      </w:pPr>
      <w:r>
        <w:rPr>
          <w:rFonts w:ascii="Roboto" w:eastAsia="Roboto" w:hAnsi="Roboto" w:cs="Roboto"/>
          <w:sz w:val="24"/>
          <w:szCs w:val="24"/>
        </w:rPr>
        <w:t>(210) 352-5175</w:t>
      </w:r>
    </w:p>
    <w:p w14:paraId="30154C7D" w14:textId="77777777" w:rsidR="00070CC4" w:rsidRDefault="00070CC4">
      <w:pPr>
        <w:rPr>
          <w:rFonts w:ascii="Roboto" w:eastAsia="Roboto" w:hAnsi="Roboto" w:cs="Roboto"/>
          <w:sz w:val="24"/>
          <w:szCs w:val="24"/>
        </w:rPr>
      </w:pPr>
    </w:p>
    <w:p w14:paraId="3C24263C" w14:textId="77777777" w:rsidR="00070CC4" w:rsidRDefault="00D75D25">
      <w:pPr>
        <w:rPr>
          <w:rFonts w:ascii="Roboto" w:eastAsia="Roboto" w:hAnsi="Roboto" w:cs="Roboto"/>
          <w:sz w:val="24"/>
          <w:szCs w:val="24"/>
        </w:rPr>
      </w:pPr>
      <w:r>
        <w:rPr>
          <w:rFonts w:ascii="Roboto" w:eastAsia="Roboto" w:hAnsi="Roboto" w:cs="Roboto"/>
          <w:sz w:val="24"/>
          <w:szCs w:val="24"/>
        </w:rPr>
        <w:lastRenderedPageBreak/>
        <w:t>Corporate Email</w:t>
      </w:r>
    </w:p>
    <w:p w14:paraId="51DBA8EF" w14:textId="77777777" w:rsidR="00070CC4" w:rsidRDefault="00D75D25">
      <w:pPr>
        <w:rPr>
          <w:rFonts w:ascii="Roboto" w:eastAsia="Roboto" w:hAnsi="Roboto" w:cs="Roboto"/>
          <w:sz w:val="24"/>
          <w:szCs w:val="24"/>
        </w:rPr>
      </w:pPr>
      <w:hyperlink r:id="rId6">
        <w:r>
          <w:rPr>
            <w:rFonts w:ascii="Roboto" w:eastAsia="Roboto" w:hAnsi="Roboto" w:cs="Roboto"/>
            <w:color w:val="1155CC"/>
            <w:sz w:val="24"/>
            <w:szCs w:val="24"/>
            <w:u w:val="single"/>
          </w:rPr>
          <w:t>ig@innovativegx.com</w:t>
        </w:r>
      </w:hyperlink>
    </w:p>
    <w:p w14:paraId="72ECAA32" w14:textId="77777777" w:rsidR="00070CC4" w:rsidRDefault="00070CC4">
      <w:pPr>
        <w:rPr>
          <w:rFonts w:ascii="Roboto" w:eastAsia="Roboto" w:hAnsi="Roboto" w:cs="Roboto"/>
          <w:sz w:val="24"/>
          <w:szCs w:val="24"/>
        </w:rPr>
      </w:pPr>
    </w:p>
    <w:p w14:paraId="7C4A240A" w14:textId="77777777" w:rsidR="00070CC4" w:rsidRDefault="00D75D25">
      <w:pPr>
        <w:rPr>
          <w:rFonts w:ascii="Roboto" w:eastAsia="Roboto" w:hAnsi="Roboto" w:cs="Roboto"/>
          <w:sz w:val="24"/>
          <w:szCs w:val="24"/>
        </w:rPr>
      </w:pPr>
      <w:r>
        <w:rPr>
          <w:rFonts w:ascii="Roboto" w:eastAsia="Roboto" w:hAnsi="Roboto" w:cs="Roboto"/>
          <w:sz w:val="24"/>
          <w:szCs w:val="24"/>
        </w:rPr>
        <w:t xml:space="preserve">Laboratory </w:t>
      </w:r>
      <w:r>
        <w:rPr>
          <w:rFonts w:ascii="Roboto" w:eastAsia="Roboto" w:hAnsi="Roboto" w:cs="Roboto"/>
          <w:sz w:val="24"/>
          <w:szCs w:val="24"/>
        </w:rPr>
        <w:t>Director</w:t>
      </w:r>
    </w:p>
    <w:p w14:paraId="435598C8" w14:textId="77777777" w:rsidR="00070CC4" w:rsidRDefault="00D75D25">
      <w:pPr>
        <w:rPr>
          <w:rFonts w:ascii="Roboto" w:eastAsia="Roboto" w:hAnsi="Roboto" w:cs="Roboto"/>
          <w:sz w:val="24"/>
          <w:szCs w:val="24"/>
        </w:rPr>
      </w:pPr>
      <w:hyperlink r:id="rId7">
        <w:r>
          <w:rPr>
            <w:rFonts w:ascii="Roboto" w:eastAsia="Roboto" w:hAnsi="Roboto" w:cs="Roboto"/>
            <w:color w:val="1155CC"/>
            <w:sz w:val="24"/>
            <w:szCs w:val="24"/>
            <w:u w:val="single"/>
          </w:rPr>
          <w:t>labdirector@innovativegx.com</w:t>
        </w:r>
      </w:hyperlink>
    </w:p>
    <w:p w14:paraId="45D301F4" w14:textId="77777777" w:rsidR="00070CC4" w:rsidRDefault="00070CC4">
      <w:pPr>
        <w:rPr>
          <w:rFonts w:ascii="Roboto" w:eastAsia="Roboto" w:hAnsi="Roboto" w:cs="Roboto"/>
          <w:sz w:val="24"/>
          <w:szCs w:val="24"/>
        </w:rPr>
      </w:pPr>
    </w:p>
    <w:p w14:paraId="4AFECA8D" w14:textId="77777777" w:rsidR="00070CC4" w:rsidRDefault="00D75D25">
      <w:pPr>
        <w:rPr>
          <w:rFonts w:ascii="Roboto" w:eastAsia="Roboto" w:hAnsi="Roboto" w:cs="Roboto"/>
          <w:sz w:val="24"/>
          <w:szCs w:val="24"/>
        </w:rPr>
      </w:pPr>
      <w:r>
        <w:rPr>
          <w:rFonts w:ascii="Roboto" w:eastAsia="Roboto" w:hAnsi="Roboto" w:cs="Roboto"/>
          <w:sz w:val="24"/>
          <w:szCs w:val="24"/>
        </w:rPr>
        <w:t>Client Services</w:t>
      </w:r>
    </w:p>
    <w:p w14:paraId="2BAD660E" w14:textId="77777777" w:rsidR="00070CC4" w:rsidRDefault="00D75D25">
      <w:pPr>
        <w:rPr>
          <w:rFonts w:ascii="Roboto" w:eastAsia="Roboto" w:hAnsi="Roboto" w:cs="Roboto"/>
          <w:sz w:val="24"/>
          <w:szCs w:val="24"/>
        </w:rPr>
      </w:pPr>
      <w:hyperlink r:id="rId8">
        <w:r>
          <w:rPr>
            <w:rFonts w:ascii="Roboto" w:eastAsia="Roboto" w:hAnsi="Roboto" w:cs="Roboto"/>
            <w:color w:val="1155CC"/>
            <w:sz w:val="24"/>
            <w:szCs w:val="24"/>
            <w:u w:val="single"/>
          </w:rPr>
          <w:t>support@innovativegx.com</w:t>
        </w:r>
      </w:hyperlink>
    </w:p>
    <w:p w14:paraId="3630F0F7" w14:textId="77777777" w:rsidR="00070CC4" w:rsidRDefault="00070CC4"/>
    <w:p w14:paraId="0E991152" w14:textId="77777777" w:rsidR="00070CC4" w:rsidRDefault="00070CC4"/>
    <w:p w14:paraId="213A253F" w14:textId="77777777" w:rsidR="00070CC4" w:rsidRDefault="00070CC4"/>
    <w:p w14:paraId="4EB3AD0A" w14:textId="77777777" w:rsidR="00070CC4" w:rsidRDefault="00070CC4">
      <w:pPr>
        <w:spacing w:after="300" w:line="384" w:lineRule="auto"/>
        <w:rPr>
          <w:rFonts w:ascii="Roboto" w:eastAsia="Roboto" w:hAnsi="Roboto" w:cs="Roboto"/>
          <w:sz w:val="24"/>
          <w:szCs w:val="24"/>
        </w:rPr>
      </w:pPr>
    </w:p>
    <w:p w14:paraId="5E023997" w14:textId="77777777" w:rsidR="00070CC4" w:rsidRDefault="00070CC4">
      <w:pPr>
        <w:spacing w:after="300" w:line="384" w:lineRule="auto"/>
        <w:rPr>
          <w:rFonts w:ascii="Roboto" w:eastAsia="Roboto" w:hAnsi="Roboto" w:cs="Roboto"/>
          <w:sz w:val="24"/>
          <w:szCs w:val="24"/>
        </w:rPr>
      </w:pPr>
    </w:p>
    <w:p w14:paraId="16683159" w14:textId="77777777" w:rsidR="00070CC4" w:rsidRDefault="00070CC4">
      <w:pPr>
        <w:spacing w:after="600" w:line="390" w:lineRule="auto"/>
        <w:ind w:left="720"/>
        <w:rPr>
          <w:rFonts w:ascii="Roboto" w:eastAsia="Roboto" w:hAnsi="Roboto" w:cs="Roboto"/>
          <w:color w:val="FFFFFF"/>
          <w:sz w:val="24"/>
          <w:szCs w:val="24"/>
        </w:rPr>
      </w:pPr>
    </w:p>
    <w:p w14:paraId="3639CE7E" w14:textId="77777777" w:rsidR="00070CC4" w:rsidRDefault="00070CC4">
      <w:pPr>
        <w:spacing w:after="300" w:line="384" w:lineRule="auto"/>
        <w:rPr>
          <w:rFonts w:ascii="Roboto" w:eastAsia="Roboto" w:hAnsi="Roboto" w:cs="Roboto"/>
          <w:sz w:val="24"/>
          <w:szCs w:val="24"/>
        </w:rPr>
      </w:pPr>
    </w:p>
    <w:p w14:paraId="62B38339" w14:textId="77777777" w:rsidR="00070CC4" w:rsidRDefault="00070CC4">
      <w:pPr>
        <w:spacing w:after="300" w:line="384" w:lineRule="auto"/>
        <w:rPr>
          <w:rFonts w:ascii="Roboto" w:eastAsia="Roboto" w:hAnsi="Roboto" w:cs="Roboto"/>
          <w:sz w:val="24"/>
          <w:szCs w:val="24"/>
        </w:rPr>
      </w:pPr>
    </w:p>
    <w:p w14:paraId="1BBE1E8A" w14:textId="77777777" w:rsidR="00070CC4" w:rsidRDefault="00070CC4">
      <w:pPr>
        <w:spacing w:after="300" w:line="384" w:lineRule="auto"/>
        <w:rPr>
          <w:rFonts w:ascii="Roboto" w:eastAsia="Roboto" w:hAnsi="Roboto" w:cs="Roboto"/>
          <w:sz w:val="24"/>
          <w:szCs w:val="24"/>
        </w:rPr>
      </w:pPr>
    </w:p>
    <w:p w14:paraId="67A65F22" w14:textId="77777777" w:rsidR="00070CC4" w:rsidRDefault="00070CC4">
      <w:pPr>
        <w:spacing w:after="300" w:line="384" w:lineRule="auto"/>
        <w:rPr>
          <w:rFonts w:ascii="Roboto" w:eastAsia="Roboto" w:hAnsi="Roboto" w:cs="Roboto"/>
          <w:sz w:val="24"/>
          <w:szCs w:val="24"/>
        </w:rPr>
      </w:pPr>
    </w:p>
    <w:p w14:paraId="749C94BC" w14:textId="77777777" w:rsidR="00070CC4" w:rsidRDefault="00070CC4">
      <w:pPr>
        <w:spacing w:after="300" w:line="384" w:lineRule="auto"/>
        <w:rPr>
          <w:rFonts w:ascii="Roboto" w:eastAsia="Roboto" w:hAnsi="Roboto" w:cs="Roboto"/>
          <w:sz w:val="24"/>
          <w:szCs w:val="24"/>
        </w:rPr>
      </w:pPr>
    </w:p>
    <w:p w14:paraId="3602D407" w14:textId="77777777" w:rsidR="00070CC4" w:rsidRDefault="00070CC4">
      <w:pPr>
        <w:spacing w:after="300" w:line="384" w:lineRule="auto"/>
        <w:rPr>
          <w:rFonts w:ascii="Roboto" w:eastAsia="Roboto" w:hAnsi="Roboto" w:cs="Roboto"/>
          <w:sz w:val="24"/>
          <w:szCs w:val="24"/>
        </w:rPr>
      </w:pPr>
    </w:p>
    <w:p w14:paraId="258CE164" w14:textId="77777777" w:rsidR="00070CC4" w:rsidRDefault="00070CC4">
      <w:pPr>
        <w:spacing w:line="360" w:lineRule="auto"/>
        <w:rPr>
          <w:rFonts w:ascii="Roboto" w:eastAsia="Roboto" w:hAnsi="Roboto" w:cs="Roboto"/>
          <w:sz w:val="24"/>
          <w:szCs w:val="24"/>
        </w:rPr>
      </w:pPr>
    </w:p>
    <w:p w14:paraId="28AF92CB" w14:textId="77777777" w:rsidR="00070CC4" w:rsidRDefault="00070CC4">
      <w:pPr>
        <w:spacing w:line="360" w:lineRule="auto"/>
        <w:rPr>
          <w:rFonts w:ascii="Roboto" w:eastAsia="Roboto" w:hAnsi="Roboto" w:cs="Roboto"/>
          <w:sz w:val="24"/>
          <w:szCs w:val="24"/>
        </w:rPr>
      </w:pPr>
    </w:p>
    <w:p w14:paraId="729F4AF0" w14:textId="77777777" w:rsidR="00070CC4" w:rsidRDefault="00070CC4">
      <w:pPr>
        <w:rPr>
          <w:rFonts w:ascii="Roboto" w:eastAsia="Roboto" w:hAnsi="Roboto" w:cs="Roboto"/>
          <w:sz w:val="24"/>
          <w:szCs w:val="24"/>
        </w:rPr>
      </w:pPr>
    </w:p>
    <w:p w14:paraId="640AC72E" w14:textId="77777777" w:rsidR="00070CC4" w:rsidRDefault="00070CC4"/>
    <w:p w14:paraId="0C88226E" w14:textId="77777777" w:rsidR="00070CC4" w:rsidRDefault="00070CC4"/>
    <w:sectPr w:rsidR="00070C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Arial"/>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CC4"/>
    <w:rsid w:val="00070CC4"/>
    <w:rsid w:val="00D75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F32451"/>
  <w15:docId w15:val="{A468E246-118A-134A-8FB5-933C8A051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support@innovativegx.com" TargetMode="External"/><Relationship Id="rId3" Type="http://schemas.openxmlformats.org/officeDocument/2006/relationships/webSettings" Target="webSettings.xml"/><Relationship Id="rId7" Type="http://schemas.openxmlformats.org/officeDocument/2006/relationships/hyperlink" Target="mailto:labdirector@innovativeg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g@innovativegx.com" TargetMode="External"/><Relationship Id="rId5" Type="http://schemas.openxmlformats.org/officeDocument/2006/relationships/hyperlink" Target="https://innovativegx.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481</Words>
  <Characters>2744</Characters>
  <Application>Microsoft Office Word</Application>
  <DocSecurity>0</DocSecurity>
  <Lines>22</Lines>
  <Paragraphs>6</Paragraphs>
  <ScaleCrop>false</ScaleCrop>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Enrique Perez</cp:lastModifiedBy>
  <cp:revision>2</cp:revision>
  <dcterms:created xsi:type="dcterms:W3CDTF">2020-09-27T04:33:00Z</dcterms:created>
  <dcterms:modified xsi:type="dcterms:W3CDTF">2020-09-27T04:33:00Z</dcterms:modified>
</cp:coreProperties>
</file>