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1186B8" w14:textId="18A1EEDD" w:rsidR="00C52941" w:rsidRDefault="00000000">
      <w:pPr>
        <w:spacing w:before="240" w:after="240"/>
        <w:jc w:val="center"/>
        <w:rPr>
          <w:b/>
          <w:sz w:val="26"/>
          <w:szCs w:val="26"/>
        </w:rPr>
      </w:pPr>
      <w:r>
        <w:rPr>
          <w:b/>
          <w:sz w:val="26"/>
          <w:szCs w:val="26"/>
        </w:rPr>
        <w:t xml:space="preserve">LQR House Inc. Announces Share Acquisition by </w:t>
      </w:r>
      <w:proofErr w:type="spellStart"/>
      <w:r>
        <w:rPr>
          <w:b/>
          <w:sz w:val="26"/>
          <w:szCs w:val="26"/>
        </w:rPr>
        <w:t>MeiFang</w:t>
      </w:r>
      <w:proofErr w:type="spellEnd"/>
      <w:r>
        <w:rPr>
          <w:b/>
          <w:sz w:val="26"/>
          <w:szCs w:val="26"/>
        </w:rPr>
        <w:t xml:space="preserve"> Group at $1.58/Share and </w:t>
      </w:r>
      <w:r w:rsidR="000D466E">
        <w:rPr>
          <w:b/>
          <w:sz w:val="26"/>
          <w:szCs w:val="26"/>
        </w:rPr>
        <w:t xml:space="preserve">Agreement for Share Acquisition by </w:t>
      </w:r>
      <w:r>
        <w:rPr>
          <w:b/>
          <w:sz w:val="26"/>
          <w:szCs w:val="26"/>
        </w:rPr>
        <w:t xml:space="preserve">Winz Technology Co. at $2.85/Share, Along with </w:t>
      </w:r>
      <w:r w:rsidR="000D466E">
        <w:rPr>
          <w:b/>
          <w:sz w:val="26"/>
          <w:szCs w:val="26"/>
        </w:rPr>
        <w:t>Highly Qualified</w:t>
      </w:r>
      <w:r>
        <w:rPr>
          <w:b/>
          <w:sz w:val="26"/>
          <w:szCs w:val="26"/>
        </w:rPr>
        <w:t xml:space="preserve"> Board Nominations</w:t>
      </w:r>
    </w:p>
    <w:p w14:paraId="2F69ECD4" w14:textId="77777777" w:rsidR="00C52941" w:rsidRDefault="00C52941">
      <w:pPr>
        <w:jc w:val="center"/>
        <w:rPr>
          <w:b/>
          <w:sz w:val="26"/>
          <w:szCs w:val="26"/>
        </w:rPr>
      </w:pPr>
    </w:p>
    <w:p w14:paraId="0DAF4C66" w14:textId="52CE94CB" w:rsidR="00C52941" w:rsidRDefault="00000000">
      <w:r>
        <w:t xml:space="preserve">MIAMI BEACH, FL / ACCESSWIRE / November </w:t>
      </w:r>
      <w:r w:rsidR="00164A70">
        <w:t>27</w:t>
      </w:r>
      <w:r>
        <w:t>, 2024 / LQR House Inc. (the “Company” or “LQR House”) (</w:t>
      </w:r>
      <w:proofErr w:type="gramStart"/>
      <w:r>
        <w:t>NASDAQ:LQR</w:t>
      </w:r>
      <w:proofErr w:type="gramEnd"/>
      <w:r>
        <w:t>), a niche e-commerce platform specializing in the spirits and beverage industry, announced today a transformative step forward under the guidance of activist investor David Lazar. Mr. Lazar has entered into a Securities Purchase Agreement (the “SPA”) with both MeiFang Group &amp; Winz Technology Co., signaling a strategic alignment aimed at advancing LQR House’s market position and fostering sustainable growth.</w:t>
      </w:r>
    </w:p>
    <w:p w14:paraId="50C68C17" w14:textId="77777777" w:rsidR="0052026B" w:rsidRDefault="0052026B"/>
    <w:p w14:paraId="29672BED" w14:textId="77777777" w:rsidR="0052026B" w:rsidRPr="0052026B" w:rsidRDefault="0052026B" w:rsidP="0052026B">
      <w:pPr>
        <w:rPr>
          <w:lang w:val="en-US"/>
        </w:rPr>
      </w:pPr>
      <w:r w:rsidRPr="0052026B">
        <w:rPr>
          <w:lang w:val="en-US"/>
        </w:rPr>
        <w:t xml:space="preserve">As part of the agreement, </w:t>
      </w:r>
      <w:proofErr w:type="spellStart"/>
      <w:r w:rsidRPr="0052026B">
        <w:rPr>
          <w:lang w:val="en-US"/>
        </w:rPr>
        <w:t>MeiFang</w:t>
      </w:r>
      <w:proofErr w:type="spellEnd"/>
      <w:r w:rsidRPr="0052026B">
        <w:rPr>
          <w:lang w:val="en-US"/>
        </w:rPr>
        <w:t xml:space="preserve"> Group acquired 821,818 shares of common stock from Mr. Lazar for $1,300,000, representing a valuation of $1.58 per share. Similarly, </w:t>
      </w:r>
      <w:proofErr w:type="spellStart"/>
      <w:r w:rsidRPr="0052026B">
        <w:rPr>
          <w:lang w:val="en-US"/>
        </w:rPr>
        <w:t>Winz</w:t>
      </w:r>
      <w:proofErr w:type="spellEnd"/>
      <w:r w:rsidRPr="0052026B">
        <w:rPr>
          <w:lang w:val="en-US"/>
        </w:rPr>
        <w:t xml:space="preserve"> Technology Co. is set to acquire 280,000 shares of common stock from Mr. Lazar for $800,000, reflecting a valuation of $2.85 per share.</w:t>
      </w:r>
    </w:p>
    <w:p w14:paraId="52AD5064" w14:textId="43336427" w:rsidR="00164A70" w:rsidRDefault="00164A70">
      <w:pPr>
        <w:spacing w:before="240" w:after="240"/>
      </w:pPr>
      <w:r w:rsidRPr="00164A70">
        <w:t>Thanks to David Lazar’s extensive network, LQR House is pleased to announce the nomination of two highly qualified candidates, Yilin Lu and Hong Chun Yeung, to its Board of Directors. These appointments are pending shareholder approval and, with their exceptional expertise in capital markets and business strategy, are expected to elevate the Company’s leadership and drive its future growth.</w:t>
      </w:r>
    </w:p>
    <w:p w14:paraId="438DA2BE" w14:textId="26131955" w:rsidR="00C52941" w:rsidRDefault="00000000">
      <w:pPr>
        <w:spacing w:before="240" w:after="240"/>
      </w:pPr>
      <w:proofErr w:type="spellStart"/>
      <w:r>
        <w:rPr>
          <w:b/>
        </w:rPr>
        <w:t>Yilin</w:t>
      </w:r>
      <w:proofErr w:type="spellEnd"/>
      <w:r>
        <w:rPr>
          <w:b/>
        </w:rPr>
        <w:t xml:space="preserve"> Lu</w:t>
      </w:r>
      <w:r>
        <w:t xml:space="preserve">, a Chartered Financial Analyst (CFA) and Financial Risk Manager (FRM), brings over 15 years of experience in equity investment and trading. Since June 2023, Mr. Lu has served as the Founder and CEO of </w:t>
      </w:r>
      <w:proofErr w:type="spellStart"/>
      <w:r>
        <w:t>Senchi</w:t>
      </w:r>
      <w:proofErr w:type="spellEnd"/>
      <w:r>
        <w:t xml:space="preserve"> Morgan Capital Market and </w:t>
      </w:r>
      <w:proofErr w:type="spellStart"/>
      <w:r>
        <w:t>Senchi</w:t>
      </w:r>
      <w:proofErr w:type="spellEnd"/>
      <w:r>
        <w:t xml:space="preserve"> Morgan Asset Management, renowned broker-dealer and asset management firms. Mr. Lu began his investment banking career at Goldman Sachs in 2006 and subsequently held leadership roles at China International Capital Corporation (CICC) and Cantor Fitzgerald Capital Market in Hong Kong. He established his first investment bank in 2016 and </w:t>
      </w:r>
      <w:r w:rsidR="005C13FD">
        <w:t>later</w:t>
      </w:r>
      <w:r>
        <w:t xml:space="preserve"> served as the Founder and CEO of Cheung </w:t>
      </w:r>
      <w:proofErr w:type="gramStart"/>
      <w:r>
        <w:t>On</w:t>
      </w:r>
      <w:proofErr w:type="gramEnd"/>
      <w:r>
        <w:t xml:space="preserve"> Securities Limited. His extensive background in global financial institutions positions him as a key asset in guiding LQR House’s growth and market strategy.</w:t>
      </w:r>
    </w:p>
    <w:p w14:paraId="2BA93A5A" w14:textId="77777777" w:rsidR="00C52941" w:rsidRDefault="00000000">
      <w:pPr>
        <w:spacing w:before="240" w:after="240"/>
        <w:rPr>
          <w:b/>
          <w:color w:val="000000"/>
        </w:rPr>
      </w:pPr>
      <w:r>
        <w:rPr>
          <w:b/>
        </w:rPr>
        <w:t>Hong Chun Yeung</w:t>
      </w:r>
      <w:r>
        <w:t xml:space="preserve">, a practicing member of the Hong Kong Institute of Certified Public Accountants, has around 13 years of experience in auditing, M&amp;A advisory, and pre-listing consultation. As a Director of </w:t>
      </w:r>
      <w:proofErr w:type="spellStart"/>
      <w:r>
        <w:t>Zhonghui</w:t>
      </w:r>
      <w:proofErr w:type="spellEnd"/>
      <w:r>
        <w:t xml:space="preserve"> Anda CPA since 2014, Mr. Yeung has provided strategic oversight to companies in manufacturing, mining, logistics, and engineering. His expertise in audit and assurance services complements LQR House’s focus on operational transparency and financial growth.</w:t>
      </w:r>
    </w:p>
    <w:p w14:paraId="163054AE" w14:textId="77777777" w:rsidR="00C52941" w:rsidRDefault="00000000">
      <w:pPr>
        <w:spacing w:before="240" w:after="240"/>
        <w:rPr>
          <w:b/>
          <w:color w:val="000000"/>
        </w:rPr>
      </w:pPr>
      <w:r>
        <w:lastRenderedPageBreak/>
        <w:t>Sean Dollinger, CEO of LQR House, expressed his enthusiasm for the new appointments:</w:t>
      </w:r>
      <w:r>
        <w:br/>
      </w:r>
      <w:r>
        <w:rPr>
          <w:i/>
        </w:rPr>
        <w:t>"I’ve had the privilege of meeting Yilin Lu, and I could not be more impressed with everything he has accomplished. His extensive background at some of the world’s most respected investment banks is an invaluable asset to LQR House. We are incredibly excited to see how his vision and expertise will shape the future of our Company. With both Mr. Lu and Mr. Yeung on our board, we are confident that LQR House is poised to reach new heights."</w:t>
      </w:r>
    </w:p>
    <w:p w14:paraId="572D63B6" w14:textId="6A3B6520" w:rsidR="00C52941" w:rsidRDefault="00000000">
      <w:pPr>
        <w:spacing w:before="240" w:after="240"/>
      </w:pPr>
      <w:r>
        <w:t>With the strategic partnership with MeiFang Group</w:t>
      </w:r>
      <w:r w:rsidR="000F62A1">
        <w:t xml:space="preserve"> &amp; Winz Technology Co.</w:t>
      </w:r>
      <w:r>
        <w:t xml:space="preserve"> and the addition of highly experienced board members, LQR House is set to strengthen its capital markets strategy, broaden its investor network, and unlock new opportunities in the spirits and beverage industry.</w:t>
      </w:r>
    </w:p>
    <w:p w14:paraId="27AFBFB7" w14:textId="5EA93FAE" w:rsidR="00902F5F" w:rsidRPr="00164A70" w:rsidRDefault="00164A70" w:rsidP="00164A70">
      <w:pPr>
        <w:jc w:val="both"/>
        <w:rPr>
          <w:rFonts w:ascii="Times New Roman" w:hAnsi="Times New Roman" w:cs="Times New Roman"/>
          <w:b/>
          <w:bCs/>
        </w:rPr>
      </w:pPr>
      <w:r>
        <w:rPr>
          <w:rFonts w:ascii="Times New Roman" w:hAnsi="Times New Roman" w:cs="Times New Roman"/>
          <w:b/>
          <w:bCs/>
        </w:rPr>
        <w:t>Additionally, LQR House has</w:t>
      </w:r>
      <w:r w:rsidR="00902F5F" w:rsidRPr="00164A70">
        <w:rPr>
          <w:rFonts w:ascii="Times New Roman" w:hAnsi="Times New Roman" w:cs="Times New Roman"/>
          <w:b/>
          <w:bCs/>
        </w:rPr>
        <w:t xml:space="preserve"> filed a definitive proxy statement on Schedule 14A with the Securities and Exchange Commission, which is publicly available at </w:t>
      </w:r>
      <w:hyperlink r:id="rId7" w:history="1">
        <w:r w:rsidR="00902F5F" w:rsidRPr="00164A70">
          <w:rPr>
            <w:rStyle w:val="Hyperlink"/>
            <w:rFonts w:ascii="Times New Roman" w:hAnsi="Times New Roman" w:cs="Times New Roman"/>
            <w:b/>
            <w:bCs/>
          </w:rPr>
          <w:t>www.sec.gov</w:t>
        </w:r>
      </w:hyperlink>
      <w:r w:rsidR="00902F5F" w:rsidRPr="00164A70">
        <w:rPr>
          <w:rFonts w:ascii="Times New Roman" w:hAnsi="Times New Roman" w:cs="Times New Roman"/>
          <w:b/>
          <w:bCs/>
        </w:rPr>
        <w:t xml:space="preserve">. </w:t>
      </w:r>
      <w:r w:rsidR="00902F5F">
        <w:rPr>
          <w:rFonts w:ascii="Times New Roman" w:hAnsi="Times New Roman" w:cs="Times New Roman"/>
          <w:b/>
          <w:bCs/>
        </w:rPr>
        <w:t xml:space="preserve">The proxy statement includes information about </w:t>
      </w:r>
      <w:r w:rsidR="00AE05F3">
        <w:rPr>
          <w:rFonts w:ascii="Times New Roman" w:hAnsi="Times New Roman" w:cs="Times New Roman"/>
          <w:b/>
          <w:bCs/>
        </w:rPr>
        <w:t xml:space="preserve">the director nominees. </w:t>
      </w:r>
      <w:r w:rsidR="00902F5F" w:rsidRPr="00164A70">
        <w:rPr>
          <w:rFonts w:ascii="Times New Roman" w:hAnsi="Times New Roman" w:cs="Times New Roman"/>
          <w:b/>
          <w:bCs/>
        </w:rPr>
        <w:t>We anticipate commencement of the dissemination of the proxy statement will begin on November 27, 2024.</w:t>
      </w:r>
    </w:p>
    <w:p w14:paraId="5C2A2B74" w14:textId="77777777" w:rsidR="00902F5F" w:rsidRDefault="00902F5F"/>
    <w:p w14:paraId="41B6488B" w14:textId="77777777" w:rsidR="00C52941" w:rsidRDefault="00000000">
      <w:pPr>
        <w:rPr>
          <w:b/>
        </w:rPr>
      </w:pPr>
      <w:r>
        <w:rPr>
          <w:b/>
        </w:rPr>
        <w:t>About LQR House Inc.</w:t>
      </w:r>
    </w:p>
    <w:p w14:paraId="0909D4C4" w14:textId="77777777" w:rsidR="00C52941" w:rsidRDefault="00000000">
      <w:pPr>
        <w:jc w:val="both"/>
      </w:pPr>
      <w:r>
        <w:t>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71273A28" w14:textId="77777777" w:rsidR="00C52941" w:rsidRDefault="00C52941"/>
    <w:p w14:paraId="08EF0D97" w14:textId="77777777" w:rsidR="00C52941" w:rsidRDefault="00C52941">
      <w:pPr>
        <w:rPr>
          <w:b/>
        </w:rPr>
      </w:pPr>
    </w:p>
    <w:p w14:paraId="55E91379" w14:textId="77777777" w:rsidR="00C52941" w:rsidRDefault="00000000">
      <w:pPr>
        <w:jc w:val="both"/>
        <w:rPr>
          <w:b/>
        </w:rPr>
      </w:pPr>
      <w:r>
        <w:rPr>
          <w:b/>
        </w:rPr>
        <w:t>Forward-Looking Statements</w:t>
      </w:r>
    </w:p>
    <w:p w14:paraId="699CFCF2" w14:textId="77777777" w:rsidR="00C52941" w:rsidRDefault="00000000">
      <w:pPr>
        <w:jc w:val="both"/>
        <w:rPr>
          <w:b/>
        </w:rPr>
      </w:pPr>
      <w:r>
        <w:rPr>
          <w:b/>
        </w:rPr>
        <w:t xml:space="preserve"> </w:t>
      </w:r>
    </w:p>
    <w:p w14:paraId="46A0B0A5" w14:textId="77777777" w:rsidR="00C52941" w:rsidRDefault="00000000">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w:t>
      </w:r>
      <w:r>
        <w:lastRenderedPageBreak/>
        <w:t>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8">
        <w:r w:rsidR="00C52941">
          <w:rPr>
            <w:color w:val="0000FF"/>
          </w:rPr>
          <w:t xml:space="preserve"> </w:t>
        </w:r>
      </w:hyperlink>
      <w:hyperlink r:id="rId9">
        <w:r w:rsidR="00C52941">
          <w:rPr>
            <w:color w:val="1155CC"/>
            <w:u w:val="single"/>
          </w:rPr>
          <w:t>www.sec.gov</w:t>
        </w:r>
      </w:hyperlink>
      <w:r>
        <w:t>. References and links to websites have been provided as a convenience, and the information contained on such websites has not been incorporated by reference into this press release.</w:t>
      </w:r>
    </w:p>
    <w:p w14:paraId="1DA596E4" w14:textId="77777777" w:rsidR="00C52941" w:rsidRDefault="00000000">
      <w:pPr>
        <w:jc w:val="both"/>
      </w:pPr>
      <w:r>
        <w:t xml:space="preserve"> </w:t>
      </w:r>
    </w:p>
    <w:p w14:paraId="749A6059" w14:textId="77777777" w:rsidR="00C52941" w:rsidRDefault="00000000">
      <w:pPr>
        <w:jc w:val="both"/>
      </w:pPr>
      <w:r>
        <w:t>Investor and Media Contact:</w:t>
      </w:r>
    </w:p>
    <w:p w14:paraId="616F2706" w14:textId="77777777" w:rsidR="00C52941" w:rsidRDefault="00000000">
      <w:pPr>
        <w:jc w:val="both"/>
      </w:pPr>
      <w:r>
        <w:t>info@lqrhouse.com</w:t>
      </w:r>
    </w:p>
    <w:p w14:paraId="0038F237" w14:textId="77777777" w:rsidR="00C52941" w:rsidRDefault="00000000">
      <w:pPr>
        <w:jc w:val="both"/>
        <w:rPr>
          <w:b/>
        </w:rPr>
      </w:pPr>
      <w:r>
        <w:rPr>
          <w:b/>
        </w:rPr>
        <w:t xml:space="preserve"> </w:t>
      </w:r>
    </w:p>
    <w:p w14:paraId="23B0E413" w14:textId="77777777" w:rsidR="00C52941" w:rsidRDefault="00C52941"/>
    <w:sectPr w:rsidR="00C52941">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AC534A" w14:textId="77777777" w:rsidR="007C1579" w:rsidRDefault="007C1579">
      <w:pPr>
        <w:spacing w:line="240" w:lineRule="auto"/>
      </w:pPr>
      <w:r>
        <w:separator/>
      </w:r>
    </w:p>
  </w:endnote>
  <w:endnote w:type="continuationSeparator" w:id="0">
    <w:p w14:paraId="1414A5A0" w14:textId="77777777" w:rsidR="007C1579" w:rsidRDefault="007C15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F05E0F" w14:textId="77777777" w:rsidR="007C1579" w:rsidRDefault="007C1579">
      <w:pPr>
        <w:spacing w:line="240" w:lineRule="auto"/>
      </w:pPr>
      <w:r>
        <w:separator/>
      </w:r>
    </w:p>
  </w:footnote>
  <w:footnote w:type="continuationSeparator" w:id="0">
    <w:p w14:paraId="32B8419D" w14:textId="77777777" w:rsidR="007C1579" w:rsidRDefault="007C15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771DF" w14:textId="77777777" w:rsidR="00C52941" w:rsidRDefault="00000000">
    <w:r>
      <w:rPr>
        <w:noProof/>
      </w:rPr>
      <w:drawing>
        <wp:inline distT="114300" distB="114300" distL="114300" distR="114300" wp14:anchorId="1DBF342E" wp14:editId="4B4178F7">
          <wp:extent cx="1211382" cy="623888"/>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576839F3" w14:textId="77777777" w:rsidR="00C52941" w:rsidRDefault="00C52941">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941"/>
    <w:rsid w:val="000137AA"/>
    <w:rsid w:val="00053D30"/>
    <w:rsid w:val="000D466E"/>
    <w:rsid w:val="000F62A1"/>
    <w:rsid w:val="00164A70"/>
    <w:rsid w:val="001E2566"/>
    <w:rsid w:val="004D526D"/>
    <w:rsid w:val="0052026B"/>
    <w:rsid w:val="005C13FD"/>
    <w:rsid w:val="007C1579"/>
    <w:rsid w:val="00902F5F"/>
    <w:rsid w:val="00A7518A"/>
    <w:rsid w:val="00AE05F3"/>
    <w:rsid w:val="00BA0998"/>
    <w:rsid w:val="00C52941"/>
    <w:rsid w:val="00CF560E"/>
    <w:rsid w:val="00D16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AB543"/>
  <w15:docId w15:val="{9422B0BE-03B7-B146-B7AB-F798C333F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1B3392"/>
    <w:pPr>
      <w:spacing w:line="240" w:lineRule="auto"/>
    </w:pPr>
  </w:style>
  <w:style w:type="character" w:styleId="Hyperlink">
    <w:name w:val="Hyperlink"/>
    <w:basedOn w:val="DefaultParagraphFont"/>
    <w:uiPriority w:val="99"/>
    <w:unhideWhenUsed/>
    <w:rsid w:val="00902F5F"/>
    <w:rPr>
      <w:color w:val="0000FF" w:themeColor="hyperlink"/>
      <w:u w:val="single"/>
    </w:rPr>
  </w:style>
  <w:style w:type="character" w:styleId="UnresolvedMention">
    <w:name w:val="Unresolved Mention"/>
    <w:basedOn w:val="DefaultParagraphFont"/>
    <w:uiPriority w:val="99"/>
    <w:semiHidden/>
    <w:unhideWhenUsed/>
    <w:rsid w:val="00902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622771">
      <w:bodyDiv w:val="1"/>
      <w:marLeft w:val="0"/>
      <w:marRight w:val="0"/>
      <w:marTop w:val="0"/>
      <w:marBottom w:val="0"/>
      <w:divBdr>
        <w:top w:val="none" w:sz="0" w:space="0" w:color="auto"/>
        <w:left w:val="none" w:sz="0" w:space="0" w:color="auto"/>
        <w:bottom w:val="none" w:sz="0" w:space="0" w:color="auto"/>
        <w:right w:val="none" w:sz="0" w:space="0" w:color="auto"/>
      </w:divBdr>
      <w:divsChild>
        <w:div w:id="678653650">
          <w:marLeft w:val="0"/>
          <w:marRight w:val="0"/>
          <w:marTop w:val="0"/>
          <w:marBottom w:val="0"/>
          <w:divBdr>
            <w:top w:val="none" w:sz="0" w:space="0" w:color="auto"/>
            <w:left w:val="none" w:sz="0" w:space="0" w:color="auto"/>
            <w:bottom w:val="none" w:sz="0" w:space="0" w:color="auto"/>
            <w:right w:val="none" w:sz="0" w:space="0" w:color="auto"/>
          </w:divBdr>
          <w:divsChild>
            <w:div w:id="577373669">
              <w:marLeft w:val="0"/>
              <w:marRight w:val="0"/>
              <w:marTop w:val="0"/>
              <w:marBottom w:val="0"/>
              <w:divBdr>
                <w:top w:val="none" w:sz="0" w:space="0" w:color="auto"/>
                <w:left w:val="none" w:sz="0" w:space="0" w:color="auto"/>
                <w:bottom w:val="none" w:sz="0" w:space="0" w:color="auto"/>
                <w:right w:val="none" w:sz="0" w:space="0" w:color="auto"/>
              </w:divBdr>
              <w:divsChild>
                <w:div w:id="1065107932">
                  <w:marLeft w:val="0"/>
                  <w:marRight w:val="0"/>
                  <w:marTop w:val="0"/>
                  <w:marBottom w:val="0"/>
                  <w:divBdr>
                    <w:top w:val="none" w:sz="0" w:space="0" w:color="auto"/>
                    <w:left w:val="none" w:sz="0" w:space="0" w:color="auto"/>
                    <w:bottom w:val="none" w:sz="0" w:space="0" w:color="auto"/>
                    <w:right w:val="none" w:sz="0" w:space="0" w:color="auto"/>
                  </w:divBdr>
                  <w:divsChild>
                    <w:div w:id="1913542270">
                      <w:marLeft w:val="0"/>
                      <w:marRight w:val="0"/>
                      <w:marTop w:val="0"/>
                      <w:marBottom w:val="0"/>
                      <w:divBdr>
                        <w:top w:val="none" w:sz="0" w:space="0" w:color="auto"/>
                        <w:left w:val="none" w:sz="0" w:space="0" w:color="auto"/>
                        <w:bottom w:val="none" w:sz="0" w:space="0" w:color="auto"/>
                        <w:right w:val="none" w:sz="0" w:space="0" w:color="auto"/>
                      </w:divBdr>
                      <w:divsChild>
                        <w:div w:id="1785230127">
                          <w:marLeft w:val="0"/>
                          <w:marRight w:val="0"/>
                          <w:marTop w:val="0"/>
                          <w:marBottom w:val="0"/>
                          <w:divBdr>
                            <w:top w:val="none" w:sz="0" w:space="0" w:color="auto"/>
                            <w:left w:val="none" w:sz="0" w:space="0" w:color="auto"/>
                            <w:bottom w:val="none" w:sz="0" w:space="0" w:color="auto"/>
                            <w:right w:val="none" w:sz="0" w:space="0" w:color="auto"/>
                          </w:divBdr>
                          <w:divsChild>
                            <w:div w:id="1551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151814">
      <w:bodyDiv w:val="1"/>
      <w:marLeft w:val="0"/>
      <w:marRight w:val="0"/>
      <w:marTop w:val="0"/>
      <w:marBottom w:val="0"/>
      <w:divBdr>
        <w:top w:val="none" w:sz="0" w:space="0" w:color="auto"/>
        <w:left w:val="none" w:sz="0" w:space="0" w:color="auto"/>
        <w:bottom w:val="none" w:sz="0" w:space="0" w:color="auto"/>
        <w:right w:val="none" w:sz="0" w:space="0" w:color="auto"/>
      </w:divBdr>
      <w:divsChild>
        <w:div w:id="253053434">
          <w:marLeft w:val="0"/>
          <w:marRight w:val="0"/>
          <w:marTop w:val="0"/>
          <w:marBottom w:val="0"/>
          <w:divBdr>
            <w:top w:val="none" w:sz="0" w:space="0" w:color="auto"/>
            <w:left w:val="none" w:sz="0" w:space="0" w:color="auto"/>
            <w:bottom w:val="none" w:sz="0" w:space="0" w:color="auto"/>
            <w:right w:val="none" w:sz="0" w:space="0" w:color="auto"/>
          </w:divBdr>
          <w:divsChild>
            <w:div w:id="2053655915">
              <w:marLeft w:val="0"/>
              <w:marRight w:val="0"/>
              <w:marTop w:val="0"/>
              <w:marBottom w:val="0"/>
              <w:divBdr>
                <w:top w:val="none" w:sz="0" w:space="0" w:color="auto"/>
                <w:left w:val="none" w:sz="0" w:space="0" w:color="auto"/>
                <w:bottom w:val="none" w:sz="0" w:space="0" w:color="auto"/>
                <w:right w:val="none" w:sz="0" w:space="0" w:color="auto"/>
              </w:divBdr>
              <w:divsChild>
                <w:div w:id="257645117">
                  <w:marLeft w:val="0"/>
                  <w:marRight w:val="0"/>
                  <w:marTop w:val="0"/>
                  <w:marBottom w:val="0"/>
                  <w:divBdr>
                    <w:top w:val="none" w:sz="0" w:space="0" w:color="auto"/>
                    <w:left w:val="none" w:sz="0" w:space="0" w:color="auto"/>
                    <w:bottom w:val="none" w:sz="0" w:space="0" w:color="auto"/>
                    <w:right w:val="none" w:sz="0" w:space="0" w:color="auto"/>
                  </w:divBdr>
                  <w:divsChild>
                    <w:div w:id="1566525615">
                      <w:marLeft w:val="0"/>
                      <w:marRight w:val="0"/>
                      <w:marTop w:val="0"/>
                      <w:marBottom w:val="0"/>
                      <w:divBdr>
                        <w:top w:val="none" w:sz="0" w:space="0" w:color="auto"/>
                        <w:left w:val="none" w:sz="0" w:space="0" w:color="auto"/>
                        <w:bottom w:val="none" w:sz="0" w:space="0" w:color="auto"/>
                        <w:right w:val="none" w:sz="0" w:space="0" w:color="auto"/>
                      </w:divBdr>
                      <w:divsChild>
                        <w:div w:id="55670951">
                          <w:marLeft w:val="0"/>
                          <w:marRight w:val="0"/>
                          <w:marTop w:val="0"/>
                          <w:marBottom w:val="0"/>
                          <w:divBdr>
                            <w:top w:val="none" w:sz="0" w:space="0" w:color="auto"/>
                            <w:left w:val="none" w:sz="0" w:space="0" w:color="auto"/>
                            <w:bottom w:val="none" w:sz="0" w:space="0" w:color="auto"/>
                            <w:right w:val="none" w:sz="0" w:space="0" w:color="auto"/>
                          </w:divBdr>
                          <w:divsChild>
                            <w:div w:id="33700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www.sec.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report/JnzM-Z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meP4HEKrYAg7cVstR+bSEDUx8A==">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1162</Words>
  <Characters>6625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Avrham</dc:creator>
  <cp:lastModifiedBy>Alex Hoff</cp:lastModifiedBy>
  <cp:revision>3</cp:revision>
  <dcterms:created xsi:type="dcterms:W3CDTF">2024-11-26T19:03:00Z</dcterms:created>
  <dcterms:modified xsi:type="dcterms:W3CDTF">2024-11-26T19:06:00Z</dcterms:modified>
</cp:coreProperties>
</file>