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99E0E7" w14:textId="0F0D9140" w:rsidR="00177558" w:rsidRDefault="00331531">
      <w:pPr>
        <w:spacing w:after="231" w:line="259" w:lineRule="auto"/>
        <w:ind w:left="0" w:firstLine="0"/>
        <w:jc w:val="right"/>
        <w:rPr>
          <w:sz w:val="24"/>
        </w:rPr>
      </w:pPr>
      <w:bookmarkStart w:id="0" w:name="_Hlk190165707"/>
      <w:bookmarkEnd w:id="0"/>
      <w:r>
        <w:rPr>
          <w:noProof/>
        </w:rPr>
        <w:drawing>
          <wp:inline distT="0" distB="0" distL="0" distR="0" wp14:anchorId="54907EB5" wp14:editId="4659DB8B">
            <wp:extent cx="2061591" cy="536575"/>
            <wp:effectExtent l="0" t="0" r="0" b="0"/>
            <wp:docPr id="173" name="Picture 173"/>
            <wp:cNvGraphicFramePr/>
            <a:graphic xmlns:a="http://schemas.openxmlformats.org/drawingml/2006/main">
              <a:graphicData uri="http://schemas.openxmlformats.org/drawingml/2006/picture">
                <pic:pic xmlns:pic="http://schemas.openxmlformats.org/drawingml/2006/picture">
                  <pic:nvPicPr>
                    <pic:cNvPr id="173" name="Picture 173"/>
                    <pic:cNvPicPr/>
                  </pic:nvPicPr>
                  <pic:blipFill>
                    <a:blip r:embed="rId11"/>
                    <a:stretch>
                      <a:fillRect/>
                    </a:stretch>
                  </pic:blipFill>
                  <pic:spPr>
                    <a:xfrm>
                      <a:off x="0" y="0"/>
                      <a:ext cx="2061591" cy="536575"/>
                    </a:xfrm>
                    <a:prstGeom prst="rect">
                      <a:avLst/>
                    </a:prstGeom>
                  </pic:spPr>
                </pic:pic>
              </a:graphicData>
            </a:graphic>
          </wp:inline>
        </w:drawing>
      </w:r>
      <w:r>
        <w:rPr>
          <w:sz w:val="24"/>
        </w:rPr>
        <w:t xml:space="preserve"> </w:t>
      </w:r>
    </w:p>
    <w:p w14:paraId="0942A3D2" w14:textId="77777777" w:rsidR="00D5627A" w:rsidRDefault="00D5627A">
      <w:pPr>
        <w:spacing w:after="231" w:line="259" w:lineRule="auto"/>
        <w:ind w:left="0" w:firstLine="0"/>
        <w:jc w:val="right"/>
      </w:pPr>
    </w:p>
    <w:p w14:paraId="64481B71" w14:textId="77777777" w:rsidR="00D50FA6" w:rsidRDefault="00184B01" w:rsidP="00D50FA6">
      <w:pPr>
        <w:jc w:val="center"/>
        <w:rPr>
          <w:rFonts w:asciiTheme="minorHAnsi" w:eastAsia="Times New Roman" w:hAnsiTheme="minorHAnsi" w:cstheme="minorHAnsi"/>
          <w:b/>
          <w:bCs/>
          <w:color w:val="auto"/>
          <w:sz w:val="28"/>
          <w:szCs w:val="28"/>
        </w:rPr>
      </w:pPr>
      <w:r w:rsidDel="00CF3C5E">
        <w:rPr>
          <w:rFonts w:asciiTheme="minorHAnsi" w:eastAsia="Times New Roman" w:hAnsiTheme="minorHAnsi" w:cstheme="minorHAnsi"/>
          <w:color w:val="auto"/>
          <w:sz w:val="24"/>
          <w:szCs w:val="24"/>
        </w:rPr>
        <w:t xml:space="preserve"> </w:t>
      </w:r>
      <w:r w:rsidR="00D50FA6" w:rsidRPr="002F216F">
        <w:rPr>
          <w:rFonts w:asciiTheme="minorHAnsi" w:eastAsia="Times New Roman" w:hAnsiTheme="minorHAnsi" w:cstheme="minorHAnsi"/>
          <w:b/>
          <w:bCs/>
          <w:color w:val="auto"/>
          <w:sz w:val="28"/>
          <w:szCs w:val="28"/>
        </w:rPr>
        <w:t xml:space="preserve">Protagonist Reports </w:t>
      </w:r>
      <w:r w:rsidR="00D50FA6">
        <w:rPr>
          <w:rFonts w:asciiTheme="minorHAnsi" w:eastAsia="Times New Roman" w:hAnsiTheme="minorHAnsi" w:cstheme="minorHAnsi"/>
          <w:b/>
          <w:bCs/>
          <w:color w:val="auto"/>
          <w:sz w:val="28"/>
          <w:szCs w:val="28"/>
        </w:rPr>
        <w:t xml:space="preserve">Fourth </w:t>
      </w:r>
      <w:r w:rsidR="00D50FA6" w:rsidRPr="002F216F">
        <w:rPr>
          <w:rFonts w:asciiTheme="minorHAnsi" w:eastAsia="Times New Roman" w:hAnsiTheme="minorHAnsi" w:cstheme="minorHAnsi"/>
          <w:b/>
          <w:bCs/>
          <w:color w:val="auto"/>
          <w:sz w:val="28"/>
          <w:szCs w:val="28"/>
        </w:rPr>
        <w:t>Quarter</w:t>
      </w:r>
      <w:r w:rsidR="00D50FA6">
        <w:rPr>
          <w:rFonts w:asciiTheme="minorHAnsi" w:eastAsia="Times New Roman" w:hAnsiTheme="minorHAnsi" w:cstheme="minorHAnsi"/>
          <w:b/>
          <w:bCs/>
          <w:color w:val="auto"/>
          <w:sz w:val="28"/>
          <w:szCs w:val="28"/>
        </w:rPr>
        <w:t xml:space="preserve"> and Full Year </w:t>
      </w:r>
      <w:r w:rsidR="00D50FA6" w:rsidRPr="002F216F">
        <w:rPr>
          <w:rFonts w:asciiTheme="minorHAnsi" w:eastAsia="Times New Roman" w:hAnsiTheme="minorHAnsi" w:cstheme="minorHAnsi"/>
          <w:b/>
          <w:bCs/>
          <w:color w:val="auto"/>
          <w:sz w:val="28"/>
          <w:szCs w:val="28"/>
        </w:rPr>
        <w:t>202</w:t>
      </w:r>
      <w:r w:rsidR="00D50FA6">
        <w:rPr>
          <w:rFonts w:asciiTheme="minorHAnsi" w:eastAsia="Times New Roman" w:hAnsiTheme="minorHAnsi" w:cstheme="minorHAnsi"/>
          <w:b/>
          <w:bCs/>
          <w:color w:val="auto"/>
          <w:sz w:val="28"/>
          <w:szCs w:val="28"/>
        </w:rPr>
        <w:t>4</w:t>
      </w:r>
      <w:r w:rsidR="00D50FA6" w:rsidRPr="002F216F">
        <w:rPr>
          <w:rFonts w:asciiTheme="minorHAnsi" w:eastAsia="Times New Roman" w:hAnsiTheme="minorHAnsi" w:cstheme="minorHAnsi"/>
          <w:b/>
          <w:bCs/>
          <w:color w:val="auto"/>
          <w:sz w:val="28"/>
          <w:szCs w:val="28"/>
        </w:rPr>
        <w:t xml:space="preserve"> Financial Results and Provides Corporate Update</w:t>
      </w:r>
    </w:p>
    <w:p w14:paraId="3D51B4D0" w14:textId="77777777" w:rsidR="00D50FA6" w:rsidRDefault="00D50FA6" w:rsidP="00D50FA6">
      <w:pPr>
        <w:jc w:val="center"/>
        <w:rPr>
          <w:i/>
          <w:iCs/>
        </w:rPr>
      </w:pPr>
    </w:p>
    <w:p w14:paraId="22186F12" w14:textId="29545508" w:rsidR="00FC2742" w:rsidRDefault="00FC2742" w:rsidP="00D50FA6">
      <w:pPr>
        <w:pStyle w:val="NormalWeb"/>
        <w:shd w:val="clear" w:color="auto" w:fill="FFFFFF"/>
        <w:contextualSpacing/>
        <w:jc w:val="center"/>
        <w:rPr>
          <w:rFonts w:asciiTheme="minorHAnsi" w:hAnsiTheme="minorHAnsi" w:cstheme="minorBidi"/>
          <w:i/>
          <w:iCs/>
        </w:rPr>
      </w:pPr>
      <w:r>
        <w:rPr>
          <w:rFonts w:asciiTheme="minorHAnsi" w:hAnsiTheme="minorHAnsi" w:cstheme="minorBidi"/>
          <w:i/>
          <w:iCs/>
        </w:rPr>
        <w:t>$165</w:t>
      </w:r>
      <w:r w:rsidR="00F25FCD">
        <w:rPr>
          <w:rFonts w:asciiTheme="minorHAnsi" w:hAnsiTheme="minorHAnsi" w:cstheme="minorBidi"/>
          <w:i/>
          <w:iCs/>
        </w:rPr>
        <w:t>.0</w:t>
      </w:r>
      <w:r>
        <w:rPr>
          <w:rFonts w:asciiTheme="minorHAnsi" w:hAnsiTheme="minorHAnsi" w:cstheme="minorBidi"/>
          <w:i/>
          <w:iCs/>
        </w:rPr>
        <w:t xml:space="preserve"> million </w:t>
      </w:r>
      <w:r w:rsidR="00007016">
        <w:rPr>
          <w:rFonts w:asciiTheme="minorHAnsi" w:hAnsiTheme="minorHAnsi" w:cstheme="minorBidi"/>
          <w:i/>
          <w:iCs/>
        </w:rPr>
        <w:t>i</w:t>
      </w:r>
      <w:r w:rsidR="00E54436">
        <w:rPr>
          <w:rFonts w:asciiTheme="minorHAnsi" w:hAnsiTheme="minorHAnsi" w:cstheme="minorBidi"/>
          <w:i/>
          <w:iCs/>
        </w:rPr>
        <w:t xml:space="preserve">cotrokinra </w:t>
      </w:r>
      <w:r w:rsidR="00413A16">
        <w:rPr>
          <w:rFonts w:asciiTheme="minorHAnsi" w:hAnsiTheme="minorHAnsi" w:cstheme="minorBidi"/>
          <w:i/>
          <w:iCs/>
        </w:rPr>
        <w:t xml:space="preserve">(formerly JNJ-2113) </w:t>
      </w:r>
      <w:r w:rsidR="00E54436">
        <w:rPr>
          <w:rFonts w:asciiTheme="minorHAnsi" w:hAnsiTheme="minorHAnsi" w:cstheme="minorBidi"/>
          <w:i/>
          <w:iCs/>
        </w:rPr>
        <w:t>milestone earned in Q4 2024, received in January 2025</w:t>
      </w:r>
    </w:p>
    <w:p w14:paraId="7AC14A9C" w14:textId="77777777" w:rsidR="001B1454" w:rsidRDefault="001B1454" w:rsidP="00D50FA6">
      <w:pPr>
        <w:pStyle w:val="NormalWeb"/>
        <w:shd w:val="clear" w:color="auto" w:fill="FFFFFF"/>
        <w:contextualSpacing/>
        <w:jc w:val="center"/>
        <w:rPr>
          <w:rFonts w:asciiTheme="minorHAnsi" w:hAnsiTheme="minorHAnsi" w:cstheme="minorBidi"/>
          <w:i/>
          <w:iCs/>
        </w:rPr>
      </w:pPr>
    </w:p>
    <w:p w14:paraId="27CB51F6" w14:textId="69E8C63C" w:rsidR="001B1454" w:rsidRDefault="003D784F" w:rsidP="00002925">
      <w:pPr>
        <w:pStyle w:val="NormalWeb"/>
        <w:shd w:val="clear" w:color="auto" w:fill="FFFFFF"/>
        <w:contextualSpacing/>
        <w:jc w:val="center"/>
        <w:rPr>
          <w:rFonts w:asciiTheme="minorHAnsi" w:hAnsiTheme="minorHAnsi" w:cstheme="minorBidi"/>
          <w:i/>
          <w:iCs/>
        </w:rPr>
      </w:pPr>
      <w:r>
        <w:rPr>
          <w:rFonts w:asciiTheme="minorHAnsi" w:hAnsiTheme="minorHAnsi" w:cstheme="minorBidi"/>
          <w:i/>
          <w:iCs/>
        </w:rPr>
        <w:t>PN-88</w:t>
      </w:r>
      <w:r w:rsidR="00002925">
        <w:rPr>
          <w:rFonts w:asciiTheme="minorHAnsi" w:hAnsiTheme="minorHAnsi" w:cstheme="minorBidi"/>
          <w:i/>
          <w:iCs/>
        </w:rPr>
        <w:t>1</w:t>
      </w:r>
      <w:r w:rsidR="00AD09F3">
        <w:rPr>
          <w:rFonts w:asciiTheme="minorHAnsi" w:hAnsiTheme="minorHAnsi" w:cstheme="minorBidi"/>
          <w:i/>
          <w:iCs/>
        </w:rPr>
        <w:t xml:space="preserve">, </w:t>
      </w:r>
      <w:r w:rsidR="00AD09F3" w:rsidRPr="00AD09F3">
        <w:rPr>
          <w:rFonts w:asciiTheme="minorHAnsi" w:hAnsiTheme="minorHAnsi" w:cstheme="minorBidi"/>
          <w:i/>
          <w:iCs/>
        </w:rPr>
        <w:t>a potential best-in-class</w:t>
      </w:r>
      <w:r w:rsidR="00002925">
        <w:rPr>
          <w:rFonts w:asciiTheme="minorHAnsi" w:hAnsiTheme="minorHAnsi" w:cstheme="minorBidi"/>
          <w:i/>
          <w:iCs/>
        </w:rPr>
        <w:t xml:space="preserve"> </w:t>
      </w:r>
      <w:r w:rsidR="00AD09F3" w:rsidRPr="00AD09F3">
        <w:rPr>
          <w:rFonts w:asciiTheme="minorHAnsi" w:hAnsiTheme="minorHAnsi" w:cstheme="minorBidi"/>
          <w:i/>
          <w:iCs/>
        </w:rPr>
        <w:t xml:space="preserve">oral IL-17 receptor antagonist peptide </w:t>
      </w:r>
      <w:r w:rsidR="00002925">
        <w:rPr>
          <w:rFonts w:asciiTheme="minorHAnsi" w:hAnsiTheme="minorHAnsi" w:cstheme="minorBidi"/>
          <w:i/>
          <w:iCs/>
        </w:rPr>
        <w:t xml:space="preserve">nominated </w:t>
      </w:r>
      <w:r w:rsidR="00AD09F3" w:rsidRPr="00AD09F3">
        <w:rPr>
          <w:rFonts w:asciiTheme="minorHAnsi" w:hAnsiTheme="minorHAnsi" w:cstheme="minorBidi"/>
          <w:i/>
          <w:iCs/>
        </w:rPr>
        <w:t>as a development candidate</w:t>
      </w:r>
      <w:r w:rsidR="00002925">
        <w:rPr>
          <w:rFonts w:asciiTheme="minorHAnsi" w:hAnsiTheme="minorHAnsi" w:cstheme="minorBidi"/>
          <w:i/>
          <w:iCs/>
        </w:rPr>
        <w:t xml:space="preserve"> in Q4 2024</w:t>
      </w:r>
    </w:p>
    <w:p w14:paraId="2D53EDC0" w14:textId="77777777" w:rsidR="00FC2742" w:rsidRDefault="00FC2742" w:rsidP="00D50FA6">
      <w:pPr>
        <w:pStyle w:val="NormalWeb"/>
        <w:shd w:val="clear" w:color="auto" w:fill="FFFFFF"/>
        <w:contextualSpacing/>
        <w:jc w:val="center"/>
        <w:rPr>
          <w:rFonts w:asciiTheme="minorHAnsi" w:hAnsiTheme="minorHAnsi" w:cstheme="minorBidi"/>
          <w:i/>
          <w:iCs/>
        </w:rPr>
      </w:pPr>
    </w:p>
    <w:p w14:paraId="454FCCAF" w14:textId="1FD0A360" w:rsidR="00D50FA6" w:rsidRDefault="00D50FA6" w:rsidP="00D50FA6">
      <w:pPr>
        <w:pStyle w:val="NormalWeb"/>
        <w:shd w:val="clear" w:color="auto" w:fill="FFFFFF"/>
        <w:contextualSpacing/>
        <w:jc w:val="center"/>
        <w:rPr>
          <w:rFonts w:asciiTheme="minorHAnsi" w:hAnsiTheme="minorHAnsi" w:cstheme="minorBidi"/>
          <w:i/>
          <w:iCs/>
        </w:rPr>
      </w:pPr>
      <w:r w:rsidRPr="0036555D">
        <w:rPr>
          <w:rFonts w:asciiTheme="minorHAnsi" w:hAnsiTheme="minorHAnsi" w:cstheme="minorBidi"/>
          <w:i/>
          <w:iCs/>
        </w:rPr>
        <w:t xml:space="preserve">Top </w:t>
      </w:r>
      <w:r>
        <w:rPr>
          <w:rFonts w:asciiTheme="minorHAnsi" w:hAnsiTheme="minorHAnsi" w:cstheme="minorBidi"/>
          <w:i/>
          <w:iCs/>
        </w:rPr>
        <w:t>l</w:t>
      </w:r>
      <w:r w:rsidRPr="0036555D">
        <w:rPr>
          <w:rFonts w:asciiTheme="minorHAnsi" w:hAnsiTheme="minorHAnsi" w:cstheme="minorBidi"/>
          <w:i/>
          <w:iCs/>
        </w:rPr>
        <w:t xml:space="preserve">ine </w:t>
      </w:r>
      <w:r>
        <w:rPr>
          <w:rFonts w:asciiTheme="minorHAnsi" w:hAnsiTheme="minorHAnsi" w:cstheme="minorBidi"/>
          <w:i/>
          <w:iCs/>
        </w:rPr>
        <w:t>results</w:t>
      </w:r>
      <w:r w:rsidRPr="0036555D">
        <w:rPr>
          <w:rFonts w:asciiTheme="minorHAnsi" w:hAnsiTheme="minorHAnsi" w:cstheme="minorBidi"/>
          <w:i/>
          <w:iCs/>
        </w:rPr>
        <w:t xml:space="preserve"> for </w:t>
      </w:r>
      <w:r>
        <w:rPr>
          <w:rFonts w:asciiTheme="minorHAnsi" w:hAnsiTheme="minorHAnsi" w:cstheme="minorBidi"/>
          <w:i/>
          <w:iCs/>
        </w:rPr>
        <w:t>r</w:t>
      </w:r>
      <w:r w:rsidRPr="0036555D">
        <w:rPr>
          <w:rFonts w:asciiTheme="minorHAnsi" w:hAnsiTheme="minorHAnsi" w:cstheme="minorBidi"/>
          <w:i/>
          <w:iCs/>
        </w:rPr>
        <w:t xml:space="preserve">usfertide Phase 3 </w:t>
      </w:r>
      <w:r w:rsidRPr="00E43FCD">
        <w:rPr>
          <w:rFonts w:asciiTheme="minorHAnsi" w:hAnsiTheme="minorHAnsi" w:cstheme="minorBidi"/>
          <w:i/>
          <w:iCs/>
        </w:rPr>
        <w:t>VERIFY</w:t>
      </w:r>
      <w:r w:rsidRPr="0036555D">
        <w:rPr>
          <w:rFonts w:asciiTheme="minorHAnsi" w:hAnsiTheme="minorHAnsi" w:cstheme="minorBidi"/>
          <w:i/>
          <w:iCs/>
        </w:rPr>
        <w:t xml:space="preserve"> clinical trial in polycythemia vera expected in </w:t>
      </w:r>
      <w:r>
        <w:rPr>
          <w:rFonts w:asciiTheme="minorHAnsi" w:hAnsiTheme="minorHAnsi" w:cstheme="minorBidi"/>
          <w:i/>
          <w:iCs/>
        </w:rPr>
        <w:t>March 2025</w:t>
      </w:r>
    </w:p>
    <w:p w14:paraId="216C4153" w14:textId="77777777" w:rsidR="00D50FA6" w:rsidRDefault="00D50FA6" w:rsidP="00D50FA6">
      <w:pPr>
        <w:pStyle w:val="NormalWeb"/>
        <w:shd w:val="clear" w:color="auto" w:fill="FFFFFF"/>
        <w:contextualSpacing/>
        <w:jc w:val="center"/>
        <w:rPr>
          <w:rFonts w:asciiTheme="minorHAnsi" w:hAnsiTheme="minorHAnsi" w:cstheme="minorBidi"/>
          <w:i/>
          <w:iCs/>
        </w:rPr>
      </w:pPr>
    </w:p>
    <w:p w14:paraId="5112DF46" w14:textId="41D28872" w:rsidR="00D50FA6" w:rsidRPr="0036555D" w:rsidRDefault="00D50FA6" w:rsidP="00D50FA6">
      <w:pPr>
        <w:pStyle w:val="NormalWeb"/>
        <w:shd w:val="clear" w:color="auto" w:fill="FFFFFF"/>
        <w:contextualSpacing/>
        <w:jc w:val="center"/>
        <w:rPr>
          <w:rFonts w:asciiTheme="minorHAnsi" w:hAnsiTheme="minorHAnsi" w:cstheme="minorBidi"/>
          <w:i/>
          <w:iCs/>
        </w:rPr>
      </w:pPr>
      <w:r w:rsidRPr="0036555D">
        <w:rPr>
          <w:rFonts w:asciiTheme="minorHAnsi" w:hAnsiTheme="minorHAnsi" w:cstheme="minorBidi"/>
          <w:i/>
          <w:iCs/>
        </w:rPr>
        <w:t xml:space="preserve">Top </w:t>
      </w:r>
      <w:r>
        <w:rPr>
          <w:rFonts w:asciiTheme="minorHAnsi" w:hAnsiTheme="minorHAnsi" w:cstheme="minorBidi"/>
          <w:i/>
          <w:iCs/>
        </w:rPr>
        <w:t>l</w:t>
      </w:r>
      <w:r w:rsidRPr="0036555D">
        <w:rPr>
          <w:rFonts w:asciiTheme="minorHAnsi" w:hAnsiTheme="minorHAnsi" w:cstheme="minorBidi"/>
          <w:i/>
          <w:iCs/>
        </w:rPr>
        <w:t xml:space="preserve">ine </w:t>
      </w:r>
      <w:r>
        <w:rPr>
          <w:rFonts w:asciiTheme="minorHAnsi" w:hAnsiTheme="minorHAnsi" w:cstheme="minorBidi"/>
          <w:i/>
          <w:iCs/>
        </w:rPr>
        <w:t>results</w:t>
      </w:r>
      <w:r w:rsidRPr="0036555D">
        <w:rPr>
          <w:rFonts w:asciiTheme="minorHAnsi" w:hAnsiTheme="minorHAnsi" w:cstheme="minorBidi"/>
          <w:i/>
          <w:iCs/>
        </w:rPr>
        <w:t xml:space="preserve"> for </w:t>
      </w:r>
      <w:r>
        <w:rPr>
          <w:rFonts w:asciiTheme="minorHAnsi" w:hAnsiTheme="minorHAnsi" w:cstheme="minorBidi"/>
          <w:i/>
          <w:iCs/>
        </w:rPr>
        <w:t>icotrokinra</w:t>
      </w:r>
      <w:r w:rsidRPr="0036555D">
        <w:rPr>
          <w:rFonts w:asciiTheme="minorHAnsi" w:hAnsiTheme="minorHAnsi" w:cstheme="minorBidi"/>
          <w:i/>
          <w:iCs/>
        </w:rPr>
        <w:t xml:space="preserve"> Phase 2b ANTHEM clinical trial in moderate to severe ulcerative colitis expected in </w:t>
      </w:r>
      <w:r w:rsidR="00FD0579">
        <w:rPr>
          <w:rFonts w:asciiTheme="minorHAnsi" w:hAnsiTheme="minorHAnsi" w:cstheme="minorBidi"/>
          <w:i/>
          <w:iCs/>
        </w:rPr>
        <w:t>March</w:t>
      </w:r>
      <w:r w:rsidR="00FD0579" w:rsidRPr="0036555D">
        <w:rPr>
          <w:rFonts w:asciiTheme="minorHAnsi" w:hAnsiTheme="minorHAnsi" w:cstheme="minorBidi"/>
          <w:i/>
          <w:iCs/>
        </w:rPr>
        <w:t xml:space="preserve"> </w:t>
      </w:r>
      <w:r w:rsidRPr="0036555D">
        <w:rPr>
          <w:rFonts w:asciiTheme="minorHAnsi" w:hAnsiTheme="minorHAnsi" w:cstheme="minorBidi"/>
          <w:i/>
          <w:iCs/>
        </w:rPr>
        <w:t>2025</w:t>
      </w:r>
    </w:p>
    <w:p w14:paraId="5C0C5D44" w14:textId="77777777" w:rsidR="00D50FA6" w:rsidRPr="0036555D" w:rsidRDefault="00D50FA6" w:rsidP="00D50FA6">
      <w:pPr>
        <w:pStyle w:val="NormalWeb"/>
        <w:shd w:val="clear" w:color="auto" w:fill="FFFFFF"/>
        <w:contextualSpacing/>
        <w:rPr>
          <w:rFonts w:asciiTheme="minorHAnsi" w:hAnsiTheme="minorHAnsi" w:cstheme="minorBidi"/>
          <w:i/>
          <w:iCs/>
        </w:rPr>
      </w:pPr>
    </w:p>
    <w:p w14:paraId="6162D590" w14:textId="2644F47A" w:rsidR="00D50FA6" w:rsidRPr="0036555D" w:rsidRDefault="00D50FA6" w:rsidP="00D50FA6">
      <w:pPr>
        <w:pStyle w:val="NormalWeb"/>
        <w:shd w:val="clear" w:color="auto" w:fill="FFFFFF"/>
        <w:contextualSpacing/>
        <w:jc w:val="center"/>
        <w:rPr>
          <w:rFonts w:asciiTheme="minorHAnsi" w:hAnsiTheme="minorHAnsi" w:cstheme="minorBidi"/>
          <w:i/>
          <w:iCs/>
        </w:rPr>
      </w:pPr>
      <w:r w:rsidRPr="0036555D">
        <w:rPr>
          <w:rFonts w:asciiTheme="minorHAnsi" w:hAnsiTheme="minorHAnsi" w:cstheme="minorBidi"/>
          <w:i/>
          <w:iCs/>
        </w:rPr>
        <w:t>Cash, cash equivalents and marketable securities of $</w:t>
      </w:r>
      <w:r w:rsidR="00453534">
        <w:rPr>
          <w:rFonts w:asciiTheme="minorHAnsi" w:hAnsiTheme="minorHAnsi" w:cstheme="minorBidi"/>
          <w:i/>
          <w:iCs/>
        </w:rPr>
        <w:t>559.2</w:t>
      </w:r>
      <w:r w:rsidRPr="00F862F3">
        <w:rPr>
          <w:rFonts w:asciiTheme="minorHAnsi" w:hAnsiTheme="minorHAnsi" w:cstheme="minorBidi"/>
          <w:i/>
          <w:iCs/>
        </w:rPr>
        <w:t xml:space="preserve"> </w:t>
      </w:r>
      <w:r>
        <w:rPr>
          <w:rFonts w:asciiTheme="minorHAnsi" w:hAnsiTheme="minorHAnsi" w:cstheme="minorBidi"/>
          <w:i/>
          <w:iCs/>
        </w:rPr>
        <w:t>million</w:t>
      </w:r>
      <w:r w:rsidRPr="0036555D">
        <w:rPr>
          <w:rFonts w:asciiTheme="minorHAnsi" w:hAnsiTheme="minorHAnsi" w:cstheme="minorBidi"/>
          <w:i/>
          <w:iCs/>
        </w:rPr>
        <w:t xml:space="preserve"> as of </w:t>
      </w:r>
      <w:r w:rsidR="00D5627A">
        <w:rPr>
          <w:rFonts w:asciiTheme="minorHAnsi" w:hAnsiTheme="minorHAnsi" w:cstheme="minorBidi"/>
          <w:i/>
          <w:iCs/>
        </w:rPr>
        <w:t>December 31</w:t>
      </w:r>
      <w:r w:rsidRPr="0036555D">
        <w:rPr>
          <w:rFonts w:asciiTheme="minorHAnsi" w:hAnsiTheme="minorHAnsi" w:cstheme="minorBidi"/>
          <w:i/>
          <w:iCs/>
        </w:rPr>
        <w:t xml:space="preserve">, 2024, </w:t>
      </w:r>
      <w:r w:rsidR="00934366">
        <w:rPr>
          <w:rFonts w:asciiTheme="minorHAnsi" w:hAnsiTheme="minorHAnsi" w:cstheme="minorBidi"/>
          <w:i/>
          <w:iCs/>
        </w:rPr>
        <w:t xml:space="preserve">combined with $165.0 million </w:t>
      </w:r>
      <w:r w:rsidR="00FC2742">
        <w:rPr>
          <w:rFonts w:asciiTheme="minorHAnsi" w:hAnsiTheme="minorHAnsi" w:cstheme="minorBidi"/>
          <w:i/>
          <w:iCs/>
        </w:rPr>
        <w:t xml:space="preserve">milestone payment, </w:t>
      </w:r>
      <w:r w:rsidRPr="0036555D">
        <w:rPr>
          <w:rFonts w:asciiTheme="minorHAnsi" w:hAnsiTheme="minorHAnsi" w:cstheme="minorBidi"/>
          <w:i/>
          <w:iCs/>
        </w:rPr>
        <w:t xml:space="preserve">anticipated to provide cash runway through </w:t>
      </w:r>
      <w:r w:rsidR="00FC2742">
        <w:rPr>
          <w:rFonts w:asciiTheme="minorHAnsi" w:hAnsiTheme="minorHAnsi" w:cstheme="minorBidi"/>
          <w:i/>
          <w:iCs/>
        </w:rPr>
        <w:t xml:space="preserve">at least </w:t>
      </w:r>
      <w:r w:rsidRPr="0036555D">
        <w:rPr>
          <w:rFonts w:asciiTheme="minorHAnsi" w:hAnsiTheme="minorHAnsi" w:cstheme="minorBidi"/>
          <w:i/>
          <w:iCs/>
        </w:rPr>
        <w:t>end of 202</w:t>
      </w:r>
      <w:r w:rsidR="00D5627A">
        <w:rPr>
          <w:rFonts w:asciiTheme="minorHAnsi" w:hAnsiTheme="minorHAnsi" w:cstheme="minorBidi"/>
          <w:i/>
          <w:iCs/>
        </w:rPr>
        <w:t>8</w:t>
      </w:r>
    </w:p>
    <w:p w14:paraId="27A7E9AE" w14:textId="77777777" w:rsidR="00D50FA6" w:rsidRDefault="00D50FA6" w:rsidP="00D50FA6">
      <w:pPr>
        <w:pStyle w:val="NormalWeb"/>
        <w:shd w:val="clear" w:color="auto" w:fill="FFFFFF"/>
        <w:contextualSpacing/>
        <w:rPr>
          <w:rFonts w:asciiTheme="minorHAnsi" w:hAnsiTheme="minorHAnsi" w:cstheme="minorBidi"/>
          <w:i/>
          <w:iCs/>
        </w:rPr>
      </w:pPr>
    </w:p>
    <w:p w14:paraId="6FBC6F0E" w14:textId="77777777" w:rsidR="00D50FA6" w:rsidRPr="0036555D" w:rsidRDefault="00D50FA6" w:rsidP="00D50FA6">
      <w:pPr>
        <w:pStyle w:val="NormalWeb"/>
        <w:shd w:val="clear" w:color="auto" w:fill="FFFFFF"/>
        <w:contextualSpacing/>
        <w:rPr>
          <w:rFonts w:asciiTheme="minorHAnsi" w:hAnsiTheme="minorHAnsi" w:cstheme="minorBidi"/>
          <w:i/>
          <w:iCs/>
        </w:rPr>
      </w:pPr>
    </w:p>
    <w:p w14:paraId="2AFD6ACB" w14:textId="77777777" w:rsidR="00D50FA6" w:rsidRPr="0036555D" w:rsidRDefault="00D50FA6" w:rsidP="00D50FA6">
      <w:pPr>
        <w:pStyle w:val="NormalWeb"/>
        <w:shd w:val="clear" w:color="auto" w:fill="FFFFFF"/>
        <w:contextualSpacing/>
        <w:rPr>
          <w:rFonts w:asciiTheme="minorHAnsi" w:hAnsiTheme="minorHAnsi" w:cstheme="minorBidi"/>
          <w:i/>
          <w:iCs/>
        </w:rPr>
      </w:pPr>
    </w:p>
    <w:p w14:paraId="56F6A737" w14:textId="428281A3" w:rsidR="00D50FA6" w:rsidRPr="0036555D" w:rsidRDefault="00D50FA6" w:rsidP="00D50FA6">
      <w:pPr>
        <w:pStyle w:val="NormalWeb"/>
        <w:shd w:val="clear" w:color="auto" w:fill="FFFFFF"/>
        <w:rPr>
          <w:rFonts w:asciiTheme="minorHAnsi" w:hAnsiTheme="minorHAnsi" w:cstheme="minorBidi"/>
        </w:rPr>
      </w:pPr>
      <w:r w:rsidRPr="0036555D">
        <w:rPr>
          <w:rFonts w:asciiTheme="minorHAnsi" w:hAnsiTheme="minorHAnsi" w:cstheme="minorBidi"/>
          <w:b/>
          <w:bCs/>
        </w:rPr>
        <w:t>NEWARK, Calif., </w:t>
      </w:r>
      <w:r>
        <w:rPr>
          <w:rFonts w:asciiTheme="minorHAnsi" w:hAnsiTheme="minorHAnsi" w:cstheme="minorBidi"/>
          <w:b/>
          <w:bCs/>
        </w:rPr>
        <w:t>February 2</w:t>
      </w:r>
      <w:r w:rsidR="00422986">
        <w:rPr>
          <w:rFonts w:asciiTheme="minorHAnsi" w:hAnsiTheme="minorHAnsi" w:cstheme="minorBidi"/>
          <w:b/>
          <w:bCs/>
        </w:rPr>
        <w:t>1</w:t>
      </w:r>
      <w:r w:rsidRPr="0036555D">
        <w:rPr>
          <w:rFonts w:asciiTheme="minorHAnsi" w:hAnsiTheme="minorHAnsi" w:cstheme="minorBidi"/>
          <w:b/>
          <w:bCs/>
        </w:rPr>
        <w:t>, 202</w:t>
      </w:r>
      <w:r>
        <w:rPr>
          <w:rFonts w:asciiTheme="minorHAnsi" w:hAnsiTheme="minorHAnsi" w:cstheme="minorBidi"/>
          <w:b/>
          <w:bCs/>
        </w:rPr>
        <w:t>5</w:t>
      </w:r>
      <w:r w:rsidRPr="0036555D">
        <w:rPr>
          <w:rFonts w:asciiTheme="minorHAnsi" w:hAnsiTheme="minorHAnsi" w:cstheme="minorBidi"/>
        </w:rPr>
        <w:t xml:space="preserve"> – Protagonist Therapeutics (Nasdaq: PTGX) (“Protagonist” or “the Company”) today reported financial results for the </w:t>
      </w:r>
      <w:r>
        <w:rPr>
          <w:rFonts w:asciiTheme="minorHAnsi" w:hAnsiTheme="minorHAnsi" w:cstheme="minorBidi"/>
        </w:rPr>
        <w:t>fourth</w:t>
      </w:r>
      <w:r w:rsidRPr="0036555D">
        <w:rPr>
          <w:rFonts w:asciiTheme="minorHAnsi" w:hAnsiTheme="minorHAnsi" w:cstheme="minorBidi"/>
        </w:rPr>
        <w:t xml:space="preserve"> quarter </w:t>
      </w:r>
      <w:r>
        <w:rPr>
          <w:rFonts w:asciiTheme="minorHAnsi" w:hAnsiTheme="minorHAnsi" w:cstheme="minorBidi"/>
        </w:rPr>
        <w:t xml:space="preserve">and full year </w:t>
      </w:r>
      <w:r w:rsidRPr="0036555D">
        <w:rPr>
          <w:rFonts w:asciiTheme="minorHAnsi" w:hAnsiTheme="minorHAnsi" w:cstheme="minorBidi"/>
        </w:rPr>
        <w:t xml:space="preserve">ended </w:t>
      </w:r>
      <w:r>
        <w:rPr>
          <w:rFonts w:asciiTheme="minorHAnsi" w:hAnsiTheme="minorHAnsi" w:cstheme="minorBidi"/>
        </w:rPr>
        <w:t>Dec</w:t>
      </w:r>
      <w:r w:rsidRPr="0036555D">
        <w:rPr>
          <w:rFonts w:asciiTheme="minorHAnsi" w:hAnsiTheme="minorHAnsi" w:cstheme="minorBidi"/>
        </w:rPr>
        <w:t>ember 3</w:t>
      </w:r>
      <w:r>
        <w:rPr>
          <w:rFonts w:asciiTheme="minorHAnsi" w:hAnsiTheme="minorHAnsi" w:cstheme="minorBidi"/>
        </w:rPr>
        <w:t>1</w:t>
      </w:r>
      <w:r w:rsidRPr="0036555D">
        <w:rPr>
          <w:rFonts w:asciiTheme="minorHAnsi" w:hAnsiTheme="minorHAnsi" w:cstheme="minorBidi"/>
        </w:rPr>
        <w:t>, 2024, and provided a corporate update.</w:t>
      </w:r>
    </w:p>
    <w:p w14:paraId="67C4B85F" w14:textId="51664846" w:rsidR="006F35FD" w:rsidRPr="001A22C2" w:rsidRDefault="006F35FD" w:rsidP="006F35FD">
      <w:pPr>
        <w:pStyle w:val="NormalWeb"/>
        <w:shd w:val="clear" w:color="auto" w:fill="FFFFFF"/>
        <w:spacing w:after="0"/>
        <w:contextualSpacing/>
        <w:rPr>
          <w:rFonts w:asciiTheme="minorHAnsi" w:hAnsiTheme="minorHAnsi" w:cstheme="minorBidi"/>
        </w:rPr>
      </w:pPr>
      <w:r w:rsidRPr="00BC31FF">
        <w:rPr>
          <w:rFonts w:asciiTheme="minorHAnsi" w:hAnsiTheme="minorHAnsi" w:cstheme="minorBidi"/>
        </w:rPr>
        <w:t xml:space="preserve">“Protagonist is quickly approaching multiple late-stage transformational events </w:t>
      </w:r>
      <w:r w:rsidR="00D77B83">
        <w:rPr>
          <w:rFonts w:asciiTheme="minorHAnsi" w:hAnsiTheme="minorHAnsi" w:cstheme="minorBidi"/>
        </w:rPr>
        <w:t xml:space="preserve">expected </w:t>
      </w:r>
      <w:r w:rsidRPr="00BC31FF">
        <w:rPr>
          <w:rFonts w:asciiTheme="minorHAnsi" w:hAnsiTheme="minorHAnsi" w:cstheme="minorBidi"/>
        </w:rPr>
        <w:t>in the first quarter of this year</w:t>
      </w:r>
      <w:r>
        <w:rPr>
          <w:rFonts w:asciiTheme="minorHAnsi" w:hAnsiTheme="minorHAnsi" w:cstheme="minorBidi"/>
        </w:rPr>
        <w:t xml:space="preserve">, including </w:t>
      </w:r>
      <w:r w:rsidRPr="00BC31FF">
        <w:rPr>
          <w:rFonts w:asciiTheme="minorHAnsi" w:hAnsiTheme="minorHAnsi" w:cstheme="minorBidi"/>
        </w:rPr>
        <w:t xml:space="preserve">the top line results </w:t>
      </w:r>
      <w:r>
        <w:rPr>
          <w:rFonts w:asciiTheme="minorHAnsi" w:hAnsiTheme="minorHAnsi" w:cstheme="minorBidi"/>
        </w:rPr>
        <w:t>from</w:t>
      </w:r>
      <w:r w:rsidRPr="00BC31FF">
        <w:rPr>
          <w:rFonts w:asciiTheme="minorHAnsi" w:hAnsiTheme="minorHAnsi" w:cstheme="minorBidi"/>
        </w:rPr>
        <w:t xml:space="preserve"> the VERIFY Phase 3 study of </w:t>
      </w:r>
      <w:r>
        <w:rPr>
          <w:rFonts w:asciiTheme="minorHAnsi" w:hAnsiTheme="minorHAnsi" w:cstheme="minorBidi"/>
        </w:rPr>
        <w:t>r</w:t>
      </w:r>
      <w:r w:rsidRPr="00BC31FF">
        <w:rPr>
          <w:rFonts w:asciiTheme="minorHAnsi" w:hAnsiTheme="minorHAnsi" w:cstheme="minorBidi"/>
        </w:rPr>
        <w:t>usfertide in polycythemia vera</w:t>
      </w:r>
      <w:r w:rsidRPr="008E72AD">
        <w:rPr>
          <w:rFonts w:asciiTheme="minorHAnsi" w:hAnsiTheme="minorHAnsi" w:cstheme="minorBidi"/>
        </w:rPr>
        <w:t xml:space="preserve"> </w:t>
      </w:r>
      <w:r>
        <w:rPr>
          <w:rFonts w:asciiTheme="minorHAnsi" w:hAnsiTheme="minorHAnsi" w:cstheme="minorBidi"/>
        </w:rPr>
        <w:t>and from the</w:t>
      </w:r>
      <w:r w:rsidRPr="00BC31FF">
        <w:rPr>
          <w:rFonts w:asciiTheme="minorHAnsi" w:hAnsiTheme="minorHAnsi" w:cstheme="minorBidi"/>
        </w:rPr>
        <w:t xml:space="preserve"> </w:t>
      </w:r>
      <w:r>
        <w:rPr>
          <w:rFonts w:asciiTheme="minorHAnsi" w:hAnsiTheme="minorHAnsi" w:cstheme="minorBidi"/>
        </w:rPr>
        <w:t xml:space="preserve">ANTHEM </w:t>
      </w:r>
      <w:r w:rsidRPr="00BC31FF">
        <w:rPr>
          <w:rFonts w:asciiTheme="minorHAnsi" w:hAnsiTheme="minorHAnsi" w:cstheme="minorBidi"/>
        </w:rPr>
        <w:t>Phase 2b ulcerative colitis study</w:t>
      </w:r>
      <w:r>
        <w:rPr>
          <w:rFonts w:asciiTheme="minorHAnsi" w:hAnsiTheme="minorHAnsi" w:cstheme="minorBidi"/>
        </w:rPr>
        <w:t xml:space="preserve"> of icotrokinra</w:t>
      </w:r>
      <w:r w:rsidRPr="00BC31FF">
        <w:rPr>
          <w:rFonts w:asciiTheme="minorHAnsi" w:hAnsiTheme="minorHAnsi" w:cstheme="minorBidi"/>
        </w:rPr>
        <w:t>” said Dinesh V. Patel, Ph.D., the Company’s</w:t>
      </w:r>
      <w:r w:rsidRPr="001A22C2">
        <w:rPr>
          <w:rFonts w:asciiTheme="minorHAnsi" w:hAnsiTheme="minorHAnsi" w:cstheme="minorBidi"/>
        </w:rPr>
        <w:t xml:space="preserve"> President and CEO. “</w:t>
      </w:r>
      <w:r w:rsidRPr="00C04297">
        <w:rPr>
          <w:rFonts w:asciiTheme="minorHAnsi" w:hAnsiTheme="minorHAnsi" w:cstheme="minorBidi"/>
        </w:rPr>
        <w:t>In addition, we look forward to</w:t>
      </w:r>
      <w:r>
        <w:rPr>
          <w:rFonts w:asciiTheme="minorHAnsi" w:hAnsiTheme="minorHAnsi" w:cstheme="minorBidi"/>
        </w:rPr>
        <w:t xml:space="preserve"> progressing oral IL-17 peptide antagonist PN-881 in clinical studies and</w:t>
      </w:r>
      <w:r w:rsidRPr="00C04297">
        <w:rPr>
          <w:rFonts w:asciiTheme="minorHAnsi" w:hAnsiTheme="minorHAnsi" w:cstheme="minorBidi"/>
        </w:rPr>
        <w:t xml:space="preserve"> </w:t>
      </w:r>
      <w:r>
        <w:rPr>
          <w:rFonts w:asciiTheme="minorHAnsi" w:hAnsiTheme="minorHAnsi" w:cstheme="minorBidi"/>
        </w:rPr>
        <w:t>nominating new development candidates from the</w:t>
      </w:r>
      <w:r w:rsidRPr="00C04297">
        <w:rPr>
          <w:rFonts w:asciiTheme="minorHAnsi" w:hAnsiTheme="minorHAnsi" w:cstheme="minorBidi"/>
        </w:rPr>
        <w:t xml:space="preserve"> </w:t>
      </w:r>
      <w:r>
        <w:rPr>
          <w:rFonts w:asciiTheme="minorHAnsi" w:hAnsiTheme="minorHAnsi" w:cstheme="minorBidi"/>
        </w:rPr>
        <w:t>oral anti-</w:t>
      </w:r>
      <w:r w:rsidRPr="00C04297">
        <w:rPr>
          <w:rFonts w:asciiTheme="minorHAnsi" w:hAnsiTheme="minorHAnsi" w:cstheme="minorBidi"/>
        </w:rPr>
        <w:t xml:space="preserve">obesity </w:t>
      </w:r>
      <w:r>
        <w:rPr>
          <w:rFonts w:asciiTheme="minorHAnsi" w:hAnsiTheme="minorHAnsi" w:cstheme="minorBidi"/>
        </w:rPr>
        <w:t xml:space="preserve">and oral hepcidin programs </w:t>
      </w:r>
      <w:r w:rsidR="00E86C50">
        <w:rPr>
          <w:rFonts w:asciiTheme="minorHAnsi" w:hAnsiTheme="minorHAnsi" w:cstheme="minorBidi"/>
        </w:rPr>
        <w:t>this year</w:t>
      </w:r>
      <w:r w:rsidRPr="00C04297">
        <w:rPr>
          <w:rFonts w:asciiTheme="minorHAnsi" w:hAnsiTheme="minorHAnsi" w:cstheme="minorBidi"/>
        </w:rPr>
        <w:t>. We are fortunate to be in a strong cash position, enabling the flexibility to progress these early</w:t>
      </w:r>
      <w:r>
        <w:rPr>
          <w:rFonts w:asciiTheme="minorHAnsi" w:hAnsiTheme="minorHAnsi" w:cstheme="minorBidi"/>
        </w:rPr>
        <w:t>-</w:t>
      </w:r>
      <w:r w:rsidRPr="00C04297">
        <w:rPr>
          <w:rFonts w:asciiTheme="minorHAnsi" w:hAnsiTheme="minorHAnsi" w:cstheme="minorBidi"/>
        </w:rPr>
        <w:t xml:space="preserve">stage peptide drug candidates independently into pre-clinical and clinical </w:t>
      </w:r>
      <w:r>
        <w:rPr>
          <w:rFonts w:asciiTheme="minorHAnsi" w:hAnsiTheme="minorHAnsi" w:cstheme="minorBidi"/>
        </w:rPr>
        <w:t xml:space="preserve">proof-of-concept studies </w:t>
      </w:r>
      <w:r w:rsidRPr="00C04297">
        <w:rPr>
          <w:rFonts w:asciiTheme="minorHAnsi" w:hAnsiTheme="minorHAnsi" w:cstheme="minorBidi"/>
        </w:rPr>
        <w:t>over the coming years.”</w:t>
      </w:r>
    </w:p>
    <w:p w14:paraId="0F084EE2" w14:textId="29912372" w:rsidR="002E224B" w:rsidRDefault="002E224B">
      <w:pPr>
        <w:spacing w:after="160" w:line="259" w:lineRule="auto"/>
        <w:ind w:left="0" w:firstLine="0"/>
        <w:rPr>
          <w:rFonts w:asciiTheme="minorHAnsi" w:eastAsia="Times New Roman" w:hAnsiTheme="minorHAnsi" w:cstheme="minorBidi"/>
          <w:i/>
          <w:iCs/>
          <w:color w:val="auto"/>
          <w:sz w:val="24"/>
          <w:szCs w:val="24"/>
        </w:rPr>
      </w:pPr>
      <w:r>
        <w:rPr>
          <w:rFonts w:asciiTheme="minorHAnsi" w:hAnsiTheme="minorHAnsi" w:cstheme="minorBidi"/>
          <w:i/>
          <w:iCs/>
        </w:rPr>
        <w:br w:type="page"/>
      </w:r>
    </w:p>
    <w:p w14:paraId="4CC6F9EF" w14:textId="279B4EB7" w:rsidR="00D50FA6" w:rsidRDefault="003F3F62" w:rsidP="00D50FA6">
      <w:pPr>
        <w:pStyle w:val="NormalWeb"/>
        <w:shd w:val="clear" w:color="auto" w:fill="FFFFFF"/>
        <w:rPr>
          <w:rFonts w:asciiTheme="minorHAnsi" w:hAnsiTheme="minorHAnsi" w:cstheme="minorBidi"/>
          <w:b/>
          <w:bCs/>
          <w:i/>
          <w:iCs/>
        </w:rPr>
      </w:pPr>
      <w:r>
        <w:rPr>
          <w:rFonts w:asciiTheme="minorHAnsi" w:hAnsiTheme="minorHAnsi" w:cstheme="minorBidi"/>
          <w:b/>
          <w:bCs/>
          <w:i/>
          <w:iCs/>
        </w:rPr>
        <w:lastRenderedPageBreak/>
        <w:t xml:space="preserve">2024 Key Highlights </w:t>
      </w:r>
      <w:bookmarkStart w:id="1" w:name="_Hlk116021590"/>
    </w:p>
    <w:p w14:paraId="04676136" w14:textId="77777777" w:rsidR="007831A5" w:rsidRDefault="007831A5" w:rsidP="007831A5">
      <w:pPr>
        <w:pStyle w:val="NormalWeb"/>
        <w:spacing w:before="0" w:beforeAutospacing="0" w:after="0" w:afterAutospacing="0"/>
        <w:contextualSpacing/>
        <w:rPr>
          <w:rFonts w:asciiTheme="minorHAnsi" w:hAnsiTheme="minorHAnsi" w:cstheme="minorBidi"/>
          <w:b/>
          <w:bCs/>
          <w:i/>
          <w:iCs/>
          <w:lang w:val="it-IT"/>
        </w:rPr>
      </w:pPr>
      <w:r w:rsidRPr="007831A5">
        <w:rPr>
          <w:rFonts w:asciiTheme="minorHAnsi" w:hAnsiTheme="minorHAnsi" w:cstheme="minorBidi"/>
          <w:b/>
          <w:bCs/>
          <w:i/>
          <w:iCs/>
          <w:lang w:val="it-IT"/>
        </w:rPr>
        <w:t xml:space="preserve">Worldwide License and Collaboration Agreement for Rusfertide with Takeda </w:t>
      </w:r>
    </w:p>
    <w:p w14:paraId="7B132124" w14:textId="77777777" w:rsidR="007831A5" w:rsidRPr="007831A5" w:rsidRDefault="007831A5" w:rsidP="007831A5">
      <w:pPr>
        <w:pStyle w:val="NormalWeb"/>
        <w:spacing w:before="0" w:beforeAutospacing="0" w:after="0" w:afterAutospacing="0"/>
        <w:contextualSpacing/>
        <w:rPr>
          <w:rFonts w:asciiTheme="minorHAnsi" w:hAnsiTheme="minorHAnsi" w:cstheme="minorBidi"/>
          <w:b/>
          <w:bCs/>
          <w:i/>
          <w:iCs/>
          <w:lang w:val="it-IT"/>
        </w:rPr>
      </w:pPr>
    </w:p>
    <w:p w14:paraId="0D0911E9" w14:textId="5BEF75DE" w:rsidR="007831A5" w:rsidRPr="007831A5" w:rsidRDefault="007831A5" w:rsidP="007831A5">
      <w:pPr>
        <w:pStyle w:val="BodyText"/>
        <w:numPr>
          <w:ilvl w:val="0"/>
          <w:numId w:val="14"/>
        </w:numPr>
        <w:spacing w:after="240" w:line="240" w:lineRule="auto"/>
        <w:ind w:left="720"/>
        <w:rPr>
          <w:rFonts w:asciiTheme="minorHAnsi" w:eastAsia="Times New Roman" w:hAnsiTheme="minorHAnsi" w:cstheme="minorBidi"/>
          <w:color w:val="auto"/>
          <w:sz w:val="24"/>
          <w:szCs w:val="24"/>
        </w:rPr>
      </w:pPr>
      <w:r w:rsidRPr="007831A5">
        <w:rPr>
          <w:rFonts w:asciiTheme="minorHAnsi" w:eastAsia="Times New Roman" w:hAnsiTheme="minorHAnsi" w:cstheme="minorBidi"/>
          <w:color w:val="auto"/>
          <w:sz w:val="24"/>
          <w:szCs w:val="24"/>
        </w:rPr>
        <w:t xml:space="preserve">On January 31, 2024, </w:t>
      </w:r>
      <w:r w:rsidR="0091182D">
        <w:rPr>
          <w:rFonts w:asciiTheme="minorHAnsi" w:eastAsia="Times New Roman" w:hAnsiTheme="minorHAnsi" w:cstheme="minorBidi"/>
          <w:color w:val="auto"/>
          <w:sz w:val="24"/>
          <w:szCs w:val="24"/>
        </w:rPr>
        <w:t xml:space="preserve">the Company </w:t>
      </w:r>
      <w:r w:rsidRPr="007831A5">
        <w:rPr>
          <w:rFonts w:asciiTheme="minorHAnsi" w:eastAsia="Times New Roman" w:hAnsiTheme="minorHAnsi" w:cstheme="minorBidi"/>
          <w:color w:val="auto"/>
          <w:sz w:val="24"/>
          <w:szCs w:val="24"/>
        </w:rPr>
        <w:t xml:space="preserve">and Takeda announced a worldwide license and collaboration agreement for rusfertide (the “Takeda License and Collaboration Agreement”). We received an upfront cash payment of $300.0 million in April 2024 and </w:t>
      </w:r>
      <w:r w:rsidR="00612663">
        <w:rPr>
          <w:rFonts w:asciiTheme="minorHAnsi" w:eastAsia="Times New Roman" w:hAnsiTheme="minorHAnsi" w:cstheme="minorBidi"/>
          <w:color w:val="auto"/>
          <w:sz w:val="24"/>
          <w:szCs w:val="24"/>
        </w:rPr>
        <w:t>are</w:t>
      </w:r>
      <w:r w:rsidRPr="007831A5">
        <w:rPr>
          <w:rFonts w:asciiTheme="minorHAnsi" w:eastAsia="Times New Roman" w:hAnsiTheme="minorHAnsi" w:cstheme="minorBidi"/>
          <w:color w:val="auto"/>
          <w:sz w:val="24"/>
          <w:szCs w:val="24"/>
        </w:rPr>
        <w:t xml:space="preserve"> eligible to receive up to $330.0 million in development, regulatory, and sales milestones, for a potential deal value of up to $630.0 million, as well as an equal share of profits and losses in the U.S. and royalties on net sales outside the U.S. </w:t>
      </w:r>
    </w:p>
    <w:p w14:paraId="3000E173" w14:textId="22934AED" w:rsidR="007831A5" w:rsidRPr="007831A5" w:rsidRDefault="007831A5" w:rsidP="007831A5">
      <w:pPr>
        <w:pStyle w:val="BodyText"/>
        <w:numPr>
          <w:ilvl w:val="0"/>
          <w:numId w:val="13"/>
        </w:numPr>
        <w:spacing w:after="240" w:line="240" w:lineRule="auto"/>
        <w:rPr>
          <w:rFonts w:asciiTheme="minorHAnsi" w:eastAsia="Times New Roman" w:hAnsiTheme="minorHAnsi" w:cstheme="minorBidi"/>
          <w:color w:val="auto"/>
          <w:sz w:val="24"/>
          <w:szCs w:val="24"/>
        </w:rPr>
      </w:pPr>
      <w:r w:rsidRPr="007831A5">
        <w:rPr>
          <w:rFonts w:asciiTheme="minorHAnsi" w:eastAsia="Times New Roman" w:hAnsiTheme="minorHAnsi" w:cstheme="minorBidi"/>
          <w:color w:val="auto"/>
          <w:sz w:val="24"/>
          <w:szCs w:val="24"/>
        </w:rPr>
        <w:t>Under the terms of the agreement, we have the right to opt-out of the 50:50 profit share</w:t>
      </w:r>
      <w:r w:rsidR="00AB202B">
        <w:rPr>
          <w:rFonts w:asciiTheme="minorHAnsi" w:eastAsia="Times New Roman" w:hAnsiTheme="minorHAnsi" w:cstheme="minorBidi"/>
          <w:color w:val="auto"/>
          <w:sz w:val="24"/>
          <w:szCs w:val="24"/>
        </w:rPr>
        <w:t xml:space="preserve"> after </w:t>
      </w:r>
      <w:r w:rsidR="00736D6C">
        <w:rPr>
          <w:rFonts w:asciiTheme="minorHAnsi" w:eastAsia="Times New Roman" w:hAnsiTheme="minorHAnsi" w:cstheme="minorBidi"/>
          <w:color w:val="auto"/>
          <w:sz w:val="24"/>
          <w:szCs w:val="24"/>
        </w:rPr>
        <w:t>NDA filing</w:t>
      </w:r>
      <w:r w:rsidRPr="007831A5">
        <w:rPr>
          <w:rFonts w:asciiTheme="minorHAnsi" w:eastAsia="Times New Roman" w:hAnsiTheme="minorHAnsi" w:cstheme="minorBidi"/>
          <w:color w:val="auto"/>
          <w:sz w:val="24"/>
          <w:szCs w:val="24"/>
        </w:rPr>
        <w:t xml:space="preserve">. In that event, we would be eligible to receive </w:t>
      </w:r>
      <w:r w:rsidR="00D440FA">
        <w:rPr>
          <w:rFonts w:asciiTheme="minorHAnsi" w:eastAsia="Times New Roman" w:hAnsiTheme="minorHAnsi" w:cstheme="minorBidi"/>
          <w:color w:val="auto"/>
          <w:sz w:val="24"/>
          <w:szCs w:val="24"/>
        </w:rPr>
        <w:t xml:space="preserve">opt-out fees </w:t>
      </w:r>
      <w:r w:rsidRPr="007831A5">
        <w:rPr>
          <w:rFonts w:asciiTheme="minorHAnsi" w:eastAsia="Times New Roman" w:hAnsiTheme="minorHAnsi" w:cstheme="minorBidi"/>
          <w:color w:val="auto"/>
          <w:sz w:val="24"/>
          <w:szCs w:val="24"/>
        </w:rPr>
        <w:t>of up to $400 million and enhanced milestones of up to $975 million, as well as royalties on worldwide net sales. Takeda would maintain full ex-U.S. rights under either scenario.</w:t>
      </w:r>
    </w:p>
    <w:p w14:paraId="07383190" w14:textId="77777777" w:rsidR="002E3925" w:rsidRPr="002E3925" w:rsidRDefault="002E3925" w:rsidP="002E3925">
      <w:pPr>
        <w:pStyle w:val="BodyText"/>
        <w:ind w:firstLine="0"/>
        <w:rPr>
          <w:rFonts w:asciiTheme="minorHAnsi" w:eastAsia="Times New Roman" w:hAnsiTheme="minorHAnsi" w:cstheme="minorBidi"/>
          <w:b/>
          <w:bCs/>
          <w:i/>
          <w:iCs/>
          <w:color w:val="auto"/>
          <w:sz w:val="24"/>
          <w:szCs w:val="24"/>
          <w:lang w:val="it-IT"/>
        </w:rPr>
      </w:pPr>
      <w:r w:rsidRPr="002E3925">
        <w:rPr>
          <w:rFonts w:asciiTheme="minorHAnsi" w:eastAsia="Times New Roman" w:hAnsiTheme="minorHAnsi" w:cstheme="minorBidi"/>
          <w:b/>
          <w:bCs/>
          <w:i/>
          <w:iCs/>
          <w:color w:val="auto"/>
          <w:sz w:val="24"/>
          <w:szCs w:val="24"/>
          <w:lang w:val="it-IT"/>
        </w:rPr>
        <w:t xml:space="preserve">Two articles published in the New England Journal of Medicine (“NEJM”) in February 2024 </w:t>
      </w:r>
    </w:p>
    <w:p w14:paraId="11D21CBC" w14:textId="3638F8BD" w:rsidR="002E3925" w:rsidRPr="002E3925" w:rsidRDefault="002E3925" w:rsidP="002E3925">
      <w:pPr>
        <w:pStyle w:val="BodyText"/>
        <w:numPr>
          <w:ilvl w:val="0"/>
          <w:numId w:val="15"/>
        </w:numPr>
        <w:spacing w:after="240" w:line="240" w:lineRule="auto"/>
        <w:rPr>
          <w:rFonts w:asciiTheme="minorHAnsi" w:eastAsia="Times New Roman" w:hAnsiTheme="minorHAnsi" w:cstheme="minorBidi"/>
          <w:color w:val="auto"/>
          <w:sz w:val="24"/>
          <w:szCs w:val="24"/>
        </w:rPr>
      </w:pPr>
      <w:r w:rsidRPr="002E3925">
        <w:rPr>
          <w:rFonts w:asciiTheme="minorHAnsi" w:eastAsia="Times New Roman" w:hAnsiTheme="minorHAnsi" w:cstheme="minorBidi"/>
          <w:color w:val="auto"/>
          <w:sz w:val="24"/>
          <w:szCs w:val="24"/>
        </w:rPr>
        <w:t xml:space="preserve">On February 7, 2024, the </w:t>
      </w:r>
      <w:r w:rsidR="00420CF3">
        <w:rPr>
          <w:rFonts w:asciiTheme="minorHAnsi" w:eastAsia="Times New Roman" w:hAnsiTheme="minorHAnsi" w:cstheme="minorBidi"/>
          <w:color w:val="auto"/>
          <w:sz w:val="24"/>
          <w:szCs w:val="24"/>
        </w:rPr>
        <w:t>i</w:t>
      </w:r>
      <w:r w:rsidRPr="002E3925">
        <w:rPr>
          <w:rFonts w:asciiTheme="minorHAnsi" w:eastAsia="Times New Roman" w:hAnsiTheme="minorHAnsi" w:cstheme="minorBidi"/>
          <w:color w:val="auto"/>
          <w:sz w:val="24"/>
          <w:szCs w:val="24"/>
        </w:rPr>
        <w:t xml:space="preserve">cotrokinra Phase 2b FRONTIER 1 trial results in adults living with moderate-to-severe plaque psoriasis </w:t>
      </w:r>
      <w:proofErr w:type="gramStart"/>
      <w:r w:rsidRPr="002E3925">
        <w:rPr>
          <w:rFonts w:asciiTheme="minorHAnsi" w:eastAsia="Times New Roman" w:hAnsiTheme="minorHAnsi" w:cstheme="minorBidi"/>
          <w:color w:val="auto"/>
          <w:sz w:val="24"/>
          <w:szCs w:val="24"/>
        </w:rPr>
        <w:t>were published</w:t>
      </w:r>
      <w:proofErr w:type="gramEnd"/>
      <w:r w:rsidRPr="002E3925">
        <w:rPr>
          <w:rFonts w:asciiTheme="minorHAnsi" w:eastAsia="Times New Roman" w:hAnsiTheme="minorHAnsi" w:cstheme="minorBidi"/>
          <w:color w:val="auto"/>
          <w:sz w:val="24"/>
          <w:szCs w:val="24"/>
        </w:rPr>
        <w:t xml:space="preserve"> in the NEJM.</w:t>
      </w:r>
    </w:p>
    <w:p w14:paraId="44A50D59" w14:textId="77777777" w:rsidR="002E3925" w:rsidRPr="002E3925" w:rsidRDefault="002E3925" w:rsidP="002E3925">
      <w:pPr>
        <w:pStyle w:val="BodyText"/>
        <w:numPr>
          <w:ilvl w:val="0"/>
          <w:numId w:val="15"/>
        </w:numPr>
        <w:spacing w:after="240" w:line="240" w:lineRule="auto"/>
        <w:rPr>
          <w:rFonts w:asciiTheme="minorHAnsi" w:eastAsia="Times New Roman" w:hAnsiTheme="minorHAnsi" w:cstheme="minorBidi"/>
          <w:color w:val="auto"/>
          <w:sz w:val="24"/>
          <w:szCs w:val="24"/>
        </w:rPr>
      </w:pPr>
      <w:r w:rsidRPr="002E3925">
        <w:rPr>
          <w:rFonts w:asciiTheme="minorHAnsi" w:eastAsia="Times New Roman" w:hAnsiTheme="minorHAnsi" w:cstheme="minorBidi"/>
          <w:color w:val="auto"/>
          <w:sz w:val="24"/>
          <w:szCs w:val="24"/>
        </w:rPr>
        <w:t xml:space="preserve">On February 21, 2024, the complete Phase 2 REVIVE trial results for rusfertide, including efficacy and safety, </w:t>
      </w:r>
      <w:proofErr w:type="gramStart"/>
      <w:r w:rsidRPr="002E3925">
        <w:rPr>
          <w:rFonts w:asciiTheme="minorHAnsi" w:eastAsia="Times New Roman" w:hAnsiTheme="minorHAnsi" w:cstheme="minorBidi"/>
          <w:color w:val="auto"/>
          <w:sz w:val="24"/>
          <w:szCs w:val="24"/>
        </w:rPr>
        <w:t>were published</w:t>
      </w:r>
      <w:proofErr w:type="gramEnd"/>
      <w:r w:rsidRPr="002E3925">
        <w:rPr>
          <w:rFonts w:asciiTheme="minorHAnsi" w:eastAsia="Times New Roman" w:hAnsiTheme="minorHAnsi" w:cstheme="minorBidi"/>
          <w:color w:val="auto"/>
          <w:sz w:val="24"/>
          <w:szCs w:val="24"/>
        </w:rPr>
        <w:t xml:space="preserve"> in the NEJM.</w:t>
      </w:r>
    </w:p>
    <w:p w14:paraId="0AFDD9E4" w14:textId="77777777" w:rsidR="002E3925" w:rsidRPr="002E3925" w:rsidRDefault="002E3925" w:rsidP="002E3925">
      <w:pPr>
        <w:pStyle w:val="BodyText"/>
        <w:ind w:firstLine="0"/>
        <w:rPr>
          <w:rFonts w:asciiTheme="minorHAnsi" w:eastAsia="Times New Roman" w:hAnsiTheme="minorHAnsi" w:cstheme="minorBidi"/>
          <w:b/>
          <w:bCs/>
          <w:i/>
          <w:iCs/>
          <w:color w:val="auto"/>
          <w:sz w:val="24"/>
          <w:szCs w:val="24"/>
          <w:lang w:val="it-IT"/>
        </w:rPr>
      </w:pPr>
      <w:r w:rsidRPr="002E3925">
        <w:rPr>
          <w:rFonts w:asciiTheme="minorHAnsi" w:eastAsia="Times New Roman" w:hAnsiTheme="minorHAnsi" w:cstheme="minorBidi"/>
          <w:b/>
          <w:bCs/>
          <w:i/>
          <w:iCs/>
          <w:color w:val="auto"/>
          <w:sz w:val="24"/>
          <w:szCs w:val="24"/>
          <w:lang w:val="it-IT"/>
        </w:rPr>
        <w:t>S&amp;P SmallCap 600 Index</w:t>
      </w:r>
    </w:p>
    <w:p w14:paraId="479CA90A" w14:textId="77777777" w:rsidR="002E3925" w:rsidRPr="002E3925" w:rsidRDefault="002E3925" w:rsidP="002E3925">
      <w:pPr>
        <w:pStyle w:val="BodyText"/>
        <w:numPr>
          <w:ilvl w:val="0"/>
          <w:numId w:val="15"/>
        </w:numPr>
        <w:spacing w:after="240" w:line="240" w:lineRule="auto"/>
        <w:rPr>
          <w:rFonts w:asciiTheme="minorHAnsi" w:eastAsia="Times New Roman" w:hAnsiTheme="minorHAnsi" w:cstheme="minorBidi"/>
          <w:color w:val="auto"/>
          <w:sz w:val="24"/>
          <w:szCs w:val="24"/>
        </w:rPr>
      </w:pPr>
      <w:r w:rsidRPr="002E3925">
        <w:rPr>
          <w:rFonts w:asciiTheme="minorHAnsi" w:eastAsia="Times New Roman" w:hAnsiTheme="minorHAnsi" w:cstheme="minorBidi"/>
          <w:color w:val="auto"/>
          <w:sz w:val="24"/>
          <w:szCs w:val="24"/>
        </w:rPr>
        <w:t>We joined the Index on July 3, 2024.</w:t>
      </w:r>
    </w:p>
    <w:bookmarkEnd w:id="1"/>
    <w:p w14:paraId="48071119" w14:textId="77777777" w:rsidR="00D50FA6" w:rsidRPr="00FC6D2D" w:rsidRDefault="00D50FA6" w:rsidP="00D50FA6">
      <w:pPr>
        <w:pStyle w:val="NormalWeb"/>
        <w:spacing w:before="0" w:beforeAutospacing="0" w:after="0" w:afterAutospacing="0"/>
        <w:contextualSpacing/>
        <w:rPr>
          <w:rFonts w:asciiTheme="minorHAnsi" w:hAnsiTheme="minorHAnsi" w:cstheme="minorBidi"/>
          <w:b/>
          <w:bCs/>
          <w:i/>
          <w:iCs/>
          <w:lang w:val="it-IT"/>
        </w:rPr>
      </w:pPr>
      <w:r w:rsidRPr="00FC6D2D">
        <w:rPr>
          <w:rFonts w:asciiTheme="minorHAnsi" w:hAnsiTheme="minorHAnsi" w:cstheme="minorBidi"/>
          <w:b/>
          <w:bCs/>
          <w:i/>
          <w:iCs/>
          <w:lang w:val="it-IT"/>
        </w:rPr>
        <w:t>Icotrokinra: Oral IL-23 Receptor Antagonist</w:t>
      </w:r>
    </w:p>
    <w:p w14:paraId="5227CB8A" w14:textId="77777777" w:rsidR="00D50FA6" w:rsidRPr="00FC6D2D" w:rsidRDefault="00D50FA6" w:rsidP="00D50FA6">
      <w:pPr>
        <w:pStyle w:val="NormalWeb"/>
        <w:spacing w:before="0" w:beforeAutospacing="0" w:after="0" w:afterAutospacing="0"/>
        <w:contextualSpacing/>
        <w:rPr>
          <w:rFonts w:asciiTheme="minorHAnsi" w:hAnsiTheme="minorHAnsi" w:cstheme="minorBidi"/>
          <w:b/>
          <w:bCs/>
          <w:i/>
          <w:iCs/>
          <w:lang w:val="it-IT"/>
        </w:rPr>
      </w:pPr>
    </w:p>
    <w:p w14:paraId="5BB856B5" w14:textId="6B307DE7" w:rsidR="00D50FA6" w:rsidRDefault="00D50FA6" w:rsidP="00D50FA6">
      <w:pPr>
        <w:pStyle w:val="NormalWeb"/>
        <w:numPr>
          <w:ilvl w:val="0"/>
          <w:numId w:val="3"/>
        </w:numPr>
        <w:shd w:val="clear" w:color="auto" w:fill="FFFFFF"/>
        <w:spacing w:before="0" w:beforeAutospacing="0" w:after="0" w:afterAutospacing="0"/>
        <w:contextualSpacing/>
        <w:rPr>
          <w:rFonts w:asciiTheme="minorHAnsi" w:hAnsiTheme="minorHAnsi" w:cstheme="minorBidi"/>
        </w:rPr>
      </w:pPr>
      <w:r w:rsidRPr="00F4698D">
        <w:rPr>
          <w:rFonts w:asciiTheme="minorHAnsi" w:hAnsiTheme="minorHAnsi" w:cstheme="minorBidi"/>
          <w:b/>
          <w:bCs/>
        </w:rPr>
        <w:t>Positive top line results for the Phase 3 ICONIC-LEAD and ICONIC-TOTAL studies</w:t>
      </w:r>
      <w:r w:rsidR="00EB729C">
        <w:rPr>
          <w:rStyle w:val="FootnoteReference"/>
          <w:rFonts w:asciiTheme="minorHAnsi" w:hAnsiTheme="minorHAnsi" w:cstheme="minorBidi"/>
          <w:b/>
          <w:bCs/>
        </w:rPr>
        <w:footnoteReference w:id="2"/>
      </w:r>
      <w:r w:rsidRPr="0036555D">
        <w:rPr>
          <w:rFonts w:asciiTheme="minorHAnsi" w:hAnsiTheme="minorHAnsi" w:cstheme="minorBidi"/>
        </w:rPr>
        <w:t xml:space="preserve"> in moderate to severe plaque psoriasis, </w:t>
      </w:r>
      <w:proofErr w:type="gramStart"/>
      <w:r>
        <w:rPr>
          <w:rFonts w:asciiTheme="minorHAnsi" w:hAnsiTheme="minorHAnsi" w:cstheme="minorBidi"/>
        </w:rPr>
        <w:t>were reported</w:t>
      </w:r>
      <w:proofErr w:type="gramEnd"/>
      <w:r>
        <w:rPr>
          <w:rFonts w:asciiTheme="minorHAnsi" w:hAnsiTheme="minorHAnsi" w:cstheme="minorBidi"/>
        </w:rPr>
        <w:t xml:space="preserve"> </w:t>
      </w:r>
      <w:r w:rsidRPr="0036555D">
        <w:rPr>
          <w:rFonts w:asciiTheme="minorHAnsi" w:hAnsiTheme="minorHAnsi" w:cstheme="minorBidi"/>
        </w:rPr>
        <w:t>in Q4 2024.</w:t>
      </w:r>
      <w:r>
        <w:rPr>
          <w:rFonts w:asciiTheme="minorHAnsi" w:hAnsiTheme="minorHAnsi" w:cstheme="minorBidi"/>
        </w:rPr>
        <w:t xml:space="preserve"> </w:t>
      </w:r>
    </w:p>
    <w:p w14:paraId="49E334F8" w14:textId="4D788579" w:rsidR="00D50FA6" w:rsidRDefault="00D50FA6" w:rsidP="00035FF5">
      <w:pPr>
        <w:pStyle w:val="NormalWeb"/>
        <w:numPr>
          <w:ilvl w:val="0"/>
          <w:numId w:val="12"/>
        </w:numPr>
        <w:shd w:val="clear" w:color="auto" w:fill="FFFFFF"/>
        <w:spacing w:before="120" w:beforeAutospacing="0" w:after="120" w:afterAutospacing="0"/>
        <w:ind w:left="1260"/>
        <w:rPr>
          <w:rFonts w:asciiTheme="minorHAnsi" w:hAnsiTheme="minorHAnsi" w:cstheme="minorBidi"/>
        </w:rPr>
      </w:pPr>
      <w:r w:rsidRPr="0004586E">
        <w:rPr>
          <w:rFonts w:asciiTheme="minorHAnsi" w:hAnsiTheme="minorHAnsi" w:cstheme="minorBidi"/>
        </w:rPr>
        <w:t xml:space="preserve">In the ICONIC-LEAD study, once-daily icotrokinra showed significant skin clearance versus placebo in adults and adolescents with moderate to severe plaque psoriasis. At week </w:t>
      </w:r>
      <w:proofErr w:type="gramStart"/>
      <w:r w:rsidRPr="0004586E">
        <w:rPr>
          <w:rFonts w:asciiTheme="minorHAnsi" w:hAnsiTheme="minorHAnsi" w:cstheme="minorBidi"/>
        </w:rPr>
        <w:t>16</w:t>
      </w:r>
      <w:proofErr w:type="gramEnd"/>
      <w:r w:rsidRPr="0004586E">
        <w:rPr>
          <w:rFonts w:asciiTheme="minorHAnsi" w:hAnsiTheme="minorHAnsi" w:cstheme="minorBidi"/>
        </w:rPr>
        <w:t>, nearly two-thirds (64.7%) of patients treated with icotrokinra achieved IGA</w:t>
      </w:r>
      <w:r w:rsidRPr="00AF6F26">
        <w:rPr>
          <w:rFonts w:asciiTheme="minorHAnsi" w:hAnsiTheme="minorHAnsi" w:cstheme="minorBidi"/>
        </w:rPr>
        <w:t>3</w:t>
      </w:r>
      <w:r w:rsidRPr="0004586E">
        <w:rPr>
          <w:rFonts w:asciiTheme="minorHAnsi" w:hAnsiTheme="minorHAnsi" w:cstheme="minorBidi"/>
        </w:rPr>
        <w:t xml:space="preserve"> scores of 0/1 (clear or almost clear skin), and 49.6% achieved PASI 90, compared to 8.3% and 4.4% on placebo, respectively. Further increases in response rates continued to be observed at week </w:t>
      </w:r>
      <w:proofErr w:type="gramStart"/>
      <w:r w:rsidRPr="0004586E">
        <w:rPr>
          <w:rFonts w:asciiTheme="minorHAnsi" w:hAnsiTheme="minorHAnsi" w:cstheme="minorBidi"/>
        </w:rPr>
        <w:t>24</w:t>
      </w:r>
      <w:proofErr w:type="gramEnd"/>
      <w:r w:rsidRPr="0004586E">
        <w:rPr>
          <w:rFonts w:asciiTheme="minorHAnsi" w:hAnsiTheme="minorHAnsi" w:cstheme="minorBidi"/>
        </w:rPr>
        <w:t xml:space="preserve">, with 74.1% of patients treated with icotrokinra achieving IGA scores of 0/1, and 64.9% achieving PASI 90. Safety data was consistent with the Phase 2 FRONTIER 1 and 2 studies. </w:t>
      </w:r>
    </w:p>
    <w:p w14:paraId="2C73F86B" w14:textId="77777777" w:rsidR="00D50FA6" w:rsidRDefault="00D50FA6" w:rsidP="00035FF5">
      <w:pPr>
        <w:pStyle w:val="NormalWeb"/>
        <w:numPr>
          <w:ilvl w:val="0"/>
          <w:numId w:val="12"/>
        </w:numPr>
        <w:shd w:val="clear" w:color="auto" w:fill="FFFFFF"/>
        <w:spacing w:before="120" w:beforeAutospacing="0" w:after="120" w:afterAutospacing="0"/>
        <w:ind w:left="1260"/>
        <w:rPr>
          <w:rFonts w:asciiTheme="minorHAnsi" w:hAnsiTheme="minorHAnsi" w:cstheme="minorBidi"/>
        </w:rPr>
      </w:pPr>
      <w:r w:rsidRPr="0004586E">
        <w:rPr>
          <w:rFonts w:asciiTheme="minorHAnsi" w:hAnsiTheme="minorHAnsi" w:cstheme="minorBidi"/>
        </w:rPr>
        <w:t xml:space="preserve">A similar proportion of patients experienced adverse events (AEs) between icotrokinra and placebo, with 49.3% and 49.1% of participants experiencing a treatment emergent adverse event (TEAE) at week </w:t>
      </w:r>
      <w:proofErr w:type="gramStart"/>
      <w:r w:rsidRPr="0004586E">
        <w:rPr>
          <w:rFonts w:asciiTheme="minorHAnsi" w:hAnsiTheme="minorHAnsi" w:cstheme="minorBidi"/>
        </w:rPr>
        <w:t>16</w:t>
      </w:r>
      <w:proofErr w:type="gramEnd"/>
      <w:r w:rsidRPr="0004586E">
        <w:rPr>
          <w:rFonts w:asciiTheme="minorHAnsi" w:hAnsiTheme="minorHAnsi" w:cstheme="minorBidi"/>
        </w:rPr>
        <w:t xml:space="preserve">. In addition, positive topline </w:t>
      </w:r>
      <w:r w:rsidRPr="0004586E">
        <w:rPr>
          <w:rFonts w:asciiTheme="minorHAnsi" w:hAnsiTheme="minorHAnsi" w:cstheme="minorBidi"/>
        </w:rPr>
        <w:lastRenderedPageBreak/>
        <w:t>results from the Ph</w:t>
      </w:r>
      <w:r>
        <w:rPr>
          <w:rFonts w:asciiTheme="minorHAnsi" w:hAnsiTheme="minorHAnsi" w:cstheme="minorBidi"/>
        </w:rPr>
        <w:t xml:space="preserve">ase 3 ICONIC-TOTAL </w:t>
      </w:r>
      <w:r w:rsidRPr="0004586E">
        <w:rPr>
          <w:rFonts w:asciiTheme="minorHAnsi" w:hAnsiTheme="minorHAnsi" w:cstheme="minorBidi"/>
        </w:rPr>
        <w:t xml:space="preserve">study showed once-daily icotrokinra met the primary endpoint of IGA of 0/1 at week </w:t>
      </w:r>
      <w:proofErr w:type="gramStart"/>
      <w:r w:rsidRPr="0004586E">
        <w:rPr>
          <w:rFonts w:asciiTheme="minorHAnsi" w:hAnsiTheme="minorHAnsi" w:cstheme="minorBidi"/>
        </w:rPr>
        <w:t>16</w:t>
      </w:r>
      <w:proofErr w:type="gramEnd"/>
      <w:r w:rsidRPr="0004586E">
        <w:rPr>
          <w:rFonts w:asciiTheme="minorHAnsi" w:hAnsiTheme="minorHAnsi" w:cstheme="minorBidi"/>
        </w:rPr>
        <w:t xml:space="preserve"> compared to placebo. </w:t>
      </w:r>
    </w:p>
    <w:p w14:paraId="780DF10B" w14:textId="596084DD" w:rsidR="00D50FA6" w:rsidRDefault="00D50FA6" w:rsidP="00035FF5">
      <w:pPr>
        <w:pStyle w:val="NormalWeb"/>
        <w:numPr>
          <w:ilvl w:val="0"/>
          <w:numId w:val="12"/>
        </w:numPr>
        <w:shd w:val="clear" w:color="auto" w:fill="FFFFFF"/>
        <w:spacing w:before="120" w:beforeAutospacing="0" w:after="120" w:afterAutospacing="0"/>
        <w:ind w:left="1260"/>
        <w:rPr>
          <w:rFonts w:asciiTheme="minorHAnsi" w:hAnsiTheme="minorHAnsi" w:cstheme="minorBidi"/>
        </w:rPr>
      </w:pPr>
      <w:r>
        <w:rPr>
          <w:rFonts w:asciiTheme="minorHAnsi" w:hAnsiTheme="minorHAnsi" w:cstheme="minorBidi"/>
        </w:rPr>
        <w:t xml:space="preserve">The full data sets for each of these trials </w:t>
      </w:r>
      <w:proofErr w:type="gramStart"/>
      <w:r w:rsidR="00182EE4">
        <w:rPr>
          <w:rFonts w:asciiTheme="minorHAnsi" w:hAnsiTheme="minorHAnsi" w:cstheme="minorBidi"/>
        </w:rPr>
        <w:t>are</w:t>
      </w:r>
      <w:r>
        <w:rPr>
          <w:rFonts w:asciiTheme="minorHAnsi" w:hAnsiTheme="minorHAnsi" w:cstheme="minorBidi"/>
        </w:rPr>
        <w:t xml:space="preserve"> expected</w:t>
      </w:r>
      <w:proofErr w:type="gramEnd"/>
      <w:r>
        <w:rPr>
          <w:rFonts w:asciiTheme="minorHAnsi" w:hAnsiTheme="minorHAnsi" w:cstheme="minorBidi"/>
        </w:rPr>
        <w:t xml:space="preserve"> at an upcoming major medical conference.</w:t>
      </w:r>
    </w:p>
    <w:p w14:paraId="2288DEFD" w14:textId="77777777" w:rsidR="000F3BCE" w:rsidRPr="000F3BCE" w:rsidRDefault="000F3BCE" w:rsidP="000F3BCE">
      <w:pPr>
        <w:pStyle w:val="BodyText"/>
        <w:ind w:firstLine="0"/>
        <w:rPr>
          <w:rFonts w:asciiTheme="minorHAnsi" w:eastAsia="Times New Roman" w:hAnsiTheme="minorHAnsi" w:cstheme="minorBidi"/>
          <w:b/>
          <w:bCs/>
          <w:color w:val="auto"/>
          <w:sz w:val="24"/>
          <w:szCs w:val="24"/>
        </w:rPr>
      </w:pPr>
      <w:r w:rsidRPr="000F3BCE">
        <w:rPr>
          <w:rFonts w:asciiTheme="minorHAnsi" w:eastAsia="Times New Roman" w:hAnsiTheme="minorHAnsi" w:cstheme="minorBidi"/>
          <w:b/>
          <w:bCs/>
          <w:color w:val="auto"/>
          <w:sz w:val="24"/>
          <w:szCs w:val="24"/>
        </w:rPr>
        <w:t>Nomination of PN-881, a potential best-in-class oral peptide IL-17 antagonist development candidate; additional discovery programs announced</w:t>
      </w:r>
    </w:p>
    <w:p w14:paraId="77DF55AA" w14:textId="77777777" w:rsidR="000F3BCE" w:rsidRPr="000F3BCE" w:rsidRDefault="000F3BCE" w:rsidP="00A318F4">
      <w:pPr>
        <w:pStyle w:val="BodyText"/>
        <w:numPr>
          <w:ilvl w:val="0"/>
          <w:numId w:val="3"/>
        </w:numPr>
        <w:spacing w:after="240" w:line="240" w:lineRule="auto"/>
        <w:rPr>
          <w:rFonts w:asciiTheme="minorHAnsi" w:eastAsia="Times New Roman" w:hAnsiTheme="minorHAnsi" w:cstheme="minorBidi"/>
          <w:color w:val="auto"/>
          <w:sz w:val="24"/>
          <w:szCs w:val="24"/>
        </w:rPr>
      </w:pPr>
      <w:r w:rsidRPr="000F3BCE">
        <w:rPr>
          <w:rFonts w:asciiTheme="minorHAnsi" w:eastAsia="Times New Roman" w:hAnsiTheme="minorHAnsi" w:cstheme="minorBidi"/>
          <w:color w:val="auto"/>
          <w:sz w:val="24"/>
          <w:szCs w:val="24"/>
        </w:rPr>
        <w:t xml:space="preserve">On November 21, 2024, we announced the nomination of PN-881 following extensive preclinical studies, including oral stability, potency, tissue distribution, and pharmacokinetics measurements, and evaluation in immunologic pharmacodynamics and preclinical efficacy models. PN-881 demonstrated in vitro blockade of IL-17 AA homodimer, FF homodimer and AF heterodimer. It demonstrated </w:t>
      </w:r>
      <w:proofErr w:type="gramStart"/>
      <w:r w:rsidRPr="000F3BCE">
        <w:rPr>
          <w:rFonts w:asciiTheme="minorHAnsi" w:eastAsia="Times New Roman" w:hAnsiTheme="minorHAnsi" w:cstheme="minorBidi"/>
          <w:color w:val="auto"/>
          <w:sz w:val="24"/>
          <w:szCs w:val="24"/>
        </w:rPr>
        <w:t>approximately 100-fold</w:t>
      </w:r>
      <w:proofErr w:type="gramEnd"/>
      <w:r w:rsidRPr="000F3BCE">
        <w:rPr>
          <w:rFonts w:asciiTheme="minorHAnsi" w:eastAsia="Times New Roman" w:hAnsiTheme="minorHAnsi" w:cstheme="minorBidi"/>
          <w:color w:val="auto"/>
          <w:sz w:val="24"/>
          <w:szCs w:val="24"/>
        </w:rPr>
        <w:t xml:space="preserve"> greater potency than secukinumab, and similar potency to the most potent approved antibody drugs and nanobody therapeutics currently in development.</w:t>
      </w:r>
    </w:p>
    <w:p w14:paraId="5AEAFE80" w14:textId="5FCAFD0C" w:rsidR="000F3BCE" w:rsidRPr="009607B6" w:rsidRDefault="000F3BCE" w:rsidP="00A318F4">
      <w:pPr>
        <w:pStyle w:val="BodyText"/>
        <w:numPr>
          <w:ilvl w:val="0"/>
          <w:numId w:val="3"/>
        </w:numPr>
        <w:shd w:val="clear" w:color="auto" w:fill="FFFFFF"/>
        <w:spacing w:before="120" w:line="240" w:lineRule="auto"/>
        <w:rPr>
          <w:rFonts w:asciiTheme="minorHAnsi" w:hAnsiTheme="minorHAnsi" w:cstheme="minorBidi"/>
        </w:rPr>
      </w:pPr>
      <w:r w:rsidRPr="009607B6">
        <w:rPr>
          <w:rFonts w:asciiTheme="minorHAnsi" w:eastAsia="Times New Roman" w:hAnsiTheme="minorHAnsi" w:cstheme="minorBidi"/>
          <w:color w:val="auto"/>
          <w:sz w:val="24"/>
          <w:szCs w:val="24"/>
        </w:rPr>
        <w:t>We expect to nominate an oral development candidate in the hepcidin mechanism-based hematology program in Q4 2025, and an oral peptide-based development candidate in the metabolic/obesity program in Q2 2025.</w:t>
      </w:r>
    </w:p>
    <w:p w14:paraId="79ACEAE4" w14:textId="77777777" w:rsidR="00F76848" w:rsidRDefault="00DC1023" w:rsidP="00F01436">
      <w:pPr>
        <w:pStyle w:val="BodyText"/>
        <w:shd w:val="clear" w:color="auto" w:fill="FFFFFF"/>
        <w:spacing w:after="0" w:line="240" w:lineRule="auto"/>
        <w:ind w:left="360" w:hanging="360"/>
        <w:contextualSpacing/>
        <w:rPr>
          <w:rFonts w:asciiTheme="minorHAnsi" w:eastAsia="Times New Roman" w:hAnsiTheme="minorHAnsi" w:cstheme="minorBidi"/>
          <w:b/>
          <w:bCs/>
          <w:color w:val="auto"/>
          <w:sz w:val="24"/>
          <w:szCs w:val="24"/>
        </w:rPr>
      </w:pPr>
      <w:r w:rsidRPr="008C0AE3">
        <w:rPr>
          <w:rFonts w:asciiTheme="minorHAnsi" w:eastAsia="Times New Roman" w:hAnsiTheme="minorHAnsi" w:cstheme="minorBidi"/>
          <w:b/>
          <w:bCs/>
          <w:color w:val="auto"/>
          <w:sz w:val="24"/>
          <w:szCs w:val="24"/>
        </w:rPr>
        <w:t>Achievement of a $165.0 million milestone</w:t>
      </w:r>
    </w:p>
    <w:p w14:paraId="265CAC23" w14:textId="77777777" w:rsidR="00F01436" w:rsidRDefault="00F01436" w:rsidP="00F01436">
      <w:pPr>
        <w:pStyle w:val="BodyText"/>
        <w:shd w:val="clear" w:color="auto" w:fill="FFFFFF"/>
        <w:spacing w:after="0" w:line="240" w:lineRule="auto"/>
        <w:ind w:left="360" w:hanging="360"/>
        <w:contextualSpacing/>
        <w:rPr>
          <w:rFonts w:asciiTheme="minorHAnsi" w:eastAsia="Times New Roman" w:hAnsiTheme="minorHAnsi" w:cstheme="minorBidi"/>
          <w:b/>
          <w:bCs/>
          <w:color w:val="auto"/>
          <w:sz w:val="24"/>
          <w:szCs w:val="24"/>
        </w:rPr>
      </w:pPr>
    </w:p>
    <w:p w14:paraId="5396D47F" w14:textId="7FD5E10E" w:rsidR="006727E3" w:rsidRPr="008C0AE3" w:rsidRDefault="003055EC" w:rsidP="00F01436">
      <w:pPr>
        <w:pStyle w:val="BodyText"/>
        <w:shd w:val="clear" w:color="auto" w:fill="FFFFFF"/>
        <w:spacing w:after="0" w:line="240" w:lineRule="auto"/>
        <w:ind w:left="0" w:firstLine="0"/>
        <w:contextualSpacing/>
        <w:rPr>
          <w:rFonts w:asciiTheme="minorHAnsi" w:eastAsia="Times New Roman" w:hAnsiTheme="minorHAnsi" w:cstheme="minorBidi"/>
          <w:color w:val="auto"/>
          <w:sz w:val="24"/>
          <w:szCs w:val="24"/>
        </w:rPr>
      </w:pPr>
      <w:r w:rsidRPr="008C0AE3">
        <w:rPr>
          <w:rFonts w:asciiTheme="minorHAnsi" w:eastAsia="Times New Roman" w:hAnsiTheme="minorHAnsi" w:cstheme="minorBidi"/>
          <w:color w:val="auto"/>
          <w:sz w:val="24"/>
          <w:szCs w:val="24"/>
        </w:rPr>
        <w:t xml:space="preserve">Under the terms of the icotrokinra license and collaboration agreement with J&amp;J, as amended in November 2024, </w:t>
      </w:r>
      <w:r w:rsidR="002E224B" w:rsidRPr="008C0AE3">
        <w:rPr>
          <w:rFonts w:asciiTheme="minorHAnsi" w:eastAsia="Times New Roman" w:hAnsiTheme="minorHAnsi" w:cstheme="minorBidi"/>
          <w:color w:val="auto"/>
          <w:sz w:val="24"/>
          <w:szCs w:val="24"/>
        </w:rPr>
        <w:t xml:space="preserve">the Company </w:t>
      </w:r>
      <w:r w:rsidRPr="008C0AE3">
        <w:rPr>
          <w:rFonts w:asciiTheme="minorHAnsi" w:eastAsia="Times New Roman" w:hAnsiTheme="minorHAnsi" w:cstheme="minorBidi"/>
          <w:color w:val="auto"/>
          <w:sz w:val="24"/>
          <w:szCs w:val="24"/>
        </w:rPr>
        <w:t>earned $165.0 million in milestone payments during Q4 2</w:t>
      </w:r>
      <w:r w:rsidR="00F46959" w:rsidRPr="008C0AE3">
        <w:rPr>
          <w:rFonts w:asciiTheme="minorHAnsi" w:eastAsia="Times New Roman" w:hAnsiTheme="minorHAnsi" w:cstheme="minorBidi"/>
          <w:color w:val="auto"/>
          <w:sz w:val="24"/>
          <w:szCs w:val="24"/>
        </w:rPr>
        <w:t>02</w:t>
      </w:r>
      <w:r w:rsidRPr="008C0AE3">
        <w:rPr>
          <w:rFonts w:asciiTheme="minorHAnsi" w:eastAsia="Times New Roman" w:hAnsiTheme="minorHAnsi" w:cstheme="minorBidi"/>
          <w:color w:val="auto"/>
          <w:sz w:val="24"/>
          <w:szCs w:val="24"/>
        </w:rPr>
        <w:t xml:space="preserve">4. The $165.0 million </w:t>
      </w:r>
      <w:proofErr w:type="gramStart"/>
      <w:r w:rsidRPr="008C0AE3">
        <w:rPr>
          <w:rFonts w:asciiTheme="minorHAnsi" w:eastAsia="Times New Roman" w:hAnsiTheme="minorHAnsi" w:cstheme="minorBidi"/>
          <w:color w:val="auto"/>
          <w:sz w:val="24"/>
          <w:szCs w:val="24"/>
        </w:rPr>
        <w:t>was received</w:t>
      </w:r>
      <w:proofErr w:type="gramEnd"/>
      <w:r w:rsidRPr="008C0AE3">
        <w:rPr>
          <w:rFonts w:asciiTheme="minorHAnsi" w:eastAsia="Times New Roman" w:hAnsiTheme="minorHAnsi" w:cstheme="minorBidi"/>
          <w:color w:val="auto"/>
          <w:sz w:val="24"/>
          <w:szCs w:val="24"/>
        </w:rPr>
        <w:t xml:space="preserve"> in January 2025</w:t>
      </w:r>
      <w:r w:rsidR="00796CC1" w:rsidRPr="008C0AE3">
        <w:rPr>
          <w:rFonts w:asciiTheme="minorHAnsi" w:eastAsia="Times New Roman" w:hAnsiTheme="minorHAnsi" w:cstheme="minorBidi"/>
          <w:color w:val="auto"/>
          <w:sz w:val="24"/>
          <w:szCs w:val="24"/>
        </w:rPr>
        <w:t>.</w:t>
      </w:r>
    </w:p>
    <w:p w14:paraId="7EE934AD" w14:textId="77777777" w:rsidR="006727E3" w:rsidRPr="002E224B" w:rsidRDefault="006727E3" w:rsidP="006727E3">
      <w:pPr>
        <w:pStyle w:val="BodyText"/>
        <w:shd w:val="clear" w:color="auto" w:fill="FFFFFF"/>
        <w:spacing w:after="0" w:line="240" w:lineRule="auto"/>
        <w:contextualSpacing/>
        <w:rPr>
          <w:rFonts w:asciiTheme="minorHAnsi" w:eastAsia="Times New Roman" w:hAnsiTheme="minorHAnsi" w:cstheme="minorBidi"/>
          <w:color w:val="auto"/>
          <w:sz w:val="24"/>
          <w:szCs w:val="24"/>
        </w:rPr>
      </w:pPr>
    </w:p>
    <w:p w14:paraId="4CD9C4DD" w14:textId="5FC3CF6B" w:rsidR="00E578FA" w:rsidRDefault="00935D0D" w:rsidP="00AF6F26">
      <w:pPr>
        <w:pStyle w:val="NormalWeb"/>
        <w:shd w:val="clear" w:color="auto" w:fill="FFFFFF"/>
        <w:spacing w:before="0" w:beforeAutospacing="0" w:after="0" w:afterAutospacing="0"/>
        <w:contextualSpacing/>
        <w:rPr>
          <w:rFonts w:asciiTheme="minorHAnsi" w:hAnsiTheme="minorHAnsi" w:cstheme="minorBidi"/>
          <w:b/>
          <w:bCs/>
          <w:i/>
          <w:iCs/>
        </w:rPr>
      </w:pPr>
      <w:r>
        <w:rPr>
          <w:rFonts w:asciiTheme="minorHAnsi" w:hAnsiTheme="minorHAnsi" w:cstheme="minorBidi"/>
          <w:b/>
          <w:bCs/>
          <w:i/>
          <w:iCs/>
        </w:rPr>
        <w:t xml:space="preserve">Recent and </w:t>
      </w:r>
      <w:r w:rsidR="00E578FA" w:rsidRPr="002E224B">
        <w:rPr>
          <w:rFonts w:asciiTheme="minorHAnsi" w:hAnsiTheme="minorHAnsi" w:cstheme="minorBidi"/>
          <w:b/>
          <w:bCs/>
          <w:i/>
          <w:iCs/>
        </w:rPr>
        <w:t>Upcoming Milestones</w:t>
      </w:r>
    </w:p>
    <w:p w14:paraId="43BB0F9C" w14:textId="77777777" w:rsidR="003D5F5E" w:rsidRPr="002E224B" w:rsidRDefault="003D5F5E" w:rsidP="002E224B">
      <w:pPr>
        <w:pStyle w:val="NormalWeb"/>
        <w:shd w:val="clear" w:color="auto" w:fill="FFFFFF"/>
        <w:spacing w:before="0" w:beforeAutospacing="0" w:after="0" w:afterAutospacing="0"/>
        <w:contextualSpacing/>
        <w:rPr>
          <w:rFonts w:asciiTheme="minorHAnsi" w:hAnsiTheme="minorHAnsi" w:cstheme="minorBidi"/>
          <w:b/>
          <w:bCs/>
          <w:i/>
          <w:iCs/>
        </w:rPr>
      </w:pPr>
    </w:p>
    <w:p w14:paraId="0C2D9196" w14:textId="77777777" w:rsidR="00E73157" w:rsidRDefault="00E73157" w:rsidP="00E73157">
      <w:pPr>
        <w:pStyle w:val="NormalWeb"/>
        <w:spacing w:after="0" w:afterAutospacing="0"/>
        <w:contextualSpacing/>
        <w:rPr>
          <w:rFonts w:asciiTheme="minorHAnsi" w:hAnsiTheme="minorHAnsi" w:cstheme="minorBidi"/>
          <w:b/>
          <w:bCs/>
          <w:i/>
          <w:iCs/>
        </w:rPr>
      </w:pPr>
      <w:r w:rsidRPr="0036555D">
        <w:rPr>
          <w:rFonts w:asciiTheme="minorHAnsi" w:hAnsiTheme="minorHAnsi" w:cstheme="minorBidi"/>
          <w:b/>
          <w:bCs/>
          <w:i/>
          <w:iCs/>
        </w:rPr>
        <w:t>Rusfertide</w:t>
      </w:r>
    </w:p>
    <w:p w14:paraId="0DC321CB" w14:textId="16E21064" w:rsidR="00935D0D" w:rsidRPr="00E73157" w:rsidRDefault="00E73157" w:rsidP="00D16B65">
      <w:pPr>
        <w:pStyle w:val="NormalWeb"/>
        <w:numPr>
          <w:ilvl w:val="0"/>
          <w:numId w:val="2"/>
        </w:numPr>
        <w:shd w:val="clear" w:color="auto" w:fill="FFFFFF"/>
        <w:spacing w:before="120" w:beforeAutospacing="0" w:after="0" w:afterAutospacing="0"/>
        <w:ind w:left="763" w:hanging="403"/>
        <w:contextualSpacing/>
        <w:rPr>
          <w:rFonts w:asciiTheme="minorHAnsi" w:hAnsiTheme="minorHAnsi" w:cstheme="minorBidi"/>
          <w:b/>
          <w:bCs/>
          <w:i/>
          <w:iCs/>
        </w:rPr>
      </w:pPr>
      <w:r w:rsidRPr="00E73157">
        <w:rPr>
          <w:rFonts w:asciiTheme="minorHAnsi" w:hAnsiTheme="minorHAnsi" w:cstheme="minorBidi"/>
        </w:rPr>
        <w:t xml:space="preserve">Protagonist held an in-person PV Day on February 6, 2025, in New York; a replay of the webcast is available at </w:t>
      </w:r>
      <w:hyperlink r:id="rId12" w:history="1">
        <w:r w:rsidRPr="00E73157">
          <w:rPr>
            <w:rStyle w:val="Hyperlink"/>
            <w:rFonts w:asciiTheme="minorHAnsi" w:hAnsiTheme="minorHAnsi" w:cstheme="minorBidi"/>
          </w:rPr>
          <w:t>https://lifescievents.com/event/protagonist/</w:t>
        </w:r>
      </w:hyperlink>
    </w:p>
    <w:p w14:paraId="7FD6D0EA" w14:textId="1802FF76" w:rsidR="00916862" w:rsidRDefault="00916862" w:rsidP="00AF6F26">
      <w:pPr>
        <w:pStyle w:val="NormalWeb"/>
        <w:numPr>
          <w:ilvl w:val="0"/>
          <w:numId w:val="2"/>
        </w:numPr>
        <w:shd w:val="clear" w:color="auto" w:fill="FFFFFF"/>
        <w:spacing w:before="120" w:beforeAutospacing="0" w:after="120" w:afterAutospacing="0"/>
        <w:ind w:left="763" w:hanging="403"/>
        <w:rPr>
          <w:rFonts w:asciiTheme="minorHAnsi" w:hAnsiTheme="minorHAnsi" w:cstheme="minorBidi"/>
        </w:rPr>
      </w:pPr>
      <w:r w:rsidRPr="0036555D">
        <w:rPr>
          <w:rFonts w:asciiTheme="minorHAnsi" w:hAnsiTheme="minorHAnsi" w:cstheme="minorBidi"/>
        </w:rPr>
        <w:t>The top line data for the Phase 3 VERIFY study</w:t>
      </w:r>
      <w:r w:rsidR="00EB729C">
        <w:rPr>
          <w:rStyle w:val="FootnoteReference"/>
          <w:rFonts w:asciiTheme="minorHAnsi" w:hAnsiTheme="minorHAnsi" w:cstheme="minorBidi"/>
        </w:rPr>
        <w:footnoteReference w:id="3"/>
      </w:r>
      <w:r w:rsidRPr="0036555D">
        <w:rPr>
          <w:rFonts w:asciiTheme="minorHAnsi" w:hAnsiTheme="minorHAnsi" w:cstheme="minorBidi"/>
        </w:rPr>
        <w:t xml:space="preserve"> in </w:t>
      </w:r>
      <w:r>
        <w:rPr>
          <w:rFonts w:asciiTheme="minorHAnsi" w:hAnsiTheme="minorHAnsi" w:cstheme="minorBidi"/>
        </w:rPr>
        <w:t>PV</w:t>
      </w:r>
      <w:r w:rsidRPr="0036555D">
        <w:rPr>
          <w:rFonts w:asciiTheme="minorHAnsi" w:hAnsiTheme="minorHAnsi" w:cstheme="minorBidi"/>
        </w:rPr>
        <w:t xml:space="preserve">, which has a 32-week primary efficacy endpoint, </w:t>
      </w:r>
      <w:proofErr w:type="gramStart"/>
      <w:r w:rsidRPr="0036555D">
        <w:rPr>
          <w:rFonts w:asciiTheme="minorHAnsi" w:hAnsiTheme="minorHAnsi" w:cstheme="minorBidi"/>
        </w:rPr>
        <w:t>is expected</w:t>
      </w:r>
      <w:proofErr w:type="gramEnd"/>
      <w:r w:rsidRPr="0036555D">
        <w:rPr>
          <w:rFonts w:asciiTheme="minorHAnsi" w:hAnsiTheme="minorHAnsi" w:cstheme="minorBidi"/>
        </w:rPr>
        <w:t xml:space="preserve"> in </w:t>
      </w:r>
      <w:r>
        <w:rPr>
          <w:rFonts w:asciiTheme="minorHAnsi" w:hAnsiTheme="minorHAnsi" w:cstheme="minorBidi"/>
        </w:rPr>
        <w:t>March of</w:t>
      </w:r>
      <w:r w:rsidRPr="0036555D">
        <w:rPr>
          <w:rFonts w:asciiTheme="minorHAnsi" w:hAnsiTheme="minorHAnsi" w:cstheme="minorBidi"/>
        </w:rPr>
        <w:t xml:space="preserve"> 2025.</w:t>
      </w:r>
    </w:p>
    <w:p w14:paraId="12A692E1" w14:textId="465CCF99" w:rsidR="00DC1023" w:rsidRDefault="00DC1023" w:rsidP="006727E3">
      <w:pPr>
        <w:pStyle w:val="NormalWeb"/>
        <w:spacing w:after="0" w:afterAutospacing="0"/>
        <w:contextualSpacing/>
        <w:rPr>
          <w:rFonts w:asciiTheme="minorHAnsi" w:hAnsiTheme="minorHAnsi" w:cstheme="minorBidi"/>
          <w:b/>
          <w:bCs/>
          <w:i/>
          <w:iCs/>
        </w:rPr>
      </w:pPr>
      <w:r w:rsidRPr="00DC1023">
        <w:rPr>
          <w:rFonts w:asciiTheme="minorHAnsi" w:hAnsiTheme="minorHAnsi" w:cstheme="minorBidi"/>
          <w:b/>
          <w:bCs/>
          <w:i/>
          <w:iCs/>
        </w:rPr>
        <w:t>Icotrokinra</w:t>
      </w:r>
    </w:p>
    <w:p w14:paraId="7E371D57" w14:textId="77777777" w:rsidR="00DC1023" w:rsidRPr="00DC1023" w:rsidRDefault="00DC1023" w:rsidP="006727E3">
      <w:pPr>
        <w:pStyle w:val="NormalWeb"/>
        <w:spacing w:after="0" w:afterAutospacing="0"/>
        <w:contextualSpacing/>
        <w:rPr>
          <w:rFonts w:asciiTheme="minorHAnsi" w:hAnsiTheme="minorHAnsi" w:cstheme="minorBidi"/>
          <w:b/>
          <w:bCs/>
          <w:i/>
          <w:iCs/>
        </w:rPr>
      </w:pPr>
    </w:p>
    <w:p w14:paraId="7CE6E346" w14:textId="497803B1" w:rsidR="00DC1023" w:rsidRPr="006727E3" w:rsidRDefault="00DC1023" w:rsidP="00ED4385">
      <w:pPr>
        <w:pStyle w:val="NormalWeb"/>
        <w:numPr>
          <w:ilvl w:val="0"/>
          <w:numId w:val="2"/>
        </w:numPr>
        <w:spacing w:after="0" w:afterAutospacing="0"/>
        <w:ind w:hanging="410"/>
        <w:contextualSpacing/>
        <w:rPr>
          <w:rFonts w:asciiTheme="minorHAnsi" w:hAnsiTheme="minorHAnsi" w:cstheme="minorBidi"/>
        </w:rPr>
      </w:pPr>
      <w:r w:rsidRPr="006727E3">
        <w:rPr>
          <w:rFonts w:asciiTheme="minorHAnsi" w:hAnsiTheme="minorHAnsi" w:cstheme="minorBidi"/>
        </w:rPr>
        <w:t>Top line results for the Phase 2b ANTHEM multicenter, randomized, placebo- controlled, dose-ranging study of icotrokinra for the treatment of moderately to severely active ulcerative colitis</w:t>
      </w:r>
      <w:r w:rsidR="00EB729C">
        <w:rPr>
          <w:rStyle w:val="FootnoteReference"/>
          <w:rFonts w:asciiTheme="minorHAnsi" w:hAnsiTheme="minorHAnsi" w:cstheme="minorBidi"/>
        </w:rPr>
        <w:footnoteReference w:id="4"/>
      </w:r>
      <w:r w:rsidRPr="006727E3">
        <w:rPr>
          <w:rFonts w:asciiTheme="minorHAnsi" w:hAnsiTheme="minorHAnsi" w:cstheme="minorBidi"/>
        </w:rPr>
        <w:t xml:space="preserve">, </w:t>
      </w:r>
      <w:proofErr w:type="gramStart"/>
      <w:r w:rsidR="001C144E">
        <w:rPr>
          <w:rFonts w:asciiTheme="minorHAnsi" w:hAnsiTheme="minorHAnsi" w:cstheme="minorBidi"/>
        </w:rPr>
        <w:t>are</w:t>
      </w:r>
      <w:r w:rsidRPr="006727E3">
        <w:rPr>
          <w:rFonts w:asciiTheme="minorHAnsi" w:hAnsiTheme="minorHAnsi" w:cstheme="minorBidi"/>
        </w:rPr>
        <w:t xml:space="preserve"> expected</w:t>
      </w:r>
      <w:proofErr w:type="gramEnd"/>
      <w:r w:rsidRPr="006727E3">
        <w:rPr>
          <w:rFonts w:asciiTheme="minorHAnsi" w:hAnsiTheme="minorHAnsi" w:cstheme="minorBidi"/>
        </w:rPr>
        <w:t xml:space="preserve"> in </w:t>
      </w:r>
      <w:r w:rsidR="00BB2013">
        <w:rPr>
          <w:rFonts w:asciiTheme="minorHAnsi" w:hAnsiTheme="minorHAnsi" w:cstheme="minorBidi"/>
        </w:rPr>
        <w:t>March</w:t>
      </w:r>
      <w:r w:rsidRPr="006727E3">
        <w:rPr>
          <w:rFonts w:asciiTheme="minorHAnsi" w:hAnsiTheme="minorHAnsi" w:cstheme="minorBidi"/>
        </w:rPr>
        <w:t xml:space="preserve"> 2025.</w:t>
      </w:r>
    </w:p>
    <w:p w14:paraId="40A9E6EC" w14:textId="70BC0E74" w:rsidR="00DC1023" w:rsidRDefault="00DC1023" w:rsidP="00ED4385">
      <w:pPr>
        <w:pStyle w:val="NormalWeb"/>
        <w:numPr>
          <w:ilvl w:val="0"/>
          <w:numId w:val="2"/>
        </w:numPr>
        <w:shd w:val="clear" w:color="auto" w:fill="FFFFFF"/>
        <w:spacing w:before="120" w:beforeAutospacing="0" w:after="120" w:afterAutospacing="0"/>
        <w:ind w:left="763" w:hanging="403"/>
        <w:rPr>
          <w:rFonts w:asciiTheme="minorHAnsi" w:hAnsiTheme="minorHAnsi" w:cstheme="minorBidi"/>
        </w:rPr>
      </w:pPr>
      <w:r>
        <w:rPr>
          <w:rFonts w:asciiTheme="minorHAnsi" w:hAnsiTheme="minorHAnsi" w:cstheme="minorBidi"/>
        </w:rPr>
        <w:t>T</w:t>
      </w:r>
      <w:r w:rsidRPr="00305246">
        <w:rPr>
          <w:rFonts w:asciiTheme="minorHAnsi" w:hAnsiTheme="minorHAnsi" w:cstheme="minorBidi"/>
        </w:rPr>
        <w:t xml:space="preserve">op line </w:t>
      </w:r>
      <w:r>
        <w:rPr>
          <w:rFonts w:asciiTheme="minorHAnsi" w:hAnsiTheme="minorHAnsi" w:cstheme="minorBidi"/>
        </w:rPr>
        <w:t>results</w:t>
      </w:r>
      <w:r w:rsidRPr="00305246">
        <w:rPr>
          <w:rFonts w:asciiTheme="minorHAnsi" w:hAnsiTheme="minorHAnsi" w:cstheme="minorBidi"/>
        </w:rPr>
        <w:t xml:space="preserve"> for the Phase 3 ICONIC-ADVANCE 1 and ICONIC-ADVANCE 2 superiority studies</w:t>
      </w:r>
      <w:r w:rsidR="00EB729C">
        <w:rPr>
          <w:rStyle w:val="FootnoteReference"/>
          <w:rFonts w:asciiTheme="minorHAnsi" w:hAnsiTheme="minorHAnsi" w:cstheme="minorBidi"/>
        </w:rPr>
        <w:footnoteReference w:id="5"/>
      </w:r>
      <w:r w:rsidRPr="00305246">
        <w:rPr>
          <w:rFonts w:asciiTheme="minorHAnsi" w:hAnsiTheme="minorHAnsi" w:cstheme="minorBidi"/>
        </w:rPr>
        <w:t xml:space="preserve">, evaluating the safety and efficacy of </w:t>
      </w:r>
      <w:r w:rsidRPr="008E72AD">
        <w:rPr>
          <w:rFonts w:asciiTheme="minorHAnsi" w:hAnsiTheme="minorHAnsi" w:cstheme="minorBidi"/>
        </w:rPr>
        <w:t>icotrokinra</w:t>
      </w:r>
      <w:r w:rsidRPr="0036555D">
        <w:rPr>
          <w:rFonts w:asciiTheme="minorHAnsi" w:hAnsiTheme="minorHAnsi" w:cstheme="minorBidi"/>
          <w:i/>
          <w:iCs/>
        </w:rPr>
        <w:t xml:space="preserve"> </w:t>
      </w:r>
      <w:r w:rsidRPr="00305246">
        <w:rPr>
          <w:rFonts w:asciiTheme="minorHAnsi" w:hAnsiTheme="minorHAnsi" w:cstheme="minorBidi"/>
        </w:rPr>
        <w:t xml:space="preserve">compared with both placebo and deucravacitinib in moderate to severe plaque psoriasis, </w:t>
      </w:r>
      <w:proofErr w:type="gramStart"/>
      <w:r w:rsidR="008B687C">
        <w:rPr>
          <w:rFonts w:asciiTheme="minorHAnsi" w:hAnsiTheme="minorHAnsi" w:cstheme="minorBidi"/>
        </w:rPr>
        <w:t>are</w:t>
      </w:r>
      <w:r w:rsidRPr="00305246">
        <w:rPr>
          <w:rFonts w:asciiTheme="minorHAnsi" w:hAnsiTheme="minorHAnsi" w:cstheme="minorBidi"/>
        </w:rPr>
        <w:t xml:space="preserve"> expected</w:t>
      </w:r>
      <w:proofErr w:type="gramEnd"/>
      <w:r w:rsidRPr="00305246">
        <w:rPr>
          <w:rFonts w:asciiTheme="minorHAnsi" w:hAnsiTheme="minorHAnsi" w:cstheme="minorBidi"/>
        </w:rPr>
        <w:t xml:space="preserve"> in Q2 2025.</w:t>
      </w:r>
    </w:p>
    <w:p w14:paraId="4174DA8B" w14:textId="5225CA96" w:rsidR="0063277D" w:rsidRDefault="0063277D" w:rsidP="0063277D">
      <w:pPr>
        <w:pStyle w:val="NormalWeb"/>
        <w:numPr>
          <w:ilvl w:val="0"/>
          <w:numId w:val="2"/>
        </w:numPr>
        <w:shd w:val="clear" w:color="auto" w:fill="FFFFFF"/>
        <w:spacing w:before="120" w:beforeAutospacing="0" w:after="120" w:afterAutospacing="0"/>
        <w:ind w:left="763" w:hanging="403"/>
        <w:rPr>
          <w:rFonts w:asciiTheme="minorHAnsi" w:hAnsiTheme="minorHAnsi" w:cstheme="minorBidi"/>
        </w:rPr>
      </w:pPr>
      <w:r>
        <w:rPr>
          <w:rFonts w:asciiTheme="minorHAnsi" w:hAnsiTheme="minorHAnsi" w:cstheme="minorBidi"/>
        </w:rPr>
        <w:lastRenderedPageBreak/>
        <w:t xml:space="preserve">Further details of the Phase 3 ICONIC-LEAD and ICONIC-TOTAL studies </w:t>
      </w:r>
      <w:proofErr w:type="gramStart"/>
      <w:r>
        <w:rPr>
          <w:rFonts w:asciiTheme="minorHAnsi" w:hAnsiTheme="minorHAnsi" w:cstheme="minorBidi"/>
        </w:rPr>
        <w:t>are expected</w:t>
      </w:r>
      <w:proofErr w:type="gramEnd"/>
      <w:r>
        <w:rPr>
          <w:rFonts w:asciiTheme="minorHAnsi" w:hAnsiTheme="minorHAnsi" w:cstheme="minorBidi"/>
        </w:rPr>
        <w:t xml:space="preserve"> to be presented at major medical conferences this year.</w:t>
      </w:r>
    </w:p>
    <w:p w14:paraId="189663A2" w14:textId="77777777" w:rsidR="00E578FA" w:rsidRDefault="00E578FA" w:rsidP="002E224B">
      <w:pPr>
        <w:pStyle w:val="NormalWeb"/>
        <w:shd w:val="clear" w:color="auto" w:fill="FFFFFF"/>
        <w:spacing w:before="0" w:beforeAutospacing="0" w:after="0" w:afterAutospacing="0"/>
        <w:ind w:left="410"/>
        <w:contextualSpacing/>
        <w:rPr>
          <w:rFonts w:asciiTheme="minorHAnsi" w:hAnsiTheme="minorHAnsi" w:cstheme="minorBidi"/>
        </w:rPr>
      </w:pPr>
    </w:p>
    <w:p w14:paraId="6BE350C4" w14:textId="77777777" w:rsidR="00D50FA6" w:rsidRDefault="00D50FA6" w:rsidP="00D50FA6">
      <w:pPr>
        <w:pStyle w:val="NormalWeb"/>
        <w:shd w:val="clear" w:color="auto" w:fill="FFFFFF"/>
        <w:spacing w:before="0" w:beforeAutospacing="0" w:after="0" w:afterAutospacing="0"/>
        <w:contextualSpacing/>
        <w:rPr>
          <w:rFonts w:asciiTheme="minorHAnsi" w:hAnsiTheme="minorHAnsi" w:cstheme="minorBidi"/>
          <w:b/>
          <w:bCs/>
          <w:i/>
          <w:iCs/>
        </w:rPr>
      </w:pPr>
      <w:r w:rsidRPr="0036555D">
        <w:rPr>
          <w:rFonts w:asciiTheme="minorHAnsi" w:hAnsiTheme="minorHAnsi" w:cstheme="minorBidi"/>
          <w:b/>
          <w:bCs/>
          <w:i/>
          <w:iCs/>
        </w:rPr>
        <w:t>Discovery Programs</w:t>
      </w:r>
    </w:p>
    <w:p w14:paraId="6E62EACF" w14:textId="63C699F1" w:rsidR="00EB729C" w:rsidRPr="00D416F6" w:rsidRDefault="00D50FA6" w:rsidP="00306E53">
      <w:pPr>
        <w:pStyle w:val="NormalWeb"/>
        <w:keepLines/>
        <w:numPr>
          <w:ilvl w:val="0"/>
          <w:numId w:val="2"/>
        </w:numPr>
        <w:shd w:val="clear" w:color="auto" w:fill="FFFFFF"/>
        <w:spacing w:before="120" w:beforeAutospacing="0" w:after="120" w:afterAutospacing="0"/>
        <w:ind w:left="763" w:hanging="403"/>
        <w:contextualSpacing/>
        <w:rPr>
          <w:rStyle w:val="Hyperlink"/>
          <w:rFonts w:asciiTheme="minorHAnsi" w:hAnsiTheme="minorHAnsi" w:cstheme="minorBidi"/>
          <w:color w:val="auto"/>
          <w:u w:val="none"/>
        </w:rPr>
      </w:pPr>
      <w:r w:rsidRPr="00D416F6">
        <w:rPr>
          <w:rFonts w:asciiTheme="minorHAnsi" w:hAnsiTheme="minorHAnsi" w:cstheme="minorBidi"/>
        </w:rPr>
        <w:t xml:space="preserve">The Company </w:t>
      </w:r>
      <w:r w:rsidR="006727E3" w:rsidRPr="00D416F6">
        <w:rPr>
          <w:rFonts w:asciiTheme="minorHAnsi" w:hAnsiTheme="minorHAnsi" w:cstheme="minorBidi"/>
        </w:rPr>
        <w:t xml:space="preserve">expects to nominate </w:t>
      </w:r>
      <w:r w:rsidRPr="00D416F6">
        <w:rPr>
          <w:rFonts w:asciiTheme="minorHAnsi" w:hAnsiTheme="minorHAnsi" w:cstheme="minorBidi"/>
        </w:rPr>
        <w:t xml:space="preserve">an oral peptide-based development candidate in the obesity program in Q2 2025, and an oral development candidate in the hepcidin mechanism-based hematology program in Q4 2025. </w:t>
      </w:r>
    </w:p>
    <w:p w14:paraId="46B7A09E" w14:textId="77777777" w:rsidR="00EB729C" w:rsidRPr="00EB729C" w:rsidRDefault="00EB729C" w:rsidP="00D416F6">
      <w:pPr>
        <w:pStyle w:val="NormalWeb"/>
        <w:keepLines/>
        <w:shd w:val="clear" w:color="auto" w:fill="FFFFFF"/>
        <w:spacing w:before="0" w:beforeAutospacing="0" w:after="0" w:afterAutospacing="0"/>
        <w:rPr>
          <w:rStyle w:val="Hyperlink"/>
          <w:rFonts w:asciiTheme="minorHAnsi" w:hAnsiTheme="minorHAnsi" w:cstheme="minorBidi"/>
          <w:color w:val="auto"/>
          <w:u w:val="none"/>
        </w:rPr>
      </w:pPr>
    </w:p>
    <w:p w14:paraId="431056CE" w14:textId="3D9F6D47" w:rsidR="008E52A5" w:rsidRPr="006E2AF8" w:rsidRDefault="008E52A5" w:rsidP="00D416F6">
      <w:pPr>
        <w:pStyle w:val="NormalWeb"/>
        <w:spacing w:before="0" w:beforeAutospacing="0" w:after="0" w:afterAutospacing="0" w:line="216" w:lineRule="auto"/>
        <w:rPr>
          <w:rFonts w:asciiTheme="minorHAnsi" w:hAnsiTheme="minorHAnsi" w:cstheme="minorHAnsi"/>
          <w:b/>
          <w:bCs/>
        </w:rPr>
      </w:pPr>
      <w:r w:rsidRPr="006E2AF8">
        <w:rPr>
          <w:rFonts w:asciiTheme="minorHAnsi" w:hAnsiTheme="minorHAnsi" w:cstheme="minorHAnsi"/>
          <w:b/>
          <w:bCs/>
        </w:rPr>
        <w:t xml:space="preserve">Fourth Quarter </w:t>
      </w:r>
      <w:r w:rsidR="000C2BBC">
        <w:rPr>
          <w:rFonts w:asciiTheme="minorHAnsi" w:hAnsiTheme="minorHAnsi" w:cstheme="minorHAnsi"/>
          <w:b/>
          <w:bCs/>
        </w:rPr>
        <w:t xml:space="preserve">and Full Year </w:t>
      </w:r>
      <w:r w:rsidRPr="006E2AF8">
        <w:rPr>
          <w:rFonts w:asciiTheme="minorHAnsi" w:hAnsiTheme="minorHAnsi" w:cstheme="minorHAnsi"/>
          <w:b/>
          <w:bCs/>
        </w:rPr>
        <w:t>202</w:t>
      </w:r>
      <w:r>
        <w:rPr>
          <w:rFonts w:asciiTheme="minorHAnsi" w:hAnsiTheme="minorHAnsi" w:cstheme="minorHAnsi"/>
          <w:b/>
          <w:bCs/>
        </w:rPr>
        <w:t>4</w:t>
      </w:r>
      <w:r w:rsidRPr="006E2AF8">
        <w:rPr>
          <w:rFonts w:asciiTheme="minorHAnsi" w:hAnsiTheme="minorHAnsi" w:cstheme="minorHAnsi"/>
          <w:b/>
          <w:bCs/>
        </w:rPr>
        <w:t xml:space="preserve"> Financial Results</w:t>
      </w:r>
    </w:p>
    <w:p w14:paraId="64DEE49E" w14:textId="77777777" w:rsidR="008E52A5" w:rsidRPr="006E2AF8" w:rsidRDefault="008E52A5" w:rsidP="008E52A5">
      <w:pPr>
        <w:pStyle w:val="NormalWeb"/>
        <w:spacing w:before="0" w:beforeAutospacing="0" w:after="0" w:afterAutospacing="0" w:line="216" w:lineRule="auto"/>
        <w:rPr>
          <w:rFonts w:asciiTheme="minorHAnsi" w:hAnsiTheme="minorHAnsi" w:cstheme="minorHAnsi"/>
          <w:b/>
          <w:bCs/>
        </w:rPr>
      </w:pPr>
    </w:p>
    <w:p w14:paraId="0955284D" w14:textId="77777777" w:rsidR="00E06E33" w:rsidRPr="00740153" w:rsidRDefault="00E06E33" w:rsidP="00E06E33">
      <w:pPr>
        <w:ind w:left="0" w:firstLine="0"/>
        <w:rPr>
          <w:sz w:val="24"/>
          <w:szCs w:val="24"/>
        </w:rPr>
      </w:pPr>
      <w:r w:rsidRPr="00740153">
        <w:rPr>
          <w:b/>
          <w:bCs/>
          <w:sz w:val="24"/>
          <w:szCs w:val="24"/>
        </w:rPr>
        <w:t>Cash, Cash Equivalents and Marketable Securities</w:t>
      </w:r>
      <w:r w:rsidRPr="00740153">
        <w:rPr>
          <w:sz w:val="24"/>
          <w:szCs w:val="24"/>
        </w:rPr>
        <w:t xml:space="preserve">: Cash, cash equivalents and marketable securities as of December 31, 2024, were $559.2 million as compared to $341.6 million in the previous year. </w:t>
      </w:r>
    </w:p>
    <w:bookmarkStart w:id="2" w:name="_MON_1791028733"/>
    <w:bookmarkEnd w:id="2"/>
    <w:p w14:paraId="22F7B651" w14:textId="77777777" w:rsidR="00E06E33" w:rsidRDefault="00E06E33" w:rsidP="00E06E33">
      <w:pPr>
        <w:ind w:left="-10" w:firstLine="460"/>
        <w:jc w:val="center"/>
        <w:rPr>
          <w:noProof/>
        </w:rPr>
      </w:pPr>
      <w:r>
        <w:rPr>
          <w:noProof/>
        </w:rPr>
        <w:object w:dxaOrig="9702" w:dyaOrig="3198" w14:anchorId="715C9F3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46.4pt;height:172.8pt" o:ole="">
            <v:imagedata r:id="rId13" o:title=""/>
          </v:shape>
          <o:OLEObject Type="Embed" ProgID="Excel.Sheet.12" ShapeID="_x0000_i1025" DrawAspect="Content" ObjectID="_1801564548" r:id="rId14"/>
        </w:object>
      </w:r>
    </w:p>
    <w:p w14:paraId="1419F893" w14:textId="77777777" w:rsidR="00E06E33" w:rsidRDefault="00E06E33" w:rsidP="00E06E33">
      <w:pPr>
        <w:pStyle w:val="BodyText"/>
        <w:spacing w:after="0"/>
        <w:ind w:left="0" w:firstLine="0"/>
      </w:pPr>
      <w:r>
        <w:rPr>
          <w:b/>
          <w:bCs/>
        </w:rPr>
        <w:t xml:space="preserve">Revenue: </w:t>
      </w:r>
      <w:r w:rsidRPr="00CE396E">
        <w:t xml:space="preserve">License and collaboration revenue </w:t>
      </w:r>
      <w:proofErr w:type="gramStart"/>
      <w:r w:rsidRPr="00CE396E">
        <w:t>is derived</w:t>
      </w:r>
      <w:proofErr w:type="gramEnd"/>
      <w:r>
        <w:t xml:space="preserve"> from the Company’s License and Collaboration Agreement with JNJ, as amended in November 2024 (the “JNJ Agreement), and its </w:t>
      </w:r>
      <w:r w:rsidRPr="00BD54DC">
        <w:t>Worldwide License and Collaboration Agreement for Rusfertide</w:t>
      </w:r>
      <w:r>
        <w:t xml:space="preserve"> with Takeda which became effective in March 2024 (the “Takeda Agreement”). Total </w:t>
      </w:r>
      <w:r w:rsidRPr="00CE396E">
        <w:t xml:space="preserve">License and collaboration revenue </w:t>
      </w:r>
      <w:r>
        <w:t xml:space="preserve">increased by $374.4 million from $60.0 million for the year ended December 31, 2023, to $434.4 million </w:t>
      </w:r>
      <w:r w:rsidRPr="00225E7E">
        <w:t>for the year ended December 31, 2024</w:t>
      </w:r>
      <w:r>
        <w:t xml:space="preserve">. The increase was attributable to: </w:t>
      </w:r>
    </w:p>
    <w:p w14:paraId="56508D02" w14:textId="77777777" w:rsidR="008E52A5" w:rsidRDefault="008E52A5" w:rsidP="008E52A5">
      <w:pPr>
        <w:pStyle w:val="BodyText"/>
        <w:spacing w:after="0"/>
        <w:ind w:left="360" w:firstLine="0"/>
      </w:pPr>
    </w:p>
    <w:p w14:paraId="6B3E62B6" w14:textId="77777777" w:rsidR="008E52A5" w:rsidRPr="00BD54DC" w:rsidRDefault="008E52A5" w:rsidP="008E52A5">
      <w:pPr>
        <w:pStyle w:val="BodyText"/>
        <w:numPr>
          <w:ilvl w:val="0"/>
          <w:numId w:val="1"/>
        </w:numPr>
        <w:ind w:left="630" w:hanging="270"/>
        <w:rPr>
          <w:b/>
          <w:bCs/>
        </w:rPr>
      </w:pPr>
      <w:r>
        <w:t>Revenue recorded during the year ended December 31, 2024, pursuant to the Takeda Agreement, of 269.4 million; and</w:t>
      </w:r>
    </w:p>
    <w:p w14:paraId="535DC9EA" w14:textId="3EEEDF0F" w:rsidR="008E52A5" w:rsidRPr="00225E7E" w:rsidRDefault="008E52A5" w:rsidP="008E52A5">
      <w:pPr>
        <w:pStyle w:val="BodyText"/>
        <w:numPr>
          <w:ilvl w:val="0"/>
          <w:numId w:val="1"/>
        </w:numPr>
        <w:spacing w:after="0"/>
        <w:ind w:left="630" w:hanging="270"/>
      </w:pPr>
      <w:r>
        <w:t>Revenue from the JNJ Agreement</w:t>
      </w:r>
      <w:r w:rsidR="00461041">
        <w:t xml:space="preserve"> which increased by $105.0 million</w:t>
      </w:r>
      <w:r>
        <w:t xml:space="preserve"> for the year ended December 31, 2024</w:t>
      </w:r>
      <w:r w:rsidR="002A5AE8">
        <w:t>,</w:t>
      </w:r>
      <w:r w:rsidR="00AC7F5B">
        <w:t xml:space="preserve"> </w:t>
      </w:r>
      <w:r w:rsidR="00AC7F5B" w:rsidRPr="004302CC">
        <w:rPr>
          <w:rFonts w:asciiTheme="minorHAnsi" w:hAnsiTheme="minorHAnsi"/>
          <w:sz w:val="24"/>
          <w:szCs w:val="24"/>
        </w:rPr>
        <w:t>as compared to the prior year</w:t>
      </w:r>
      <w:r>
        <w:t>. The revenue reflects the achievement of non-refundable milestone</w:t>
      </w:r>
      <w:r w:rsidR="0012529D">
        <w:t>s</w:t>
      </w:r>
      <w:r>
        <w:t xml:space="preserve"> of $165.0 million and $60.0 million for the years ended December 31, 2024, and 2023, respectively.</w:t>
      </w:r>
    </w:p>
    <w:p w14:paraId="50180221" w14:textId="77777777" w:rsidR="008E52A5" w:rsidRPr="006E2AF8" w:rsidRDefault="008E52A5" w:rsidP="008E52A5">
      <w:pPr>
        <w:ind w:left="0" w:firstLine="0"/>
        <w:rPr>
          <w:sz w:val="24"/>
          <w:szCs w:val="24"/>
        </w:rPr>
      </w:pPr>
    </w:p>
    <w:p w14:paraId="441689F3" w14:textId="77777777" w:rsidR="008E52A5" w:rsidRPr="004302CC" w:rsidRDefault="008E52A5" w:rsidP="008E52A5">
      <w:pPr>
        <w:ind w:left="0" w:firstLine="0"/>
        <w:rPr>
          <w:rFonts w:asciiTheme="minorHAnsi" w:hAnsiTheme="minorHAnsi" w:cstheme="minorBidi"/>
          <w:b/>
          <w:bCs/>
          <w:sz w:val="24"/>
          <w:szCs w:val="24"/>
        </w:rPr>
      </w:pPr>
      <w:r w:rsidRPr="004302CC">
        <w:rPr>
          <w:rFonts w:asciiTheme="minorHAnsi" w:hAnsiTheme="minorHAnsi" w:cstheme="minorBidi"/>
          <w:b/>
          <w:bCs/>
          <w:sz w:val="24"/>
          <w:szCs w:val="24"/>
        </w:rPr>
        <w:t>Research and Development ("R&amp;D") Expenses</w:t>
      </w:r>
      <w:r w:rsidRPr="004302CC">
        <w:rPr>
          <w:rFonts w:asciiTheme="minorHAnsi" w:hAnsiTheme="minorHAnsi" w:cstheme="minorBidi"/>
          <w:sz w:val="24"/>
          <w:szCs w:val="24"/>
        </w:rPr>
        <w:t xml:space="preserve">: Increased by $6.0 million and $18.0 million for the fourth quarter and full year 2024, respectively, from the prior year periods. The increases were due primarily to increases in drug discovery and pre-clinical research expenses. </w:t>
      </w:r>
    </w:p>
    <w:p w14:paraId="2FB70093" w14:textId="77777777" w:rsidR="008E52A5" w:rsidRPr="00FB1BB1" w:rsidRDefault="008E52A5" w:rsidP="008E52A5">
      <w:pPr>
        <w:ind w:left="0" w:firstLine="0"/>
        <w:rPr>
          <w:rFonts w:asciiTheme="minorHAnsi" w:hAnsiTheme="minorHAnsi" w:cstheme="minorBidi"/>
          <w:b/>
          <w:bCs/>
          <w:sz w:val="24"/>
          <w:szCs w:val="24"/>
        </w:rPr>
      </w:pPr>
    </w:p>
    <w:p w14:paraId="1A9DE451" w14:textId="6CF01D09" w:rsidR="008E52A5" w:rsidRPr="004302CC" w:rsidRDefault="008E52A5" w:rsidP="008E52A5">
      <w:pPr>
        <w:ind w:left="0" w:firstLine="0"/>
        <w:rPr>
          <w:sz w:val="24"/>
          <w:szCs w:val="24"/>
        </w:rPr>
      </w:pPr>
      <w:r w:rsidRPr="004302CC">
        <w:rPr>
          <w:rFonts w:asciiTheme="minorHAnsi" w:hAnsiTheme="minorHAnsi" w:cstheme="minorBidi"/>
          <w:b/>
          <w:bCs/>
          <w:sz w:val="24"/>
          <w:szCs w:val="24"/>
        </w:rPr>
        <w:t>General and Administrative ("G&amp;A") Expenses</w:t>
      </w:r>
      <w:r w:rsidRPr="004302CC">
        <w:rPr>
          <w:rFonts w:asciiTheme="minorHAnsi" w:hAnsiTheme="minorHAnsi" w:cstheme="minorBidi"/>
          <w:sz w:val="24"/>
          <w:szCs w:val="24"/>
        </w:rPr>
        <w:t xml:space="preserve">: Increased by $0.9 million for the three months ended December 31, 2024, from the prior year period primarily due to an increase in stock-based </w:t>
      </w:r>
      <w:r w:rsidRPr="004302CC">
        <w:rPr>
          <w:rFonts w:asciiTheme="minorHAnsi" w:hAnsiTheme="minorHAnsi" w:cstheme="minorBidi"/>
          <w:sz w:val="24"/>
          <w:szCs w:val="24"/>
        </w:rPr>
        <w:lastRenderedPageBreak/>
        <w:t xml:space="preserve">compensation. The increase of </w:t>
      </w:r>
      <w:r w:rsidRPr="004302CC">
        <w:rPr>
          <w:rFonts w:asciiTheme="minorHAnsi" w:hAnsiTheme="minorHAnsi"/>
          <w:sz w:val="24"/>
          <w:szCs w:val="24"/>
        </w:rPr>
        <w:t>$10.0 million for the full year 2024 as compared to the prior year was primarily due to $4.6 million in one-time advisory and legal fees related to the Takeda Collaboration Agreement and an increase of $4.4 million in stock-based compensation and other personnel-related expenses</w:t>
      </w:r>
      <w:proofErr w:type="gramStart"/>
      <w:r w:rsidRPr="004302CC">
        <w:rPr>
          <w:rFonts w:asciiTheme="minorHAnsi" w:hAnsiTheme="minorHAnsi"/>
          <w:sz w:val="24"/>
          <w:szCs w:val="24"/>
        </w:rPr>
        <w:t xml:space="preserve">. </w:t>
      </w:r>
      <w:r w:rsidRPr="004302CC">
        <w:rPr>
          <w:rFonts w:asciiTheme="minorHAnsi" w:hAnsiTheme="minorHAnsi" w:cstheme="minorBidi"/>
          <w:sz w:val="24"/>
          <w:szCs w:val="24"/>
        </w:rPr>
        <w:t xml:space="preserve"> </w:t>
      </w:r>
      <w:proofErr w:type="gramEnd"/>
    </w:p>
    <w:p w14:paraId="364CB3E5" w14:textId="77777777" w:rsidR="008E52A5" w:rsidRPr="006E2AF8" w:rsidRDefault="008E52A5" w:rsidP="008E52A5">
      <w:pPr>
        <w:pStyle w:val="ListParagraph"/>
        <w:rPr>
          <w:rFonts w:asciiTheme="minorHAnsi" w:hAnsiTheme="minorHAnsi" w:cstheme="minorBidi"/>
          <w:b/>
          <w:bCs/>
          <w:sz w:val="24"/>
          <w:szCs w:val="24"/>
        </w:rPr>
      </w:pPr>
    </w:p>
    <w:p w14:paraId="379E2212" w14:textId="28AC888E" w:rsidR="008E52A5" w:rsidRPr="004302CC" w:rsidRDefault="008E52A5" w:rsidP="008E52A5">
      <w:pPr>
        <w:ind w:left="0" w:firstLine="0"/>
        <w:rPr>
          <w:sz w:val="24"/>
          <w:szCs w:val="24"/>
        </w:rPr>
      </w:pPr>
      <w:r w:rsidRPr="004302CC">
        <w:rPr>
          <w:rFonts w:asciiTheme="minorHAnsi" w:hAnsiTheme="minorHAnsi" w:cstheme="minorBidi"/>
          <w:b/>
          <w:bCs/>
          <w:sz w:val="24"/>
          <w:szCs w:val="24"/>
        </w:rPr>
        <w:t>Net Income (Loss)</w:t>
      </w:r>
      <w:r w:rsidRPr="004302CC">
        <w:rPr>
          <w:rFonts w:asciiTheme="minorHAnsi" w:hAnsiTheme="minorHAnsi" w:cstheme="minorBidi"/>
          <w:sz w:val="24"/>
          <w:szCs w:val="24"/>
        </w:rPr>
        <w:t>: Net income was $131.</w:t>
      </w:r>
      <w:r w:rsidR="00D519EE">
        <w:rPr>
          <w:rFonts w:asciiTheme="minorHAnsi" w:hAnsiTheme="minorHAnsi" w:cstheme="minorBidi"/>
          <w:sz w:val="24"/>
          <w:szCs w:val="24"/>
        </w:rPr>
        <w:t>7</w:t>
      </w:r>
      <w:r w:rsidRPr="004302CC">
        <w:rPr>
          <w:rFonts w:asciiTheme="minorHAnsi" w:hAnsiTheme="minorHAnsi" w:cstheme="minorBidi"/>
          <w:sz w:val="24"/>
          <w:szCs w:val="24"/>
        </w:rPr>
        <w:t xml:space="preserve"> million, or $2.11 per basic share and $1.98 per diluted share, for the fourth quarter of 2024 as compared to net income of $27.3 million, or $0.45 per basic and $0.44 per diluted share, for the fourth quarter of 2023. Net income was $275.</w:t>
      </w:r>
      <w:r w:rsidR="00D519EE">
        <w:rPr>
          <w:rFonts w:asciiTheme="minorHAnsi" w:hAnsiTheme="minorHAnsi" w:cstheme="minorBidi"/>
          <w:sz w:val="24"/>
          <w:szCs w:val="24"/>
        </w:rPr>
        <w:t>2</w:t>
      </w:r>
      <w:r w:rsidRPr="004302CC">
        <w:rPr>
          <w:rFonts w:asciiTheme="minorHAnsi" w:hAnsiTheme="minorHAnsi" w:cstheme="minorBidi"/>
          <w:sz w:val="24"/>
          <w:szCs w:val="24"/>
        </w:rPr>
        <w:t xml:space="preserve"> million, or $4.47 per basic share and $4.23 per diluted share, for the full year 2024, as compared to a net loss of $(79.0) million, or ($1.39) per share, for the full year 2023.</w:t>
      </w:r>
    </w:p>
    <w:p w14:paraId="488DEA20" w14:textId="77777777" w:rsidR="008E52A5" w:rsidRPr="004D665D" w:rsidRDefault="008E52A5" w:rsidP="008E52A5">
      <w:pPr>
        <w:pStyle w:val="NormalWeb"/>
        <w:shd w:val="clear" w:color="auto" w:fill="FFFFFF"/>
        <w:spacing w:before="0" w:beforeAutospacing="0" w:after="0" w:afterAutospacing="0"/>
        <w:ind w:right="1156"/>
        <w:contextualSpacing/>
        <w:rPr>
          <w:rFonts w:asciiTheme="minorHAnsi" w:hAnsiTheme="minorHAnsi" w:cstheme="minorHAnsi"/>
          <w:b/>
          <w:bCs/>
        </w:rPr>
      </w:pPr>
    </w:p>
    <w:p w14:paraId="075BA273" w14:textId="77777777" w:rsidR="008E52A5" w:rsidRPr="008A1B96" w:rsidRDefault="008E52A5" w:rsidP="008E52A5">
      <w:pPr>
        <w:rPr>
          <w:rFonts w:asciiTheme="minorHAnsi" w:hAnsiTheme="minorHAnsi" w:cstheme="minorBidi"/>
          <w:b/>
          <w:bCs/>
          <w:sz w:val="24"/>
          <w:szCs w:val="24"/>
        </w:rPr>
      </w:pPr>
      <w:r w:rsidRPr="008A1B96">
        <w:rPr>
          <w:rFonts w:asciiTheme="minorHAnsi" w:hAnsiTheme="minorHAnsi" w:cstheme="minorBidi"/>
          <w:b/>
          <w:bCs/>
          <w:sz w:val="24"/>
          <w:szCs w:val="24"/>
        </w:rPr>
        <w:t>About Protagonist</w:t>
      </w:r>
    </w:p>
    <w:p w14:paraId="6173BA91" w14:textId="3ED9E167" w:rsidR="008E52A5" w:rsidRDefault="008E52A5" w:rsidP="008E52A5">
      <w:pPr>
        <w:rPr>
          <w:rFonts w:asciiTheme="minorHAnsi" w:hAnsiTheme="minorHAnsi" w:cstheme="minorBidi"/>
          <w:sz w:val="24"/>
          <w:szCs w:val="24"/>
        </w:rPr>
      </w:pPr>
      <w:r w:rsidRPr="008A1B96">
        <w:rPr>
          <w:rFonts w:asciiTheme="minorHAnsi" w:hAnsiTheme="minorHAnsi" w:cstheme="minorBidi"/>
          <w:sz w:val="24"/>
          <w:szCs w:val="24"/>
        </w:rPr>
        <w:t xml:space="preserve">Protagonist Therapeutics is a </w:t>
      </w:r>
      <w:r w:rsidRPr="00031C98">
        <w:rPr>
          <w:rFonts w:asciiTheme="minorHAnsi" w:hAnsiTheme="minorHAnsi" w:cstheme="minorBidi"/>
          <w:sz w:val="24"/>
          <w:szCs w:val="24"/>
        </w:rPr>
        <w:t>discovery through late-stage development biopharmaceutical company</w:t>
      </w:r>
      <w:r w:rsidRPr="008A1B96">
        <w:rPr>
          <w:rFonts w:asciiTheme="minorHAnsi" w:hAnsiTheme="minorHAnsi" w:cstheme="minorBidi"/>
          <w:sz w:val="24"/>
          <w:szCs w:val="24"/>
        </w:rPr>
        <w:t>. Two novel peptides derived from Protagonist’s proprietary discovery platform are</w:t>
      </w:r>
      <w:r>
        <w:rPr>
          <w:rFonts w:asciiTheme="minorHAnsi" w:hAnsiTheme="minorHAnsi" w:cstheme="minorBidi"/>
          <w:sz w:val="24"/>
          <w:szCs w:val="24"/>
        </w:rPr>
        <w:t xml:space="preserve"> currently</w:t>
      </w:r>
      <w:r w:rsidRPr="008A1B96">
        <w:rPr>
          <w:rFonts w:asciiTheme="minorHAnsi" w:hAnsiTheme="minorHAnsi" w:cstheme="minorBidi"/>
          <w:sz w:val="24"/>
          <w:szCs w:val="24"/>
        </w:rPr>
        <w:t xml:space="preserve"> in advanced Phase 3 clinical development, with New Drug Application submissions to the FDA</w:t>
      </w:r>
      <w:r>
        <w:rPr>
          <w:rFonts w:asciiTheme="minorHAnsi" w:hAnsiTheme="minorHAnsi" w:cstheme="minorBidi"/>
          <w:sz w:val="24"/>
          <w:szCs w:val="24"/>
        </w:rPr>
        <w:t xml:space="preserve"> potentially</w:t>
      </w:r>
      <w:r w:rsidRPr="008A1B96">
        <w:rPr>
          <w:rFonts w:asciiTheme="minorHAnsi" w:hAnsiTheme="minorHAnsi" w:cstheme="minorBidi"/>
          <w:sz w:val="24"/>
          <w:szCs w:val="24"/>
        </w:rPr>
        <w:t xml:space="preserve"> in 2025. </w:t>
      </w:r>
      <w:r w:rsidRPr="00031C98">
        <w:rPr>
          <w:rFonts w:asciiTheme="minorHAnsi" w:hAnsiTheme="minorHAnsi" w:cstheme="minorBidi"/>
          <w:sz w:val="24"/>
          <w:szCs w:val="24"/>
        </w:rPr>
        <w:t xml:space="preserve">Icotrokinra (formerly, JNJ-2113) is a first-in-class investigational targeted oral peptide that selectively blocks the Interleukin-23 receptor (“IL-23R”) which </w:t>
      </w:r>
      <w:proofErr w:type="gramStart"/>
      <w:r w:rsidRPr="00031C98">
        <w:rPr>
          <w:rFonts w:asciiTheme="minorHAnsi" w:hAnsiTheme="minorHAnsi" w:cstheme="minorBidi"/>
          <w:sz w:val="24"/>
          <w:szCs w:val="24"/>
        </w:rPr>
        <w:t>is licensed</w:t>
      </w:r>
      <w:proofErr w:type="gramEnd"/>
      <w:r w:rsidRPr="00031C98">
        <w:rPr>
          <w:rFonts w:asciiTheme="minorHAnsi" w:hAnsiTheme="minorHAnsi" w:cstheme="minorBidi"/>
          <w:sz w:val="24"/>
          <w:szCs w:val="24"/>
        </w:rPr>
        <w:t xml:space="preserve"> to J&amp;J Innovative Medicines (“JNJ”), formerly Janssen Biotech, Inc. </w:t>
      </w:r>
      <w:r w:rsidRPr="008A1B96">
        <w:rPr>
          <w:rFonts w:asciiTheme="minorHAnsi" w:hAnsiTheme="minorHAnsi" w:cstheme="minorBidi"/>
          <w:sz w:val="24"/>
          <w:szCs w:val="24"/>
        </w:rPr>
        <w:t xml:space="preserve">Following </w:t>
      </w:r>
      <w:r>
        <w:rPr>
          <w:rFonts w:asciiTheme="minorHAnsi" w:hAnsiTheme="minorHAnsi" w:cstheme="minorBidi"/>
          <w:sz w:val="24"/>
          <w:szCs w:val="24"/>
        </w:rPr>
        <w:t>icotrokinra</w:t>
      </w:r>
      <w:r w:rsidRPr="008A1B96">
        <w:rPr>
          <w:rFonts w:asciiTheme="minorHAnsi" w:hAnsiTheme="minorHAnsi" w:cstheme="minorBidi"/>
          <w:sz w:val="24"/>
          <w:szCs w:val="24"/>
        </w:rPr>
        <w:t xml:space="preserve">’s joint discovery by </w:t>
      </w:r>
      <w:r>
        <w:rPr>
          <w:rFonts w:asciiTheme="minorHAnsi" w:hAnsiTheme="minorHAnsi" w:cstheme="minorBidi"/>
          <w:sz w:val="24"/>
          <w:szCs w:val="24"/>
        </w:rPr>
        <w:t>Protagonist</w:t>
      </w:r>
      <w:r w:rsidRPr="008A1B96">
        <w:rPr>
          <w:rFonts w:asciiTheme="minorHAnsi" w:hAnsiTheme="minorHAnsi" w:cstheme="minorBidi"/>
          <w:sz w:val="24"/>
          <w:szCs w:val="24"/>
        </w:rPr>
        <w:t xml:space="preserve"> and JNJ scientists pursuant to the companies’ IL-23R collaboration, </w:t>
      </w:r>
      <w:r>
        <w:rPr>
          <w:rFonts w:asciiTheme="minorHAnsi" w:hAnsiTheme="minorHAnsi" w:cstheme="minorBidi"/>
          <w:sz w:val="24"/>
          <w:szCs w:val="24"/>
        </w:rPr>
        <w:t>Protagonist</w:t>
      </w:r>
      <w:r w:rsidRPr="008A1B96">
        <w:rPr>
          <w:rFonts w:asciiTheme="minorHAnsi" w:hAnsiTheme="minorHAnsi" w:cstheme="minorBidi"/>
          <w:sz w:val="24"/>
          <w:szCs w:val="24"/>
        </w:rPr>
        <w:t xml:space="preserve"> was primarily responsible for development of </w:t>
      </w:r>
      <w:r>
        <w:rPr>
          <w:rFonts w:asciiTheme="minorHAnsi" w:hAnsiTheme="minorHAnsi" w:cstheme="minorBidi"/>
          <w:sz w:val="24"/>
          <w:szCs w:val="24"/>
        </w:rPr>
        <w:t>icotrokinra</w:t>
      </w:r>
      <w:r w:rsidRPr="008A1B96">
        <w:rPr>
          <w:rFonts w:asciiTheme="minorHAnsi" w:hAnsiTheme="minorHAnsi" w:cstheme="minorBidi"/>
          <w:sz w:val="24"/>
          <w:szCs w:val="24"/>
        </w:rPr>
        <w:t xml:space="preserve"> through Phase 1, with JNJ assuming responsibility for development in Phase 2 and beyond. Rusfertide</w:t>
      </w:r>
      <w:r>
        <w:rPr>
          <w:rFonts w:asciiTheme="minorHAnsi" w:hAnsiTheme="minorHAnsi" w:cstheme="minorBidi"/>
          <w:sz w:val="24"/>
          <w:szCs w:val="24"/>
        </w:rPr>
        <w:t>,</w:t>
      </w:r>
      <w:r w:rsidRPr="008A1B96">
        <w:rPr>
          <w:rFonts w:asciiTheme="minorHAnsi" w:hAnsiTheme="minorHAnsi" w:cstheme="minorBidi"/>
          <w:sz w:val="24"/>
          <w:szCs w:val="24"/>
        </w:rPr>
        <w:t xml:space="preserve"> a mimetic of the natural hormone hepcidin</w:t>
      </w:r>
      <w:r>
        <w:rPr>
          <w:rFonts w:asciiTheme="minorHAnsi" w:hAnsiTheme="minorHAnsi" w:cstheme="minorBidi"/>
          <w:sz w:val="24"/>
          <w:szCs w:val="24"/>
        </w:rPr>
        <w:t>, is currently</w:t>
      </w:r>
      <w:r w:rsidRPr="008A1B96">
        <w:rPr>
          <w:rFonts w:asciiTheme="minorHAnsi" w:hAnsiTheme="minorHAnsi" w:cstheme="minorBidi"/>
          <w:sz w:val="24"/>
          <w:szCs w:val="24"/>
        </w:rPr>
        <w:t xml:space="preserve"> in Phase 3 development for the rare blood disorder polycythemia vera (PV)</w:t>
      </w:r>
      <w:proofErr w:type="gramStart"/>
      <w:r w:rsidRPr="008A1B96">
        <w:rPr>
          <w:rFonts w:asciiTheme="minorHAnsi" w:hAnsiTheme="minorHAnsi" w:cstheme="minorBidi"/>
          <w:sz w:val="24"/>
          <w:szCs w:val="24"/>
        </w:rPr>
        <w:t xml:space="preserve">.  </w:t>
      </w:r>
      <w:proofErr w:type="gramEnd"/>
      <w:r w:rsidRPr="008A1B96">
        <w:rPr>
          <w:rFonts w:asciiTheme="minorHAnsi" w:hAnsiTheme="minorHAnsi" w:cstheme="minorBidi"/>
          <w:sz w:val="24"/>
          <w:szCs w:val="24"/>
        </w:rPr>
        <w:t xml:space="preserve">Rusfertide is being co-developed and will be co-commercialized with Takeda Pharmaceuticals pursuant to a worldwide collaboration and license agreement </w:t>
      </w:r>
      <w:proofErr w:type="gramStart"/>
      <w:r w:rsidRPr="008A1B96">
        <w:rPr>
          <w:rFonts w:asciiTheme="minorHAnsi" w:hAnsiTheme="minorHAnsi" w:cstheme="minorBidi"/>
          <w:sz w:val="24"/>
          <w:szCs w:val="24"/>
        </w:rPr>
        <w:t>entered into</w:t>
      </w:r>
      <w:proofErr w:type="gramEnd"/>
      <w:r w:rsidRPr="008A1B96">
        <w:rPr>
          <w:rFonts w:asciiTheme="minorHAnsi" w:hAnsiTheme="minorHAnsi" w:cstheme="minorBidi"/>
          <w:sz w:val="24"/>
          <w:szCs w:val="24"/>
        </w:rPr>
        <w:t xml:space="preserve"> in 2024 under which the Company remains primarily responsible for development through NDA filing. The Company also has a number of pre-clinical</w:t>
      </w:r>
      <w:r>
        <w:rPr>
          <w:rFonts w:asciiTheme="minorHAnsi" w:hAnsiTheme="minorHAnsi" w:cstheme="minorBidi"/>
          <w:sz w:val="24"/>
          <w:szCs w:val="24"/>
        </w:rPr>
        <w:t xml:space="preserve"> stage</w:t>
      </w:r>
      <w:r w:rsidRPr="008A1B96">
        <w:rPr>
          <w:rFonts w:asciiTheme="minorHAnsi" w:hAnsiTheme="minorHAnsi" w:cstheme="minorBidi"/>
          <w:sz w:val="24"/>
          <w:szCs w:val="24"/>
        </w:rPr>
        <w:t xml:space="preserve"> </w:t>
      </w:r>
      <w:r>
        <w:rPr>
          <w:rFonts w:asciiTheme="minorHAnsi" w:hAnsiTheme="minorHAnsi" w:cstheme="minorBidi"/>
          <w:sz w:val="24"/>
          <w:szCs w:val="24"/>
        </w:rPr>
        <w:t xml:space="preserve">oral drug </w:t>
      </w:r>
      <w:r w:rsidRPr="008A1B96">
        <w:rPr>
          <w:rFonts w:asciiTheme="minorHAnsi" w:hAnsiTheme="minorHAnsi" w:cstheme="minorBidi"/>
          <w:sz w:val="24"/>
          <w:szCs w:val="24"/>
        </w:rPr>
        <w:t>discovery programs addressing</w:t>
      </w:r>
      <w:r>
        <w:rPr>
          <w:rFonts w:asciiTheme="minorHAnsi" w:hAnsiTheme="minorHAnsi" w:cstheme="minorBidi"/>
          <w:sz w:val="24"/>
          <w:szCs w:val="24"/>
        </w:rPr>
        <w:t xml:space="preserve"> clinically and commercially</w:t>
      </w:r>
      <w:r w:rsidRPr="008A1B96">
        <w:rPr>
          <w:rFonts w:asciiTheme="minorHAnsi" w:hAnsiTheme="minorHAnsi" w:cstheme="minorBidi"/>
          <w:sz w:val="24"/>
          <w:szCs w:val="24"/>
        </w:rPr>
        <w:t xml:space="preserve"> validated targets, including </w:t>
      </w:r>
      <w:r w:rsidRPr="00031C98">
        <w:rPr>
          <w:rFonts w:asciiTheme="minorHAnsi" w:hAnsiTheme="minorHAnsi" w:cstheme="minorBidi"/>
          <w:sz w:val="24"/>
          <w:szCs w:val="24"/>
        </w:rPr>
        <w:t>IL-17 oral peptide antagonist PN-881</w:t>
      </w:r>
      <w:r>
        <w:rPr>
          <w:rFonts w:asciiTheme="minorHAnsi" w:hAnsiTheme="minorHAnsi" w:cstheme="minorBidi"/>
          <w:sz w:val="24"/>
          <w:szCs w:val="24"/>
        </w:rPr>
        <w:t>,</w:t>
      </w:r>
      <w:r w:rsidRPr="008A1B96">
        <w:rPr>
          <w:rFonts w:asciiTheme="minorHAnsi" w:hAnsiTheme="minorHAnsi" w:cstheme="minorBidi"/>
          <w:sz w:val="24"/>
          <w:szCs w:val="24"/>
        </w:rPr>
        <w:t xml:space="preserve"> </w:t>
      </w:r>
      <w:r w:rsidR="006C4C75">
        <w:rPr>
          <w:rFonts w:asciiTheme="minorHAnsi" w:hAnsiTheme="minorHAnsi" w:cstheme="minorBidi"/>
          <w:sz w:val="24"/>
          <w:szCs w:val="24"/>
        </w:rPr>
        <w:t xml:space="preserve">oral </w:t>
      </w:r>
      <w:r w:rsidRPr="008A1B96">
        <w:rPr>
          <w:rFonts w:asciiTheme="minorHAnsi" w:hAnsiTheme="minorHAnsi" w:cstheme="minorBidi"/>
          <w:sz w:val="24"/>
          <w:szCs w:val="24"/>
        </w:rPr>
        <w:t>hepcidin</w:t>
      </w:r>
      <w:r>
        <w:rPr>
          <w:rFonts w:asciiTheme="minorHAnsi" w:hAnsiTheme="minorHAnsi" w:cstheme="minorBidi"/>
          <w:sz w:val="24"/>
          <w:szCs w:val="24"/>
        </w:rPr>
        <w:t xml:space="preserve"> </w:t>
      </w:r>
      <w:r w:rsidR="006C4C75">
        <w:rPr>
          <w:rFonts w:asciiTheme="minorHAnsi" w:hAnsiTheme="minorHAnsi" w:cstheme="minorBidi"/>
          <w:sz w:val="24"/>
          <w:szCs w:val="24"/>
        </w:rPr>
        <w:t>program</w:t>
      </w:r>
      <w:r>
        <w:rPr>
          <w:rFonts w:asciiTheme="minorHAnsi" w:hAnsiTheme="minorHAnsi" w:cstheme="minorBidi"/>
          <w:sz w:val="24"/>
          <w:szCs w:val="24"/>
        </w:rPr>
        <w:t xml:space="preserve">, and </w:t>
      </w:r>
      <w:r w:rsidR="006C4C75">
        <w:rPr>
          <w:rFonts w:asciiTheme="minorHAnsi" w:hAnsiTheme="minorHAnsi" w:cstheme="minorBidi"/>
          <w:sz w:val="24"/>
          <w:szCs w:val="24"/>
        </w:rPr>
        <w:t xml:space="preserve">oral </w:t>
      </w:r>
      <w:r>
        <w:rPr>
          <w:rFonts w:asciiTheme="minorHAnsi" w:hAnsiTheme="minorHAnsi" w:cstheme="minorBidi"/>
          <w:sz w:val="24"/>
          <w:szCs w:val="24"/>
        </w:rPr>
        <w:t>obesity program</w:t>
      </w:r>
      <w:proofErr w:type="gramStart"/>
      <w:r w:rsidRPr="008A1B96">
        <w:rPr>
          <w:rFonts w:asciiTheme="minorHAnsi" w:hAnsiTheme="minorHAnsi" w:cstheme="minorBidi"/>
          <w:sz w:val="24"/>
          <w:szCs w:val="24"/>
        </w:rPr>
        <w:t xml:space="preserve">.  </w:t>
      </w:r>
      <w:proofErr w:type="gramEnd"/>
    </w:p>
    <w:p w14:paraId="2FC92DA2" w14:textId="77777777" w:rsidR="008E52A5" w:rsidRPr="008A1B96" w:rsidRDefault="008E52A5" w:rsidP="008E52A5">
      <w:pPr>
        <w:rPr>
          <w:rFonts w:asciiTheme="minorHAnsi" w:hAnsiTheme="minorHAnsi" w:cstheme="minorBidi"/>
          <w:sz w:val="24"/>
          <w:szCs w:val="24"/>
        </w:rPr>
      </w:pPr>
    </w:p>
    <w:p w14:paraId="53E87B57" w14:textId="77777777" w:rsidR="008E52A5" w:rsidRPr="008A1B96" w:rsidRDefault="008E52A5" w:rsidP="008E52A5">
      <w:pPr>
        <w:rPr>
          <w:rFonts w:asciiTheme="minorHAnsi" w:hAnsiTheme="minorHAnsi" w:cstheme="minorBidi"/>
          <w:sz w:val="24"/>
          <w:szCs w:val="24"/>
        </w:rPr>
      </w:pPr>
      <w:r w:rsidRPr="008A1B96">
        <w:rPr>
          <w:rFonts w:asciiTheme="minorHAnsi" w:hAnsiTheme="minorHAnsi" w:cstheme="minorBidi"/>
          <w:sz w:val="24"/>
          <w:szCs w:val="24"/>
        </w:rPr>
        <w:t>More information on Protagonist, its pipeline drug candidates and clinical studies can be found on the Company's website at </w:t>
      </w:r>
      <w:hyperlink r:id="rId15" w:history="1">
        <w:r w:rsidRPr="003E54DF">
          <w:rPr>
            <w:rStyle w:val="Hyperlink"/>
            <w:rFonts w:asciiTheme="minorHAnsi" w:hAnsiTheme="minorHAnsi" w:cstheme="minorBidi"/>
            <w:sz w:val="24"/>
            <w:szCs w:val="24"/>
          </w:rPr>
          <w:t>https://www.protagonist-inc.com/</w:t>
        </w:r>
      </w:hyperlink>
      <w:r>
        <w:rPr>
          <w:rFonts w:asciiTheme="minorHAnsi" w:hAnsiTheme="minorHAnsi" w:cstheme="minorBidi"/>
          <w:sz w:val="24"/>
          <w:szCs w:val="24"/>
        </w:rPr>
        <w:t>.</w:t>
      </w:r>
    </w:p>
    <w:p w14:paraId="18D08A21" w14:textId="77777777" w:rsidR="008E52A5" w:rsidRPr="004D665D" w:rsidRDefault="008E52A5" w:rsidP="008E52A5">
      <w:pPr>
        <w:ind w:firstLine="0"/>
        <w:rPr>
          <w:rFonts w:asciiTheme="minorHAnsi" w:hAnsiTheme="minorHAnsi" w:cstheme="minorHAnsi"/>
          <w:b/>
          <w:bCs/>
          <w:sz w:val="24"/>
          <w:szCs w:val="24"/>
          <w:highlight w:val="yellow"/>
        </w:rPr>
      </w:pPr>
    </w:p>
    <w:p w14:paraId="134FDF72" w14:textId="77777777" w:rsidR="008E52A5" w:rsidRPr="004D665D" w:rsidRDefault="008E52A5" w:rsidP="008E52A5">
      <w:pPr>
        <w:rPr>
          <w:rFonts w:asciiTheme="minorHAnsi" w:eastAsiaTheme="minorEastAsia" w:hAnsiTheme="minorHAnsi" w:cstheme="minorHAnsi"/>
          <w:b/>
          <w:bCs/>
          <w:color w:val="212529"/>
          <w:sz w:val="24"/>
          <w:szCs w:val="24"/>
        </w:rPr>
      </w:pPr>
      <w:r w:rsidRPr="004D665D">
        <w:rPr>
          <w:rFonts w:asciiTheme="minorHAnsi" w:eastAsiaTheme="minorEastAsia" w:hAnsiTheme="minorHAnsi" w:cstheme="minorHAnsi"/>
          <w:b/>
          <w:bCs/>
          <w:color w:val="212529"/>
          <w:sz w:val="24"/>
          <w:szCs w:val="24"/>
        </w:rPr>
        <w:t>Cautionary Note on Forward-Looking Statements</w:t>
      </w:r>
    </w:p>
    <w:p w14:paraId="7A3BC884" w14:textId="77777777" w:rsidR="008E52A5" w:rsidRPr="004D665D" w:rsidRDefault="008E52A5" w:rsidP="008E52A5">
      <w:pPr>
        <w:ind w:left="0"/>
        <w:rPr>
          <w:rFonts w:asciiTheme="minorHAnsi" w:eastAsiaTheme="minorEastAsia" w:hAnsiTheme="minorHAnsi" w:cstheme="minorHAnsi"/>
          <w:color w:val="000000" w:themeColor="text1"/>
          <w:sz w:val="24"/>
          <w:szCs w:val="24"/>
        </w:rPr>
      </w:pPr>
      <w:r w:rsidRPr="004D665D">
        <w:rPr>
          <w:rFonts w:asciiTheme="minorHAnsi" w:eastAsiaTheme="minorEastAsia" w:hAnsiTheme="minorHAnsi" w:cstheme="minorHAnsi"/>
          <w:color w:val="000000" w:themeColor="text1"/>
          <w:sz w:val="24"/>
          <w:szCs w:val="24"/>
        </w:rPr>
        <w:t xml:space="preserve">This press release contains forward-looking statements for purposes of the safe harbor provisions of the Private Securities Litigation Reform Act of 1995. Forward-looking statements include statements regarding the potential benefits of </w:t>
      </w:r>
      <w:r>
        <w:rPr>
          <w:rFonts w:asciiTheme="minorHAnsi" w:eastAsiaTheme="minorEastAsia" w:hAnsiTheme="minorHAnsi" w:cstheme="minorHAnsi"/>
          <w:color w:val="000000" w:themeColor="text1"/>
          <w:sz w:val="24"/>
          <w:szCs w:val="24"/>
        </w:rPr>
        <w:t>icotrokinra</w:t>
      </w:r>
      <w:r w:rsidRPr="004D665D">
        <w:rPr>
          <w:rFonts w:asciiTheme="minorHAnsi" w:eastAsiaTheme="minorEastAsia" w:hAnsiTheme="minorHAnsi" w:cstheme="minorHAnsi"/>
          <w:color w:val="000000" w:themeColor="text1"/>
          <w:sz w:val="24"/>
          <w:szCs w:val="24"/>
        </w:rPr>
        <w:t xml:space="preserve"> and rusfertide, the timing of </w:t>
      </w:r>
      <w:r>
        <w:rPr>
          <w:rFonts w:asciiTheme="minorHAnsi" w:eastAsiaTheme="minorEastAsia" w:hAnsiTheme="minorHAnsi" w:cstheme="minorHAnsi"/>
          <w:color w:val="000000" w:themeColor="text1"/>
          <w:sz w:val="24"/>
          <w:szCs w:val="24"/>
        </w:rPr>
        <w:t>icotrokinra</w:t>
      </w:r>
      <w:r w:rsidRPr="004D665D">
        <w:rPr>
          <w:rFonts w:asciiTheme="minorHAnsi" w:eastAsiaTheme="minorEastAsia" w:hAnsiTheme="minorHAnsi" w:cstheme="minorHAnsi"/>
          <w:color w:val="000000" w:themeColor="text1"/>
          <w:sz w:val="24"/>
          <w:szCs w:val="24"/>
        </w:rPr>
        <w:t xml:space="preserve"> and rusfertide clinical trials, and timing of developments </w:t>
      </w:r>
      <w:r>
        <w:rPr>
          <w:rFonts w:asciiTheme="minorHAnsi" w:eastAsiaTheme="minorEastAsia" w:hAnsiTheme="minorHAnsi" w:cstheme="minorHAnsi"/>
          <w:color w:val="000000" w:themeColor="text1"/>
          <w:sz w:val="24"/>
          <w:szCs w:val="24"/>
        </w:rPr>
        <w:t xml:space="preserve">and announcements </w:t>
      </w:r>
      <w:r w:rsidRPr="004D665D">
        <w:rPr>
          <w:rFonts w:asciiTheme="minorHAnsi" w:eastAsiaTheme="minorEastAsia" w:hAnsiTheme="minorHAnsi" w:cstheme="minorHAnsi"/>
          <w:color w:val="000000" w:themeColor="text1"/>
          <w:sz w:val="24"/>
          <w:szCs w:val="24"/>
        </w:rPr>
        <w:t xml:space="preserve">in our discovery programs. In </w:t>
      </w:r>
      <w:proofErr w:type="gramStart"/>
      <w:r w:rsidRPr="004D665D">
        <w:rPr>
          <w:rFonts w:asciiTheme="minorHAnsi" w:eastAsiaTheme="minorEastAsia" w:hAnsiTheme="minorHAnsi" w:cstheme="minorHAnsi"/>
          <w:color w:val="000000" w:themeColor="text1"/>
          <w:sz w:val="24"/>
          <w:szCs w:val="24"/>
        </w:rPr>
        <w:t>some</w:t>
      </w:r>
      <w:proofErr w:type="gramEnd"/>
      <w:r w:rsidRPr="004D665D">
        <w:rPr>
          <w:rFonts w:asciiTheme="minorHAnsi" w:eastAsiaTheme="minorEastAsia" w:hAnsiTheme="minorHAnsi" w:cstheme="minorHAnsi"/>
          <w:color w:val="000000" w:themeColor="text1"/>
          <w:sz w:val="24"/>
          <w:szCs w:val="24"/>
        </w:rPr>
        <w:t xml:space="preserve"> cases, you can identify these statements by forward-looking words such as "anticipate," "believe," "may," "will," "expect," or the negative or plural of these words or similar expressions. Forward-looking statements are not guarantees of future performance and are subject to risks and uncertainties that could cause actual results and events to differ materially from those anticipated, including, but not limited to, our ability to develop and commercialize our product candidates, our ability to earn milestone payments under our collaboration agreements with Janssen and Takeda, our ability to use and expand our programs to build a pipeline of product candidates, our ability to obtain and maintain regulatory approval </w:t>
      </w:r>
      <w:r w:rsidRPr="004D665D">
        <w:rPr>
          <w:rFonts w:asciiTheme="minorHAnsi" w:eastAsiaTheme="minorEastAsia" w:hAnsiTheme="minorHAnsi" w:cstheme="minorHAnsi"/>
          <w:color w:val="000000" w:themeColor="text1"/>
          <w:sz w:val="24"/>
          <w:szCs w:val="24"/>
        </w:rPr>
        <w:lastRenderedPageBreak/>
        <w:t xml:space="preserve">of our product candidates, our ability to operate in a competitive industry and compete successfully against competitors that have greater resources than we do, and our ability to obtain and adequately protect intellectual property rights for our product candidates. Additional information concerning these and other risk factors affecting our business can be found in our periodic filings with the Securities and Exchange Commission, including under the heading "Risk Factors" contained in our most recently filed periodic reports on Form 10-K and Form 10-Q filed with the Securities and Exchange Commission. Forward-looking statements are not guarantees of future performance, and our actual results of operations, financial condition and liquidity, and the development of the industry in which we operate, may differ materially from the forward-looking statements contained in this press release. Any forward-looking statements that we make in this press release speak only as of the date of this press release. We assume no obligation to update our forward-looking statements, whether </w:t>
      </w:r>
      <w:proofErr w:type="gramStart"/>
      <w:r w:rsidRPr="004D665D">
        <w:rPr>
          <w:rFonts w:asciiTheme="minorHAnsi" w:eastAsiaTheme="minorEastAsia" w:hAnsiTheme="minorHAnsi" w:cstheme="minorHAnsi"/>
          <w:color w:val="000000" w:themeColor="text1"/>
          <w:sz w:val="24"/>
          <w:szCs w:val="24"/>
        </w:rPr>
        <w:t>as a result of</w:t>
      </w:r>
      <w:proofErr w:type="gramEnd"/>
      <w:r w:rsidRPr="004D665D">
        <w:rPr>
          <w:rFonts w:asciiTheme="minorHAnsi" w:eastAsiaTheme="minorEastAsia" w:hAnsiTheme="minorHAnsi" w:cstheme="minorHAnsi"/>
          <w:color w:val="000000" w:themeColor="text1"/>
          <w:sz w:val="24"/>
          <w:szCs w:val="24"/>
        </w:rPr>
        <w:t xml:space="preserve"> new information, future events or otherwise, after the date of this press release.</w:t>
      </w:r>
    </w:p>
    <w:p w14:paraId="62886151" w14:textId="77777777" w:rsidR="008E52A5" w:rsidRPr="004D665D" w:rsidRDefault="008E52A5" w:rsidP="008E52A5">
      <w:pPr>
        <w:rPr>
          <w:rFonts w:asciiTheme="minorHAnsi" w:hAnsiTheme="minorHAnsi" w:cstheme="minorHAnsi"/>
          <w:sz w:val="24"/>
          <w:szCs w:val="24"/>
        </w:rPr>
      </w:pPr>
    </w:p>
    <w:p w14:paraId="250A59E3" w14:textId="77777777" w:rsidR="008E52A5" w:rsidRPr="004D665D" w:rsidRDefault="008E52A5" w:rsidP="008E52A5">
      <w:pPr>
        <w:rPr>
          <w:rFonts w:asciiTheme="minorHAnsi" w:eastAsiaTheme="minorEastAsia" w:hAnsiTheme="minorHAnsi" w:cstheme="minorHAnsi"/>
          <w:color w:val="212529"/>
          <w:sz w:val="24"/>
          <w:szCs w:val="24"/>
        </w:rPr>
      </w:pPr>
    </w:p>
    <w:p w14:paraId="19271DCD" w14:textId="77777777" w:rsidR="008E52A5" w:rsidRPr="004D665D" w:rsidRDefault="008E52A5" w:rsidP="008E52A5">
      <w:pPr>
        <w:pStyle w:val="NormalWeb"/>
        <w:shd w:val="clear" w:color="auto" w:fill="FFFFFF"/>
        <w:spacing w:before="0" w:beforeAutospacing="0" w:after="0" w:afterAutospacing="0"/>
        <w:rPr>
          <w:rFonts w:asciiTheme="minorHAnsi" w:eastAsiaTheme="minorEastAsia" w:hAnsiTheme="minorHAnsi" w:cstheme="minorHAnsi"/>
          <w:color w:val="212529"/>
        </w:rPr>
      </w:pPr>
      <w:r w:rsidRPr="004D665D">
        <w:rPr>
          <w:rFonts w:asciiTheme="minorHAnsi" w:eastAsiaTheme="minorEastAsia" w:hAnsiTheme="minorHAnsi" w:cstheme="minorHAnsi"/>
          <w:b/>
          <w:bCs/>
        </w:rPr>
        <w:t>Investor Relations Contact</w:t>
      </w:r>
    </w:p>
    <w:p w14:paraId="0CAF0E21" w14:textId="77777777" w:rsidR="008E52A5" w:rsidRPr="004D665D" w:rsidRDefault="008E52A5" w:rsidP="008E52A5">
      <w:pPr>
        <w:pStyle w:val="NormalWeb"/>
        <w:shd w:val="clear" w:color="auto" w:fill="FFFFFF"/>
        <w:spacing w:before="0" w:beforeAutospacing="0" w:after="0" w:afterAutospacing="0"/>
        <w:rPr>
          <w:rFonts w:asciiTheme="minorHAnsi" w:eastAsiaTheme="minorEastAsia" w:hAnsiTheme="minorHAnsi" w:cstheme="minorHAnsi"/>
          <w:color w:val="212529"/>
        </w:rPr>
      </w:pPr>
      <w:r w:rsidRPr="004D665D">
        <w:rPr>
          <w:rFonts w:asciiTheme="minorHAnsi" w:eastAsiaTheme="minorEastAsia" w:hAnsiTheme="minorHAnsi" w:cstheme="minorHAnsi"/>
          <w:color w:val="212529"/>
        </w:rPr>
        <w:t>Corey Davis, Ph.D.</w:t>
      </w:r>
    </w:p>
    <w:p w14:paraId="32BDB47F" w14:textId="77777777" w:rsidR="008E52A5" w:rsidRPr="004D665D" w:rsidRDefault="008E52A5" w:rsidP="008E52A5">
      <w:pPr>
        <w:pStyle w:val="NormalWeb"/>
        <w:shd w:val="clear" w:color="auto" w:fill="FFFFFF"/>
        <w:spacing w:before="0" w:beforeAutospacing="0" w:after="0" w:afterAutospacing="0"/>
        <w:rPr>
          <w:rFonts w:asciiTheme="minorHAnsi" w:eastAsiaTheme="minorEastAsia" w:hAnsiTheme="minorHAnsi" w:cstheme="minorHAnsi"/>
          <w:color w:val="212529"/>
          <w:lang w:val="it-IT"/>
        </w:rPr>
      </w:pPr>
      <w:r w:rsidRPr="004D665D">
        <w:rPr>
          <w:rFonts w:asciiTheme="minorHAnsi" w:eastAsiaTheme="minorEastAsia" w:hAnsiTheme="minorHAnsi" w:cstheme="minorHAnsi"/>
          <w:color w:val="212529"/>
          <w:lang w:val="it-IT"/>
        </w:rPr>
        <w:t>LifeSci Advisors</w:t>
      </w:r>
      <w:r w:rsidRPr="004D665D">
        <w:rPr>
          <w:rFonts w:asciiTheme="minorHAnsi" w:eastAsiaTheme="minorEastAsia" w:hAnsiTheme="minorHAnsi" w:cstheme="minorHAnsi"/>
          <w:color w:val="212529"/>
          <w:lang w:val="it-IT"/>
        </w:rPr>
        <w:br/>
      </w:r>
      <w:hyperlink r:id="rId16" w:history="1">
        <w:r w:rsidRPr="004D665D">
          <w:rPr>
            <w:rStyle w:val="Hyperlink"/>
            <w:rFonts w:asciiTheme="minorHAnsi" w:eastAsiaTheme="minorEastAsia" w:hAnsiTheme="minorHAnsi" w:cstheme="minorHAnsi"/>
            <w:lang w:val="it-IT"/>
          </w:rPr>
          <w:t>cdavis@lifesciadvisors.com</w:t>
        </w:r>
      </w:hyperlink>
      <w:r w:rsidRPr="004D665D">
        <w:rPr>
          <w:rFonts w:asciiTheme="minorHAnsi" w:eastAsiaTheme="minorEastAsia" w:hAnsiTheme="minorHAnsi" w:cstheme="minorHAnsi"/>
          <w:color w:val="212529"/>
          <w:lang w:val="it-IT"/>
        </w:rPr>
        <w:br/>
        <w:t>+1 212 915 2577</w:t>
      </w:r>
    </w:p>
    <w:p w14:paraId="32C241EE" w14:textId="77777777" w:rsidR="008E52A5" w:rsidRPr="004D665D" w:rsidRDefault="008E52A5" w:rsidP="008E52A5">
      <w:pPr>
        <w:ind w:left="0" w:firstLine="0"/>
        <w:rPr>
          <w:rFonts w:asciiTheme="minorHAnsi" w:eastAsiaTheme="minorEastAsia" w:hAnsiTheme="minorHAnsi" w:cstheme="minorHAnsi"/>
          <w:b/>
          <w:bCs/>
          <w:sz w:val="24"/>
          <w:szCs w:val="24"/>
          <w:lang w:val="it-IT"/>
        </w:rPr>
      </w:pPr>
    </w:p>
    <w:p w14:paraId="61682079" w14:textId="77777777" w:rsidR="008E52A5" w:rsidRPr="004D665D" w:rsidRDefault="008E52A5" w:rsidP="008E52A5">
      <w:pPr>
        <w:ind w:left="0" w:firstLine="0"/>
        <w:rPr>
          <w:rFonts w:asciiTheme="minorHAnsi" w:hAnsiTheme="minorHAnsi" w:cstheme="minorHAnsi"/>
          <w:sz w:val="24"/>
          <w:szCs w:val="24"/>
        </w:rPr>
      </w:pPr>
      <w:r w:rsidRPr="004D665D">
        <w:rPr>
          <w:rFonts w:asciiTheme="minorHAnsi" w:eastAsiaTheme="minorEastAsia" w:hAnsiTheme="minorHAnsi" w:cstheme="minorHAnsi"/>
          <w:b/>
          <w:bCs/>
          <w:sz w:val="24"/>
          <w:szCs w:val="24"/>
        </w:rPr>
        <w:t>Media Relations Contact</w:t>
      </w:r>
    </w:p>
    <w:p w14:paraId="72B2BA10" w14:textId="77777777" w:rsidR="008E52A5" w:rsidRPr="004D665D" w:rsidRDefault="008E52A5" w:rsidP="008E52A5">
      <w:pPr>
        <w:ind w:left="0" w:firstLine="0"/>
        <w:rPr>
          <w:rFonts w:asciiTheme="minorHAnsi" w:eastAsiaTheme="minorEastAsia" w:hAnsiTheme="minorHAnsi" w:cstheme="minorHAnsi"/>
          <w:color w:val="212529"/>
          <w:sz w:val="24"/>
          <w:szCs w:val="24"/>
        </w:rPr>
      </w:pPr>
      <w:r w:rsidRPr="004D665D">
        <w:rPr>
          <w:rFonts w:asciiTheme="minorHAnsi" w:eastAsiaTheme="minorEastAsia" w:hAnsiTheme="minorHAnsi" w:cstheme="minorHAnsi"/>
          <w:color w:val="212529"/>
          <w:sz w:val="24"/>
          <w:szCs w:val="24"/>
        </w:rPr>
        <w:t>Virginia Amann</w:t>
      </w:r>
      <w:r w:rsidRPr="004D665D">
        <w:rPr>
          <w:rFonts w:asciiTheme="minorHAnsi" w:eastAsiaTheme="minorEastAsia" w:hAnsiTheme="minorHAnsi" w:cstheme="minorHAnsi"/>
          <w:color w:val="212529"/>
          <w:sz w:val="24"/>
          <w:szCs w:val="24"/>
        </w:rPr>
        <w:br/>
        <w:t>ENTENTE Network of Companies</w:t>
      </w:r>
    </w:p>
    <w:p w14:paraId="4D98FE88" w14:textId="77777777" w:rsidR="008E52A5" w:rsidRDefault="008E52A5" w:rsidP="008E52A5">
      <w:pPr>
        <w:pStyle w:val="NormalWeb"/>
        <w:shd w:val="clear" w:color="auto" w:fill="FFFFFF"/>
        <w:spacing w:before="0" w:beforeAutospacing="0" w:after="0" w:afterAutospacing="0"/>
        <w:rPr>
          <w:rFonts w:asciiTheme="minorHAnsi" w:eastAsiaTheme="minorEastAsia" w:hAnsiTheme="minorHAnsi" w:cstheme="minorHAnsi"/>
          <w:color w:val="212529"/>
        </w:rPr>
      </w:pPr>
      <w:hyperlink r:id="rId17" w:history="1">
        <w:r w:rsidRPr="004D665D">
          <w:rPr>
            <w:rFonts w:asciiTheme="minorHAnsi" w:eastAsiaTheme="minorEastAsia" w:hAnsiTheme="minorHAnsi" w:cstheme="minorHAnsi"/>
            <w:color w:val="212529"/>
          </w:rPr>
          <w:t>virginiaamann@ententeinc.com</w:t>
        </w:r>
      </w:hyperlink>
      <w:r w:rsidRPr="004D665D">
        <w:rPr>
          <w:rFonts w:asciiTheme="minorHAnsi" w:eastAsiaTheme="minorEastAsia" w:hAnsiTheme="minorHAnsi" w:cstheme="minorHAnsi"/>
          <w:color w:val="212529"/>
        </w:rPr>
        <w:br/>
        <w:t>+1 833 500 0061</w:t>
      </w:r>
    </w:p>
    <w:p w14:paraId="79BEDDB0" w14:textId="77777777" w:rsidR="00731DAA" w:rsidRDefault="008E52A5" w:rsidP="00731DAA">
      <w:pPr>
        <w:spacing w:line="240" w:lineRule="auto"/>
        <w:ind w:left="0" w:firstLine="0"/>
        <w:jc w:val="center"/>
        <w:rPr>
          <w:b/>
          <w:bCs/>
          <w:sz w:val="20"/>
          <w:szCs w:val="20"/>
        </w:rPr>
      </w:pPr>
      <w:r>
        <w:rPr>
          <w:sz w:val="24"/>
          <w:szCs w:val="24"/>
        </w:rPr>
        <w:br w:type="page"/>
      </w:r>
      <w:bookmarkStart w:id="3" w:name="_1775629174"/>
      <w:bookmarkEnd w:id="3"/>
      <w:r w:rsidR="00731DAA">
        <w:rPr>
          <w:b/>
          <w:bCs/>
          <w:sz w:val="20"/>
          <w:szCs w:val="20"/>
        </w:rPr>
        <w:lastRenderedPageBreak/>
        <w:t>PROTAGONIST THERAPEUTICS, INC.</w:t>
      </w:r>
      <w:r w:rsidR="00731DAA" w:rsidRPr="001334D4">
        <w:rPr>
          <w:b/>
          <w:bCs/>
          <w:sz w:val="20"/>
          <w:szCs w:val="20"/>
        </w:rPr>
        <w:t xml:space="preserve"> </w:t>
      </w:r>
    </w:p>
    <w:p w14:paraId="2A4BB31B" w14:textId="77777777" w:rsidR="00731DAA" w:rsidRDefault="00731DAA" w:rsidP="00731DAA">
      <w:pPr>
        <w:spacing w:line="240" w:lineRule="auto"/>
        <w:ind w:left="0" w:firstLine="0"/>
        <w:jc w:val="center"/>
        <w:rPr>
          <w:b/>
          <w:bCs/>
          <w:sz w:val="20"/>
          <w:szCs w:val="20"/>
        </w:rPr>
      </w:pPr>
      <w:r w:rsidRPr="008E6621">
        <w:rPr>
          <w:b/>
          <w:bCs/>
          <w:sz w:val="20"/>
          <w:szCs w:val="20"/>
        </w:rPr>
        <w:t>Consolidated Statements of Operations</w:t>
      </w:r>
    </w:p>
    <w:p w14:paraId="3522EA8D" w14:textId="77777777" w:rsidR="00731DAA" w:rsidRDefault="00731DAA" w:rsidP="00731DAA">
      <w:pPr>
        <w:spacing w:line="240" w:lineRule="auto"/>
        <w:ind w:left="0" w:firstLine="0"/>
        <w:jc w:val="center"/>
        <w:rPr>
          <w:b/>
          <w:bCs/>
          <w:sz w:val="20"/>
          <w:szCs w:val="20"/>
        </w:rPr>
      </w:pPr>
      <w:r w:rsidRPr="008E6621">
        <w:rPr>
          <w:b/>
          <w:bCs/>
          <w:sz w:val="20"/>
          <w:szCs w:val="20"/>
        </w:rPr>
        <w:t>(Amounts in thousands except share and per share data)</w:t>
      </w:r>
      <w:bookmarkStart w:id="4" w:name="_MON_1783509775"/>
      <w:bookmarkEnd w:id="4"/>
      <w:r>
        <w:rPr>
          <w:b/>
          <w:bCs/>
          <w:noProof/>
          <w:sz w:val="20"/>
          <w:szCs w:val="20"/>
        </w:rPr>
        <w:object w:dxaOrig="12979" w:dyaOrig="5733" w14:anchorId="36C316D7">
          <v:shape id="_x0000_i1026" type="#_x0000_t75" alt="" style="width:518.4pt;height:208.8pt" o:ole="">
            <v:imagedata r:id="rId18" o:title=""/>
          </v:shape>
          <o:OLEObject Type="Embed" ProgID="Excel.Sheet.12" ShapeID="_x0000_i1026" DrawAspect="Content" ObjectID="_1801564549" r:id="rId19"/>
        </w:object>
      </w:r>
    </w:p>
    <w:p w14:paraId="178CF19A" w14:textId="77777777" w:rsidR="00731DAA" w:rsidRDefault="00731DAA" w:rsidP="00731DAA">
      <w:pPr>
        <w:spacing w:after="160" w:line="259" w:lineRule="auto"/>
        <w:rPr>
          <w:sz w:val="18"/>
          <w:szCs w:val="18"/>
        </w:rPr>
      </w:pPr>
      <w:bookmarkStart w:id="5" w:name="_Ref158727132"/>
    </w:p>
    <w:p w14:paraId="151D5446" w14:textId="77777777" w:rsidR="00731DAA" w:rsidRPr="000147D1" w:rsidRDefault="00731DAA" w:rsidP="00731DAA">
      <w:pPr>
        <w:spacing w:after="160" w:line="259" w:lineRule="auto"/>
        <w:rPr>
          <w:rFonts w:asciiTheme="minorHAnsi" w:eastAsia="Times New Roman" w:hAnsiTheme="minorHAnsi" w:cstheme="minorBidi"/>
          <w:color w:val="000000" w:themeColor="text1"/>
          <w:sz w:val="18"/>
          <w:szCs w:val="18"/>
        </w:rPr>
      </w:pPr>
      <w:r w:rsidRPr="000147D1">
        <w:rPr>
          <w:sz w:val="18"/>
          <w:szCs w:val="18"/>
        </w:rPr>
        <w:t xml:space="preserve">(1) </w:t>
      </w:r>
      <w:r w:rsidRPr="000147D1">
        <w:rPr>
          <w:rFonts w:asciiTheme="minorHAnsi" w:eastAsia="Times New Roman" w:hAnsiTheme="minorHAnsi" w:cstheme="minorBidi"/>
          <w:sz w:val="18"/>
          <w:szCs w:val="18"/>
        </w:rPr>
        <w:t>Amount includes non-cash stock-based compensation expense.</w:t>
      </w:r>
      <w:bookmarkEnd w:id="5"/>
    </w:p>
    <w:p w14:paraId="2136C52B" w14:textId="77777777" w:rsidR="00731DAA" w:rsidRDefault="00731DAA" w:rsidP="00731DAA">
      <w:pPr>
        <w:jc w:val="center"/>
        <w:rPr>
          <w:b/>
          <w:bCs/>
          <w:sz w:val="20"/>
          <w:szCs w:val="20"/>
          <w:shd w:val="clear" w:color="auto" w:fill="FFFFFF"/>
        </w:rPr>
      </w:pPr>
    </w:p>
    <w:p w14:paraId="4D36BDE4" w14:textId="77777777" w:rsidR="00731DAA" w:rsidRDefault="00731DAA" w:rsidP="00731DAA">
      <w:pPr>
        <w:jc w:val="center"/>
        <w:rPr>
          <w:b/>
          <w:bCs/>
          <w:sz w:val="20"/>
          <w:szCs w:val="20"/>
          <w:shd w:val="clear" w:color="auto" w:fill="FFFFFF"/>
        </w:rPr>
      </w:pPr>
      <w:r w:rsidRPr="008E6621">
        <w:rPr>
          <w:b/>
          <w:bCs/>
          <w:sz w:val="20"/>
          <w:szCs w:val="20"/>
          <w:shd w:val="clear" w:color="auto" w:fill="FFFFFF"/>
        </w:rPr>
        <w:t>Stock-based Compensation</w:t>
      </w:r>
    </w:p>
    <w:p w14:paraId="481FA14E" w14:textId="77777777" w:rsidR="00731DAA" w:rsidRPr="00EA6371" w:rsidRDefault="00731DAA" w:rsidP="00731DAA">
      <w:pPr>
        <w:spacing w:line="240" w:lineRule="auto"/>
        <w:ind w:left="0" w:firstLine="0"/>
        <w:jc w:val="center"/>
        <w:rPr>
          <w:b/>
          <w:bCs/>
          <w:sz w:val="20"/>
          <w:szCs w:val="20"/>
        </w:rPr>
      </w:pPr>
      <w:r>
        <w:rPr>
          <w:b/>
          <w:bCs/>
          <w:sz w:val="20"/>
          <w:szCs w:val="20"/>
        </w:rPr>
        <w:t>(In thousands)</w:t>
      </w:r>
    </w:p>
    <w:p w14:paraId="007C0023" w14:textId="77777777" w:rsidR="00731DAA" w:rsidRPr="006835F0" w:rsidRDefault="00731DAA" w:rsidP="00731DAA">
      <w:pPr>
        <w:jc w:val="center"/>
        <w:rPr>
          <w:b/>
          <w:bCs/>
          <w:sz w:val="20"/>
          <w:szCs w:val="20"/>
          <w:shd w:val="clear" w:color="auto" w:fill="FFFFFF"/>
        </w:rPr>
      </w:pPr>
    </w:p>
    <w:bookmarkStart w:id="6" w:name="_MON_1791031357"/>
    <w:bookmarkEnd w:id="6"/>
    <w:p w14:paraId="301DE72D" w14:textId="77777777" w:rsidR="00731DAA" w:rsidRDefault="00731DAA" w:rsidP="00731DAA">
      <w:pPr>
        <w:spacing w:after="160" w:line="259" w:lineRule="auto"/>
        <w:ind w:left="0" w:firstLine="0"/>
        <w:jc w:val="center"/>
        <w:rPr>
          <w:b/>
          <w:bCs/>
          <w:sz w:val="20"/>
          <w:szCs w:val="20"/>
        </w:rPr>
      </w:pPr>
      <w:r>
        <w:rPr>
          <w:b/>
          <w:bCs/>
          <w:noProof/>
          <w:sz w:val="20"/>
          <w:szCs w:val="20"/>
        </w:rPr>
        <w:object w:dxaOrig="10089" w:dyaOrig="2050" w14:anchorId="755012DD">
          <v:shape id="_x0000_i1027" type="#_x0000_t75" alt="" style="width:468pt;height:100.8pt" o:ole="">
            <v:imagedata r:id="rId20" o:title=""/>
          </v:shape>
          <o:OLEObject Type="Embed" ProgID="Excel.Sheet.12" ShapeID="_x0000_i1027" DrawAspect="Content" ObjectID="_1801564550" r:id="rId21"/>
        </w:object>
      </w:r>
    </w:p>
    <w:p w14:paraId="063A867D" w14:textId="77777777" w:rsidR="00731DAA" w:rsidRDefault="00731DAA" w:rsidP="00731DAA">
      <w:pPr>
        <w:spacing w:line="240" w:lineRule="auto"/>
        <w:ind w:left="0" w:firstLine="0"/>
        <w:jc w:val="center"/>
        <w:rPr>
          <w:b/>
          <w:bCs/>
          <w:sz w:val="20"/>
          <w:szCs w:val="20"/>
        </w:rPr>
      </w:pPr>
    </w:p>
    <w:p w14:paraId="0E461FED" w14:textId="77777777" w:rsidR="00731DAA" w:rsidRDefault="00731DAA" w:rsidP="00731DAA">
      <w:pPr>
        <w:spacing w:line="240" w:lineRule="auto"/>
        <w:ind w:left="0" w:firstLine="0"/>
        <w:jc w:val="center"/>
        <w:rPr>
          <w:b/>
          <w:bCs/>
          <w:sz w:val="20"/>
          <w:szCs w:val="20"/>
        </w:rPr>
      </w:pPr>
      <w:r>
        <w:rPr>
          <w:b/>
          <w:bCs/>
          <w:sz w:val="20"/>
          <w:szCs w:val="20"/>
        </w:rPr>
        <w:t>PROTAGONIST THERAPEUTICS, INC.</w:t>
      </w:r>
      <w:r w:rsidRPr="001334D4">
        <w:rPr>
          <w:b/>
          <w:bCs/>
          <w:sz w:val="20"/>
          <w:szCs w:val="20"/>
        </w:rPr>
        <w:t xml:space="preserve"> </w:t>
      </w:r>
    </w:p>
    <w:p w14:paraId="33436CE6" w14:textId="77777777" w:rsidR="00731DAA" w:rsidRDefault="00731DAA" w:rsidP="00731DAA">
      <w:pPr>
        <w:spacing w:line="240" w:lineRule="auto"/>
        <w:ind w:left="0" w:firstLine="0"/>
        <w:jc w:val="center"/>
        <w:rPr>
          <w:b/>
          <w:bCs/>
          <w:sz w:val="20"/>
          <w:szCs w:val="20"/>
        </w:rPr>
      </w:pPr>
      <w:r w:rsidRPr="008E6621">
        <w:rPr>
          <w:b/>
          <w:bCs/>
          <w:sz w:val="20"/>
          <w:szCs w:val="20"/>
        </w:rPr>
        <w:t>Selected Consolidated Balance Sheet Data</w:t>
      </w:r>
    </w:p>
    <w:p w14:paraId="3CB592AD" w14:textId="77777777" w:rsidR="00731DAA" w:rsidRDefault="00731DAA" w:rsidP="00731DAA">
      <w:pPr>
        <w:spacing w:line="240" w:lineRule="auto"/>
        <w:ind w:left="0" w:firstLine="0"/>
        <w:jc w:val="center"/>
        <w:rPr>
          <w:b/>
          <w:bCs/>
          <w:sz w:val="20"/>
          <w:szCs w:val="20"/>
        </w:rPr>
      </w:pPr>
      <w:r>
        <w:rPr>
          <w:b/>
          <w:bCs/>
          <w:sz w:val="20"/>
          <w:szCs w:val="20"/>
        </w:rPr>
        <w:t>(In thousands)</w:t>
      </w:r>
    </w:p>
    <w:p w14:paraId="1CC8D440" w14:textId="77777777" w:rsidR="00731DAA" w:rsidRDefault="00731DAA" w:rsidP="00731DAA">
      <w:pPr>
        <w:spacing w:line="240" w:lineRule="auto"/>
        <w:ind w:left="0" w:firstLine="0"/>
        <w:jc w:val="center"/>
        <w:rPr>
          <w:b/>
          <w:bCs/>
          <w:sz w:val="20"/>
          <w:szCs w:val="20"/>
        </w:rPr>
      </w:pPr>
    </w:p>
    <w:bookmarkStart w:id="7" w:name="_MON_1783509720"/>
    <w:bookmarkEnd w:id="7"/>
    <w:p w14:paraId="5F834B81" w14:textId="77777777" w:rsidR="00731DAA" w:rsidRDefault="00731DAA" w:rsidP="00731DAA">
      <w:pPr>
        <w:spacing w:after="160" w:line="259" w:lineRule="auto"/>
        <w:ind w:left="0" w:firstLine="0"/>
        <w:jc w:val="center"/>
        <w:rPr>
          <w:b/>
          <w:bCs/>
          <w:sz w:val="20"/>
          <w:szCs w:val="20"/>
        </w:rPr>
      </w:pPr>
      <w:r>
        <w:rPr>
          <w:b/>
          <w:bCs/>
          <w:noProof/>
          <w:sz w:val="20"/>
          <w:szCs w:val="20"/>
        </w:rPr>
        <w:object w:dxaOrig="8261" w:dyaOrig="2096" w14:anchorId="1BF0A38B">
          <v:shape id="_x0000_i1028" type="#_x0000_t75" alt="" style="width:410.4pt;height:108pt" o:ole="">
            <v:imagedata r:id="rId22" o:title=""/>
          </v:shape>
          <o:OLEObject Type="Embed" ProgID="Excel.Sheet.12" ShapeID="_x0000_i1028" DrawAspect="Content" ObjectID="_1801564551" r:id="rId23"/>
        </w:object>
      </w:r>
    </w:p>
    <w:p w14:paraId="01699807" w14:textId="4AF46CCE" w:rsidR="008E52A5" w:rsidRDefault="008E52A5" w:rsidP="00731DAA">
      <w:pPr>
        <w:spacing w:line="240" w:lineRule="auto"/>
        <w:ind w:left="0" w:firstLine="0"/>
        <w:jc w:val="center"/>
        <w:rPr>
          <w:sz w:val="24"/>
          <w:szCs w:val="24"/>
        </w:rPr>
      </w:pPr>
    </w:p>
    <w:sectPr w:rsidR="008E52A5" w:rsidSect="00BD53FB">
      <w:type w:val="continuous"/>
      <w:pgSz w:w="12240" w:h="15840"/>
      <w:pgMar w:top="1080" w:right="1440" w:bottom="1440" w:left="126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737CEC" w14:textId="77777777" w:rsidR="008F252D" w:rsidRDefault="008F252D" w:rsidP="0089789C">
      <w:pPr>
        <w:spacing w:line="240" w:lineRule="auto"/>
      </w:pPr>
      <w:r>
        <w:separator/>
      </w:r>
    </w:p>
  </w:endnote>
  <w:endnote w:type="continuationSeparator" w:id="0">
    <w:p w14:paraId="4D0344D3" w14:textId="77777777" w:rsidR="008F252D" w:rsidRDefault="008F252D" w:rsidP="0089789C">
      <w:pPr>
        <w:spacing w:line="240" w:lineRule="auto"/>
      </w:pPr>
      <w:r>
        <w:continuationSeparator/>
      </w:r>
    </w:p>
  </w:endnote>
  <w:endnote w:type="continuationNotice" w:id="1">
    <w:p w14:paraId="2ECDA71D" w14:textId="77777777" w:rsidR="008F252D" w:rsidRDefault="008F252D">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C70D05" w14:textId="77777777" w:rsidR="008F252D" w:rsidRDefault="008F252D" w:rsidP="0089789C">
      <w:pPr>
        <w:spacing w:line="240" w:lineRule="auto"/>
      </w:pPr>
      <w:r>
        <w:separator/>
      </w:r>
    </w:p>
  </w:footnote>
  <w:footnote w:type="continuationSeparator" w:id="0">
    <w:p w14:paraId="72F06345" w14:textId="77777777" w:rsidR="008F252D" w:rsidRDefault="008F252D" w:rsidP="0089789C">
      <w:pPr>
        <w:spacing w:line="240" w:lineRule="auto"/>
      </w:pPr>
      <w:r>
        <w:continuationSeparator/>
      </w:r>
    </w:p>
  </w:footnote>
  <w:footnote w:type="continuationNotice" w:id="1">
    <w:p w14:paraId="7E6A5D92" w14:textId="77777777" w:rsidR="008F252D" w:rsidRDefault="008F252D">
      <w:pPr>
        <w:spacing w:line="240" w:lineRule="auto"/>
      </w:pPr>
    </w:p>
  </w:footnote>
  <w:footnote w:id="2">
    <w:p w14:paraId="3E5AF0F1" w14:textId="5D35E2FC" w:rsidR="00EB729C" w:rsidRDefault="00EB729C">
      <w:pPr>
        <w:pStyle w:val="FootnoteText"/>
      </w:pPr>
      <w:r>
        <w:rPr>
          <w:rStyle w:val="FootnoteReference"/>
        </w:rPr>
        <w:footnoteRef/>
      </w:r>
      <w:r>
        <w:t xml:space="preserve"> </w:t>
      </w:r>
      <w:r w:rsidRPr="0036555D">
        <w:rPr>
          <w:rFonts w:asciiTheme="minorHAnsi" w:hAnsiTheme="minorHAnsi" w:cstheme="minorBidi"/>
        </w:rPr>
        <w:t>ICONIC-LEAD (</w:t>
      </w:r>
      <w:hyperlink r:id="rId1" w:history="1">
        <w:r w:rsidRPr="0036555D">
          <w:rPr>
            <w:rStyle w:val="Hyperlink"/>
            <w:rFonts w:asciiTheme="minorHAnsi" w:hAnsiTheme="minorHAnsi" w:cstheme="minorBidi"/>
          </w:rPr>
          <w:t>NCT06095115</w:t>
        </w:r>
      </w:hyperlink>
      <w:r w:rsidRPr="0036555D">
        <w:rPr>
          <w:rFonts w:asciiTheme="minorHAnsi" w:hAnsiTheme="minorHAnsi" w:cstheme="minorBidi"/>
        </w:rPr>
        <w:t>) and ICONIC-TOTAL (</w:t>
      </w:r>
      <w:hyperlink r:id="rId2" w:history="1">
        <w:r w:rsidRPr="0036555D">
          <w:rPr>
            <w:rStyle w:val="Hyperlink"/>
            <w:rFonts w:asciiTheme="minorHAnsi" w:hAnsiTheme="minorHAnsi" w:cstheme="minorBidi"/>
          </w:rPr>
          <w:t>NCT06095102</w:t>
        </w:r>
      </w:hyperlink>
      <w:r w:rsidRPr="0036555D">
        <w:rPr>
          <w:rFonts w:asciiTheme="minorHAnsi" w:hAnsiTheme="minorHAnsi" w:cstheme="minorBidi"/>
        </w:rPr>
        <w:t>)</w:t>
      </w:r>
    </w:p>
  </w:footnote>
  <w:footnote w:id="3">
    <w:p w14:paraId="460F2304" w14:textId="3930066D" w:rsidR="00EB729C" w:rsidRDefault="00EB729C">
      <w:pPr>
        <w:pStyle w:val="FootnoteText"/>
      </w:pPr>
      <w:r>
        <w:rPr>
          <w:rStyle w:val="FootnoteReference"/>
        </w:rPr>
        <w:footnoteRef/>
      </w:r>
      <w:r>
        <w:t xml:space="preserve"> </w:t>
      </w:r>
      <w:r w:rsidRPr="0036555D">
        <w:rPr>
          <w:rFonts w:asciiTheme="minorHAnsi" w:hAnsiTheme="minorHAnsi" w:cstheme="minorBidi"/>
        </w:rPr>
        <w:t>VERIFY (</w:t>
      </w:r>
      <w:hyperlink r:id="rId3" w:history="1">
        <w:r w:rsidRPr="0036555D">
          <w:rPr>
            <w:rStyle w:val="Hyperlink"/>
            <w:rFonts w:asciiTheme="minorHAnsi" w:hAnsiTheme="minorHAnsi" w:cstheme="minorBidi"/>
          </w:rPr>
          <w:t>NCT05210790</w:t>
        </w:r>
      </w:hyperlink>
      <w:r w:rsidRPr="0036555D">
        <w:rPr>
          <w:rFonts w:asciiTheme="minorHAnsi" w:hAnsiTheme="minorHAnsi" w:cstheme="minorBidi"/>
        </w:rPr>
        <w:t>)</w:t>
      </w:r>
    </w:p>
  </w:footnote>
  <w:footnote w:id="4">
    <w:p w14:paraId="37206372" w14:textId="024B1D62" w:rsidR="00EB729C" w:rsidRDefault="00EB729C">
      <w:pPr>
        <w:pStyle w:val="FootnoteText"/>
      </w:pPr>
      <w:r>
        <w:rPr>
          <w:rStyle w:val="FootnoteReference"/>
        </w:rPr>
        <w:footnoteRef/>
      </w:r>
      <w:r>
        <w:t xml:space="preserve"> </w:t>
      </w:r>
      <w:r w:rsidRPr="0036555D">
        <w:rPr>
          <w:rFonts w:asciiTheme="minorHAnsi" w:hAnsiTheme="minorHAnsi" w:cstheme="minorBidi"/>
        </w:rPr>
        <w:t>ANTHEM (</w:t>
      </w:r>
      <w:hyperlink r:id="rId4" w:history="1">
        <w:r w:rsidRPr="0036555D">
          <w:rPr>
            <w:rStyle w:val="Hyperlink"/>
            <w:rFonts w:asciiTheme="minorHAnsi" w:hAnsiTheme="minorHAnsi" w:cstheme="minorBidi"/>
          </w:rPr>
          <w:t>NCT06049017</w:t>
        </w:r>
      </w:hyperlink>
      <w:r w:rsidRPr="0036555D">
        <w:rPr>
          <w:rFonts w:asciiTheme="minorHAnsi" w:hAnsiTheme="minorHAnsi" w:cstheme="minorBidi"/>
        </w:rPr>
        <w:t>)</w:t>
      </w:r>
    </w:p>
  </w:footnote>
  <w:footnote w:id="5">
    <w:p w14:paraId="186C04C4" w14:textId="6067AE15" w:rsidR="00EB729C" w:rsidRDefault="00EB729C">
      <w:pPr>
        <w:pStyle w:val="FootnoteText"/>
      </w:pPr>
      <w:r>
        <w:rPr>
          <w:rStyle w:val="FootnoteReference"/>
        </w:rPr>
        <w:footnoteRef/>
      </w:r>
      <w:r>
        <w:t xml:space="preserve"> </w:t>
      </w:r>
      <w:r w:rsidRPr="0036555D">
        <w:rPr>
          <w:rFonts w:asciiTheme="minorHAnsi" w:hAnsiTheme="minorHAnsi" w:cstheme="minorBidi"/>
        </w:rPr>
        <w:t>ICONIC-ADVANCE 1 (</w:t>
      </w:r>
      <w:hyperlink r:id="rId5" w:history="1">
        <w:r w:rsidRPr="0036555D">
          <w:rPr>
            <w:rStyle w:val="Hyperlink"/>
            <w:rFonts w:asciiTheme="minorHAnsi" w:hAnsiTheme="minorHAnsi" w:cstheme="minorBidi"/>
          </w:rPr>
          <w:t>NCT06143878</w:t>
        </w:r>
      </w:hyperlink>
      <w:r w:rsidRPr="0036555D">
        <w:rPr>
          <w:rFonts w:asciiTheme="minorHAnsi" w:hAnsiTheme="minorHAnsi" w:cstheme="minorBidi"/>
        </w:rPr>
        <w:t>) and ICONIC-ADVANCE 2 (</w:t>
      </w:r>
      <w:hyperlink r:id="rId6" w:history="1">
        <w:r w:rsidRPr="0036555D">
          <w:rPr>
            <w:rStyle w:val="Hyperlink"/>
            <w:rFonts w:asciiTheme="minorHAnsi" w:hAnsiTheme="minorHAnsi" w:cstheme="minorBidi"/>
          </w:rPr>
          <w:t>NCT06220604</w:t>
        </w:r>
      </w:hyperlink>
      <w:r w:rsidRPr="0036555D">
        <w:rPr>
          <w:rFonts w:asciiTheme="minorHAnsi" w:hAnsiTheme="minorHAnsi" w:cstheme="minorBidi"/>
        </w:rPr>
        <w:t>)</w:t>
      </w: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949BB"/>
    <w:multiLevelType w:val="hybridMultilevel"/>
    <w:tmpl w:val="B7F6C6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7F4DC3"/>
    <w:multiLevelType w:val="hybridMultilevel"/>
    <w:tmpl w:val="935CA800"/>
    <w:lvl w:ilvl="0" w:tplc="04090003">
      <w:start w:val="1"/>
      <w:numFmt w:val="bullet"/>
      <w:lvlText w:val="o"/>
      <w:lvlJc w:val="left"/>
      <w:pPr>
        <w:ind w:left="770" w:hanging="360"/>
      </w:pPr>
      <w:rPr>
        <w:rFonts w:ascii="Courier New" w:hAnsi="Courier New" w:cs="Courier New" w:hint="default"/>
      </w:rPr>
    </w:lvl>
    <w:lvl w:ilvl="1" w:tplc="FFFFFFFF">
      <w:start w:val="1"/>
      <w:numFmt w:val="bullet"/>
      <w:lvlText w:val="o"/>
      <w:lvlJc w:val="left"/>
      <w:pPr>
        <w:ind w:left="1490" w:hanging="360"/>
      </w:pPr>
      <w:rPr>
        <w:rFonts w:ascii="Courier New" w:hAnsi="Courier New" w:cs="Courier New" w:hint="default"/>
      </w:rPr>
    </w:lvl>
    <w:lvl w:ilvl="2" w:tplc="FFFFFFFF">
      <w:start w:val="1"/>
      <w:numFmt w:val="bullet"/>
      <w:lvlText w:val=""/>
      <w:lvlJc w:val="left"/>
      <w:pPr>
        <w:ind w:left="2210" w:hanging="360"/>
      </w:pPr>
      <w:rPr>
        <w:rFonts w:ascii="Wingdings" w:hAnsi="Wingdings" w:hint="default"/>
      </w:rPr>
    </w:lvl>
    <w:lvl w:ilvl="3" w:tplc="FFFFFFFF">
      <w:start w:val="1"/>
      <w:numFmt w:val="bullet"/>
      <w:lvlText w:val=""/>
      <w:lvlJc w:val="left"/>
      <w:pPr>
        <w:ind w:left="2930" w:hanging="360"/>
      </w:pPr>
      <w:rPr>
        <w:rFonts w:ascii="Symbol" w:hAnsi="Symbol" w:hint="default"/>
      </w:rPr>
    </w:lvl>
    <w:lvl w:ilvl="4" w:tplc="FFFFFFFF">
      <w:start w:val="1"/>
      <w:numFmt w:val="bullet"/>
      <w:lvlText w:val="o"/>
      <w:lvlJc w:val="left"/>
      <w:pPr>
        <w:ind w:left="3650" w:hanging="360"/>
      </w:pPr>
      <w:rPr>
        <w:rFonts w:ascii="Courier New" w:hAnsi="Courier New" w:cs="Courier New" w:hint="default"/>
      </w:rPr>
    </w:lvl>
    <w:lvl w:ilvl="5" w:tplc="FFFFFFFF">
      <w:start w:val="1"/>
      <w:numFmt w:val="bullet"/>
      <w:lvlText w:val=""/>
      <w:lvlJc w:val="left"/>
      <w:pPr>
        <w:ind w:left="4370" w:hanging="360"/>
      </w:pPr>
      <w:rPr>
        <w:rFonts w:ascii="Wingdings" w:hAnsi="Wingdings" w:hint="default"/>
      </w:rPr>
    </w:lvl>
    <w:lvl w:ilvl="6" w:tplc="FFFFFFFF">
      <w:start w:val="1"/>
      <w:numFmt w:val="bullet"/>
      <w:lvlText w:val=""/>
      <w:lvlJc w:val="left"/>
      <w:pPr>
        <w:ind w:left="5090" w:hanging="360"/>
      </w:pPr>
      <w:rPr>
        <w:rFonts w:ascii="Symbol" w:hAnsi="Symbol" w:hint="default"/>
      </w:rPr>
    </w:lvl>
    <w:lvl w:ilvl="7" w:tplc="FFFFFFFF">
      <w:start w:val="1"/>
      <w:numFmt w:val="bullet"/>
      <w:lvlText w:val="o"/>
      <w:lvlJc w:val="left"/>
      <w:pPr>
        <w:ind w:left="5810" w:hanging="360"/>
      </w:pPr>
      <w:rPr>
        <w:rFonts w:ascii="Courier New" w:hAnsi="Courier New" w:cs="Courier New" w:hint="default"/>
      </w:rPr>
    </w:lvl>
    <w:lvl w:ilvl="8" w:tplc="FFFFFFFF">
      <w:start w:val="1"/>
      <w:numFmt w:val="bullet"/>
      <w:lvlText w:val=""/>
      <w:lvlJc w:val="left"/>
      <w:pPr>
        <w:ind w:left="6530" w:hanging="360"/>
      </w:pPr>
      <w:rPr>
        <w:rFonts w:ascii="Wingdings" w:hAnsi="Wingdings" w:hint="default"/>
      </w:rPr>
    </w:lvl>
  </w:abstractNum>
  <w:abstractNum w:abstractNumId="2" w15:restartNumberingAfterBreak="0">
    <w:nsid w:val="1B2644A4"/>
    <w:multiLevelType w:val="hybridMultilevel"/>
    <w:tmpl w:val="FF54F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8167595"/>
    <w:multiLevelType w:val="hybridMultilevel"/>
    <w:tmpl w:val="5064A604"/>
    <w:lvl w:ilvl="0" w:tplc="04090001">
      <w:start w:val="1"/>
      <w:numFmt w:val="bullet"/>
      <w:lvlText w:val=""/>
      <w:lvlJc w:val="left"/>
      <w:pPr>
        <w:ind w:left="350" w:hanging="360"/>
      </w:pPr>
      <w:rPr>
        <w:rFonts w:ascii="Symbol" w:hAnsi="Symbol" w:hint="default"/>
      </w:rPr>
    </w:lvl>
    <w:lvl w:ilvl="1" w:tplc="04090003">
      <w:start w:val="1"/>
      <w:numFmt w:val="bullet"/>
      <w:lvlText w:val="o"/>
      <w:lvlJc w:val="left"/>
      <w:pPr>
        <w:ind w:left="1070" w:hanging="360"/>
      </w:pPr>
      <w:rPr>
        <w:rFonts w:ascii="Courier New" w:hAnsi="Courier New" w:cs="Courier New" w:hint="default"/>
      </w:rPr>
    </w:lvl>
    <w:lvl w:ilvl="2" w:tplc="04090005">
      <w:start w:val="1"/>
      <w:numFmt w:val="bullet"/>
      <w:lvlText w:val=""/>
      <w:lvlJc w:val="left"/>
      <w:pPr>
        <w:ind w:left="1790" w:hanging="360"/>
      </w:pPr>
      <w:rPr>
        <w:rFonts w:ascii="Wingdings" w:hAnsi="Wingdings" w:hint="default"/>
      </w:rPr>
    </w:lvl>
    <w:lvl w:ilvl="3" w:tplc="04090001">
      <w:start w:val="1"/>
      <w:numFmt w:val="bullet"/>
      <w:lvlText w:val=""/>
      <w:lvlJc w:val="left"/>
      <w:pPr>
        <w:ind w:left="2510" w:hanging="360"/>
      </w:pPr>
      <w:rPr>
        <w:rFonts w:ascii="Symbol" w:hAnsi="Symbol" w:hint="default"/>
      </w:rPr>
    </w:lvl>
    <w:lvl w:ilvl="4" w:tplc="04090003" w:tentative="1">
      <w:start w:val="1"/>
      <w:numFmt w:val="bullet"/>
      <w:lvlText w:val="o"/>
      <w:lvlJc w:val="left"/>
      <w:pPr>
        <w:ind w:left="3230" w:hanging="360"/>
      </w:pPr>
      <w:rPr>
        <w:rFonts w:ascii="Courier New" w:hAnsi="Courier New" w:cs="Courier New" w:hint="default"/>
      </w:rPr>
    </w:lvl>
    <w:lvl w:ilvl="5" w:tplc="04090005" w:tentative="1">
      <w:start w:val="1"/>
      <w:numFmt w:val="bullet"/>
      <w:lvlText w:val=""/>
      <w:lvlJc w:val="left"/>
      <w:pPr>
        <w:ind w:left="3950" w:hanging="360"/>
      </w:pPr>
      <w:rPr>
        <w:rFonts w:ascii="Wingdings" w:hAnsi="Wingdings" w:hint="default"/>
      </w:rPr>
    </w:lvl>
    <w:lvl w:ilvl="6" w:tplc="04090001" w:tentative="1">
      <w:start w:val="1"/>
      <w:numFmt w:val="bullet"/>
      <w:lvlText w:val=""/>
      <w:lvlJc w:val="left"/>
      <w:pPr>
        <w:ind w:left="4670" w:hanging="360"/>
      </w:pPr>
      <w:rPr>
        <w:rFonts w:ascii="Symbol" w:hAnsi="Symbol" w:hint="default"/>
      </w:rPr>
    </w:lvl>
    <w:lvl w:ilvl="7" w:tplc="04090003" w:tentative="1">
      <w:start w:val="1"/>
      <w:numFmt w:val="bullet"/>
      <w:lvlText w:val="o"/>
      <w:lvlJc w:val="left"/>
      <w:pPr>
        <w:ind w:left="5390" w:hanging="360"/>
      </w:pPr>
      <w:rPr>
        <w:rFonts w:ascii="Courier New" w:hAnsi="Courier New" w:cs="Courier New" w:hint="default"/>
      </w:rPr>
    </w:lvl>
    <w:lvl w:ilvl="8" w:tplc="04090005" w:tentative="1">
      <w:start w:val="1"/>
      <w:numFmt w:val="bullet"/>
      <w:lvlText w:val=""/>
      <w:lvlJc w:val="left"/>
      <w:pPr>
        <w:ind w:left="6110" w:hanging="360"/>
      </w:pPr>
      <w:rPr>
        <w:rFonts w:ascii="Wingdings" w:hAnsi="Wingdings" w:hint="default"/>
      </w:rPr>
    </w:lvl>
  </w:abstractNum>
  <w:abstractNum w:abstractNumId="4" w15:restartNumberingAfterBreak="0">
    <w:nsid w:val="43C77226"/>
    <w:multiLevelType w:val="multilevel"/>
    <w:tmpl w:val="DCE27A3E"/>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5" w15:restartNumberingAfterBreak="0">
    <w:nsid w:val="566F162D"/>
    <w:multiLevelType w:val="hybridMultilevel"/>
    <w:tmpl w:val="D53AA3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82C5C56"/>
    <w:multiLevelType w:val="hybridMultilevel"/>
    <w:tmpl w:val="42B8DC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0B07893"/>
    <w:multiLevelType w:val="hybridMultilevel"/>
    <w:tmpl w:val="883A93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0F545D"/>
    <w:multiLevelType w:val="hybridMultilevel"/>
    <w:tmpl w:val="938E39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64BD6CFF"/>
    <w:multiLevelType w:val="multilevel"/>
    <w:tmpl w:val="04090023"/>
    <w:styleLink w:val="ArticleSection"/>
    <w:lvl w:ilvl="0">
      <w:start w:val="1"/>
      <w:numFmt w:val="upperRoman"/>
      <w:pStyle w:val="Heading1"/>
      <w:lvlText w:val="Article %1."/>
      <w:lvlJc w:val="left"/>
      <w:pPr>
        <w:ind w:left="0" w:firstLine="0"/>
      </w:pPr>
      <w:rPr>
        <w:rFonts w:asciiTheme="minorHAnsi" w:hAnsiTheme="minorHAnsi" w:cstheme="minorHAnsi"/>
      </w:rPr>
    </w:lvl>
    <w:lvl w:ilvl="1">
      <w:start w:val="1"/>
      <w:numFmt w:val="decimalZero"/>
      <w:pStyle w:val="Heading2"/>
      <w:isLgl/>
      <w:lvlText w:val="Section %1.%2"/>
      <w:lvlJc w:val="left"/>
      <w:pPr>
        <w:ind w:left="0" w:firstLine="0"/>
      </w:pPr>
    </w:lvl>
    <w:lvl w:ilvl="2">
      <w:start w:val="1"/>
      <w:numFmt w:val="lowerLetter"/>
      <w:pStyle w:val="Heading3"/>
      <w:lvlText w:val="(%3)"/>
      <w:lvlJc w:val="left"/>
      <w:pPr>
        <w:ind w:left="720" w:hanging="432"/>
      </w:pPr>
    </w:lvl>
    <w:lvl w:ilvl="3">
      <w:start w:val="1"/>
      <w:numFmt w:val="lowerRoman"/>
      <w:pStyle w:val="Heading4"/>
      <w:lvlText w:val="(%4)"/>
      <w:lvlJc w:val="right"/>
      <w:pPr>
        <w:ind w:left="864" w:hanging="144"/>
      </w:pPr>
    </w:lvl>
    <w:lvl w:ilvl="4">
      <w:start w:val="1"/>
      <w:numFmt w:val="decimal"/>
      <w:pStyle w:val="Heading5"/>
      <w:lvlText w:val="%5)"/>
      <w:lvlJc w:val="left"/>
      <w:pPr>
        <w:ind w:left="1008" w:hanging="432"/>
      </w:pPr>
    </w:lvl>
    <w:lvl w:ilvl="5">
      <w:start w:val="1"/>
      <w:numFmt w:val="lowerLetter"/>
      <w:pStyle w:val="Heading6"/>
      <w:lvlText w:val="%6)"/>
      <w:lvlJc w:val="left"/>
      <w:pPr>
        <w:ind w:left="1152" w:hanging="432"/>
      </w:pPr>
    </w:lvl>
    <w:lvl w:ilvl="6">
      <w:start w:val="1"/>
      <w:numFmt w:val="lowerRoman"/>
      <w:pStyle w:val="Heading7"/>
      <w:lvlText w:val="%7)"/>
      <w:lvlJc w:val="right"/>
      <w:pPr>
        <w:ind w:left="1296" w:hanging="288"/>
      </w:pPr>
    </w:lvl>
    <w:lvl w:ilvl="7">
      <w:start w:val="1"/>
      <w:numFmt w:val="lowerLetter"/>
      <w:pStyle w:val="Heading8"/>
      <w:lvlText w:val="%8."/>
      <w:lvlJc w:val="left"/>
      <w:pPr>
        <w:ind w:left="1440" w:hanging="432"/>
      </w:pPr>
    </w:lvl>
    <w:lvl w:ilvl="8">
      <w:start w:val="1"/>
      <w:numFmt w:val="lowerRoman"/>
      <w:pStyle w:val="Heading9"/>
      <w:lvlText w:val="%9."/>
      <w:lvlJc w:val="right"/>
      <w:pPr>
        <w:ind w:left="1584" w:hanging="144"/>
      </w:pPr>
    </w:lvl>
  </w:abstractNum>
  <w:abstractNum w:abstractNumId="10" w15:restartNumberingAfterBreak="0">
    <w:nsid w:val="660511DD"/>
    <w:multiLevelType w:val="multilevel"/>
    <w:tmpl w:val="E8102AF0"/>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11" w15:restartNumberingAfterBreak="0">
    <w:nsid w:val="66087EB6"/>
    <w:multiLevelType w:val="hybridMultilevel"/>
    <w:tmpl w:val="01963834"/>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start w:val="1"/>
      <w:numFmt w:val="bullet"/>
      <w:lvlText w:val=""/>
      <w:lvlJc w:val="left"/>
      <w:pPr>
        <w:ind w:left="2930" w:hanging="360"/>
      </w:pPr>
      <w:rPr>
        <w:rFonts w:ascii="Symbol" w:hAnsi="Symbol" w:hint="default"/>
      </w:rPr>
    </w:lvl>
    <w:lvl w:ilvl="4" w:tplc="04090003">
      <w:start w:val="1"/>
      <w:numFmt w:val="bullet"/>
      <w:lvlText w:val="o"/>
      <w:lvlJc w:val="left"/>
      <w:pPr>
        <w:ind w:left="3650" w:hanging="360"/>
      </w:pPr>
      <w:rPr>
        <w:rFonts w:ascii="Courier New" w:hAnsi="Courier New" w:cs="Courier New" w:hint="default"/>
      </w:rPr>
    </w:lvl>
    <w:lvl w:ilvl="5" w:tplc="04090005">
      <w:start w:val="1"/>
      <w:numFmt w:val="bullet"/>
      <w:lvlText w:val=""/>
      <w:lvlJc w:val="left"/>
      <w:pPr>
        <w:ind w:left="4370" w:hanging="360"/>
      </w:pPr>
      <w:rPr>
        <w:rFonts w:ascii="Wingdings" w:hAnsi="Wingdings" w:hint="default"/>
      </w:rPr>
    </w:lvl>
    <w:lvl w:ilvl="6" w:tplc="04090001">
      <w:start w:val="1"/>
      <w:numFmt w:val="bullet"/>
      <w:lvlText w:val=""/>
      <w:lvlJc w:val="left"/>
      <w:pPr>
        <w:ind w:left="5090" w:hanging="360"/>
      </w:pPr>
      <w:rPr>
        <w:rFonts w:ascii="Symbol" w:hAnsi="Symbol" w:hint="default"/>
      </w:rPr>
    </w:lvl>
    <w:lvl w:ilvl="7" w:tplc="04090003">
      <w:start w:val="1"/>
      <w:numFmt w:val="bullet"/>
      <w:lvlText w:val="o"/>
      <w:lvlJc w:val="left"/>
      <w:pPr>
        <w:ind w:left="5810" w:hanging="360"/>
      </w:pPr>
      <w:rPr>
        <w:rFonts w:ascii="Courier New" w:hAnsi="Courier New" w:cs="Courier New" w:hint="default"/>
      </w:rPr>
    </w:lvl>
    <w:lvl w:ilvl="8" w:tplc="04090005">
      <w:start w:val="1"/>
      <w:numFmt w:val="bullet"/>
      <w:lvlText w:val=""/>
      <w:lvlJc w:val="left"/>
      <w:pPr>
        <w:ind w:left="6530" w:hanging="360"/>
      </w:pPr>
      <w:rPr>
        <w:rFonts w:ascii="Wingdings" w:hAnsi="Wingdings" w:hint="default"/>
      </w:rPr>
    </w:lvl>
  </w:abstractNum>
  <w:abstractNum w:abstractNumId="12" w15:restartNumberingAfterBreak="0">
    <w:nsid w:val="69A2462E"/>
    <w:multiLevelType w:val="multilevel"/>
    <w:tmpl w:val="34BC5FEE"/>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13" w15:restartNumberingAfterBreak="0">
    <w:nsid w:val="6F764ABD"/>
    <w:multiLevelType w:val="multilevel"/>
    <w:tmpl w:val="E4F4F0F4"/>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14" w15:restartNumberingAfterBreak="0">
    <w:nsid w:val="73FD0CDE"/>
    <w:multiLevelType w:val="multilevel"/>
    <w:tmpl w:val="0409001D"/>
    <w:styleLink w:val="1ai"/>
    <w:lvl w:ilvl="0">
      <w:start w:val="1"/>
      <w:numFmt w:val="decimal"/>
      <w:lvlText w:val="%1)"/>
      <w:lvlJc w:val="left"/>
      <w:pPr>
        <w:ind w:left="360" w:hanging="360"/>
      </w:pPr>
      <w:rPr>
        <w:rFonts w:asciiTheme="minorHAnsi" w:hAnsiTheme="minorHAnsi" w:cstheme="minorHAnsi"/>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783F559F"/>
    <w:multiLevelType w:val="hybridMultilevel"/>
    <w:tmpl w:val="DD4C6C22"/>
    <w:lvl w:ilvl="0" w:tplc="04090001">
      <w:start w:val="1"/>
      <w:numFmt w:val="bullet"/>
      <w:lvlText w:val=""/>
      <w:lvlJc w:val="left"/>
      <w:pPr>
        <w:ind w:left="1195" w:hanging="360"/>
      </w:pPr>
      <w:rPr>
        <w:rFonts w:ascii="Symbol" w:hAnsi="Symbol" w:hint="default"/>
      </w:rPr>
    </w:lvl>
    <w:lvl w:ilvl="1" w:tplc="04090003" w:tentative="1">
      <w:start w:val="1"/>
      <w:numFmt w:val="bullet"/>
      <w:lvlText w:val="o"/>
      <w:lvlJc w:val="left"/>
      <w:pPr>
        <w:ind w:left="1915" w:hanging="360"/>
      </w:pPr>
      <w:rPr>
        <w:rFonts w:ascii="Courier New" w:hAnsi="Courier New" w:cs="Courier New" w:hint="default"/>
      </w:rPr>
    </w:lvl>
    <w:lvl w:ilvl="2" w:tplc="04090005" w:tentative="1">
      <w:start w:val="1"/>
      <w:numFmt w:val="bullet"/>
      <w:lvlText w:val=""/>
      <w:lvlJc w:val="left"/>
      <w:pPr>
        <w:ind w:left="2635" w:hanging="360"/>
      </w:pPr>
      <w:rPr>
        <w:rFonts w:ascii="Wingdings" w:hAnsi="Wingdings" w:hint="default"/>
      </w:rPr>
    </w:lvl>
    <w:lvl w:ilvl="3" w:tplc="04090001" w:tentative="1">
      <w:start w:val="1"/>
      <w:numFmt w:val="bullet"/>
      <w:lvlText w:val=""/>
      <w:lvlJc w:val="left"/>
      <w:pPr>
        <w:ind w:left="3355" w:hanging="360"/>
      </w:pPr>
      <w:rPr>
        <w:rFonts w:ascii="Symbol" w:hAnsi="Symbol" w:hint="default"/>
      </w:rPr>
    </w:lvl>
    <w:lvl w:ilvl="4" w:tplc="04090003" w:tentative="1">
      <w:start w:val="1"/>
      <w:numFmt w:val="bullet"/>
      <w:lvlText w:val="o"/>
      <w:lvlJc w:val="left"/>
      <w:pPr>
        <w:ind w:left="4075" w:hanging="360"/>
      </w:pPr>
      <w:rPr>
        <w:rFonts w:ascii="Courier New" w:hAnsi="Courier New" w:cs="Courier New" w:hint="default"/>
      </w:rPr>
    </w:lvl>
    <w:lvl w:ilvl="5" w:tplc="04090005" w:tentative="1">
      <w:start w:val="1"/>
      <w:numFmt w:val="bullet"/>
      <w:lvlText w:val=""/>
      <w:lvlJc w:val="left"/>
      <w:pPr>
        <w:ind w:left="4795" w:hanging="360"/>
      </w:pPr>
      <w:rPr>
        <w:rFonts w:ascii="Wingdings" w:hAnsi="Wingdings" w:hint="default"/>
      </w:rPr>
    </w:lvl>
    <w:lvl w:ilvl="6" w:tplc="04090001" w:tentative="1">
      <w:start w:val="1"/>
      <w:numFmt w:val="bullet"/>
      <w:lvlText w:val=""/>
      <w:lvlJc w:val="left"/>
      <w:pPr>
        <w:ind w:left="5515" w:hanging="360"/>
      </w:pPr>
      <w:rPr>
        <w:rFonts w:ascii="Symbol" w:hAnsi="Symbol" w:hint="default"/>
      </w:rPr>
    </w:lvl>
    <w:lvl w:ilvl="7" w:tplc="04090003" w:tentative="1">
      <w:start w:val="1"/>
      <w:numFmt w:val="bullet"/>
      <w:lvlText w:val="o"/>
      <w:lvlJc w:val="left"/>
      <w:pPr>
        <w:ind w:left="6235" w:hanging="360"/>
      </w:pPr>
      <w:rPr>
        <w:rFonts w:ascii="Courier New" w:hAnsi="Courier New" w:cs="Courier New" w:hint="default"/>
      </w:rPr>
    </w:lvl>
    <w:lvl w:ilvl="8" w:tplc="04090005" w:tentative="1">
      <w:start w:val="1"/>
      <w:numFmt w:val="bullet"/>
      <w:lvlText w:val=""/>
      <w:lvlJc w:val="left"/>
      <w:pPr>
        <w:ind w:left="6955" w:hanging="360"/>
      </w:pPr>
      <w:rPr>
        <w:rFonts w:ascii="Wingdings" w:hAnsi="Wingdings" w:hint="default"/>
      </w:rPr>
    </w:lvl>
  </w:abstractNum>
  <w:num w:numId="1" w16cid:durableId="1637636934">
    <w:abstractNumId w:val="3"/>
  </w:num>
  <w:num w:numId="2" w16cid:durableId="90275472">
    <w:abstractNumId w:val="11"/>
  </w:num>
  <w:num w:numId="3" w16cid:durableId="1680039217">
    <w:abstractNumId w:val="7"/>
  </w:num>
  <w:num w:numId="4" w16cid:durableId="1522890675">
    <w:abstractNumId w:val="5"/>
  </w:num>
  <w:num w:numId="5" w16cid:durableId="1392268562">
    <w:abstractNumId w:val="6"/>
  </w:num>
  <w:num w:numId="6" w16cid:durableId="1027675316">
    <w:abstractNumId w:val="14"/>
  </w:num>
  <w:num w:numId="7" w16cid:durableId="402727540">
    <w:abstractNumId w:val="9"/>
  </w:num>
  <w:num w:numId="8" w16cid:durableId="279606288">
    <w:abstractNumId w:val="10"/>
  </w:num>
  <w:num w:numId="9" w16cid:durableId="650132586">
    <w:abstractNumId w:val="8"/>
  </w:num>
  <w:num w:numId="10" w16cid:durableId="993795681">
    <w:abstractNumId w:val="2"/>
  </w:num>
  <w:num w:numId="11" w16cid:durableId="1392728800">
    <w:abstractNumId w:val="0"/>
  </w:num>
  <w:num w:numId="12" w16cid:durableId="50429498">
    <w:abstractNumId w:val="1"/>
  </w:num>
  <w:num w:numId="13" w16cid:durableId="38819373">
    <w:abstractNumId w:val="13"/>
  </w:num>
  <w:num w:numId="14" w16cid:durableId="342517322">
    <w:abstractNumId w:val="15"/>
  </w:num>
  <w:num w:numId="15" w16cid:durableId="1646155766">
    <w:abstractNumId w:val="4"/>
  </w:num>
  <w:num w:numId="16" w16cid:durableId="1580939928">
    <w:abstractNumId w:val="1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evenAndOddHeaders/>
  <w:characterSpacingControl w:val="doNotCompress"/>
  <w:hdrShapeDefaults>
    <o:shapedefaults v:ext="edit" spidmax="2054"/>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sLA0tLSwMDA2NjQEcpR0lIJTi4sz8/NACgxrAWo4na0sAAAA"/>
    <w:docVar w:name="APWAFVersion" w:val="5.0"/>
  </w:docVars>
  <w:rsids>
    <w:rsidRoot w:val="00177558"/>
    <w:rsid w:val="000001F2"/>
    <w:rsid w:val="00001025"/>
    <w:rsid w:val="00001297"/>
    <w:rsid w:val="00001D23"/>
    <w:rsid w:val="00002925"/>
    <w:rsid w:val="0000310A"/>
    <w:rsid w:val="00003247"/>
    <w:rsid w:val="000036FF"/>
    <w:rsid w:val="00003AC0"/>
    <w:rsid w:val="0000514F"/>
    <w:rsid w:val="00005AD1"/>
    <w:rsid w:val="00005F76"/>
    <w:rsid w:val="00007016"/>
    <w:rsid w:val="0001063D"/>
    <w:rsid w:val="00011946"/>
    <w:rsid w:val="00012161"/>
    <w:rsid w:val="00012248"/>
    <w:rsid w:val="00013009"/>
    <w:rsid w:val="000131EB"/>
    <w:rsid w:val="000138A8"/>
    <w:rsid w:val="00013F8A"/>
    <w:rsid w:val="0001448D"/>
    <w:rsid w:val="000147D1"/>
    <w:rsid w:val="00015099"/>
    <w:rsid w:val="0001525D"/>
    <w:rsid w:val="0001541D"/>
    <w:rsid w:val="0001612D"/>
    <w:rsid w:val="00016624"/>
    <w:rsid w:val="000211E6"/>
    <w:rsid w:val="00021252"/>
    <w:rsid w:val="00021FB1"/>
    <w:rsid w:val="000237AC"/>
    <w:rsid w:val="00023F9C"/>
    <w:rsid w:val="00024AAA"/>
    <w:rsid w:val="00025A0E"/>
    <w:rsid w:val="000261F2"/>
    <w:rsid w:val="000271B8"/>
    <w:rsid w:val="00027407"/>
    <w:rsid w:val="000277E3"/>
    <w:rsid w:val="00030792"/>
    <w:rsid w:val="00030BED"/>
    <w:rsid w:val="00030EF2"/>
    <w:rsid w:val="0003115E"/>
    <w:rsid w:val="00031DDE"/>
    <w:rsid w:val="00031E3D"/>
    <w:rsid w:val="00032961"/>
    <w:rsid w:val="000331B7"/>
    <w:rsid w:val="000335C8"/>
    <w:rsid w:val="0003419B"/>
    <w:rsid w:val="00034B35"/>
    <w:rsid w:val="00035709"/>
    <w:rsid w:val="00035F6E"/>
    <w:rsid w:val="00035FF5"/>
    <w:rsid w:val="0003654A"/>
    <w:rsid w:val="00036F2A"/>
    <w:rsid w:val="00037298"/>
    <w:rsid w:val="00037919"/>
    <w:rsid w:val="00037D50"/>
    <w:rsid w:val="0004095F"/>
    <w:rsid w:val="00040EA8"/>
    <w:rsid w:val="00041139"/>
    <w:rsid w:val="0004125A"/>
    <w:rsid w:val="0004175B"/>
    <w:rsid w:val="00042579"/>
    <w:rsid w:val="000427AD"/>
    <w:rsid w:val="00042BED"/>
    <w:rsid w:val="00042FF0"/>
    <w:rsid w:val="000438B8"/>
    <w:rsid w:val="000444AA"/>
    <w:rsid w:val="00044BE0"/>
    <w:rsid w:val="00044EF3"/>
    <w:rsid w:val="000454DE"/>
    <w:rsid w:val="0004623F"/>
    <w:rsid w:val="000470CC"/>
    <w:rsid w:val="0005183A"/>
    <w:rsid w:val="00051F9E"/>
    <w:rsid w:val="000520AC"/>
    <w:rsid w:val="00052647"/>
    <w:rsid w:val="00053948"/>
    <w:rsid w:val="00054B89"/>
    <w:rsid w:val="00054C00"/>
    <w:rsid w:val="00056D8C"/>
    <w:rsid w:val="00057BF2"/>
    <w:rsid w:val="000600CF"/>
    <w:rsid w:val="00060719"/>
    <w:rsid w:val="00060B32"/>
    <w:rsid w:val="00061818"/>
    <w:rsid w:val="00061A76"/>
    <w:rsid w:val="0006322B"/>
    <w:rsid w:val="00063C6E"/>
    <w:rsid w:val="00063EC7"/>
    <w:rsid w:val="00064363"/>
    <w:rsid w:val="000647AE"/>
    <w:rsid w:val="000653D1"/>
    <w:rsid w:val="00065D46"/>
    <w:rsid w:val="00066401"/>
    <w:rsid w:val="00066645"/>
    <w:rsid w:val="0006697E"/>
    <w:rsid w:val="000674AA"/>
    <w:rsid w:val="00067C32"/>
    <w:rsid w:val="000706C2"/>
    <w:rsid w:val="00070ADC"/>
    <w:rsid w:val="00072432"/>
    <w:rsid w:val="00072C87"/>
    <w:rsid w:val="0007315D"/>
    <w:rsid w:val="00073A39"/>
    <w:rsid w:val="00074082"/>
    <w:rsid w:val="000740F2"/>
    <w:rsid w:val="000742A5"/>
    <w:rsid w:val="00074888"/>
    <w:rsid w:val="000748CF"/>
    <w:rsid w:val="00076C80"/>
    <w:rsid w:val="00080305"/>
    <w:rsid w:val="000813F0"/>
    <w:rsid w:val="00081B90"/>
    <w:rsid w:val="000826C7"/>
    <w:rsid w:val="000828E1"/>
    <w:rsid w:val="00082B3F"/>
    <w:rsid w:val="00082D4F"/>
    <w:rsid w:val="00083000"/>
    <w:rsid w:val="0008462D"/>
    <w:rsid w:val="00085361"/>
    <w:rsid w:val="00085E0E"/>
    <w:rsid w:val="00086745"/>
    <w:rsid w:val="000869AD"/>
    <w:rsid w:val="00086FDF"/>
    <w:rsid w:val="000874EC"/>
    <w:rsid w:val="00087AF5"/>
    <w:rsid w:val="00091178"/>
    <w:rsid w:val="00091B5C"/>
    <w:rsid w:val="00091D65"/>
    <w:rsid w:val="00092EAA"/>
    <w:rsid w:val="000948BF"/>
    <w:rsid w:val="00094C01"/>
    <w:rsid w:val="000972B6"/>
    <w:rsid w:val="000A05CA"/>
    <w:rsid w:val="000A35DB"/>
    <w:rsid w:val="000A4AC5"/>
    <w:rsid w:val="000A4AC8"/>
    <w:rsid w:val="000A4B7D"/>
    <w:rsid w:val="000A7168"/>
    <w:rsid w:val="000A7C94"/>
    <w:rsid w:val="000B0320"/>
    <w:rsid w:val="000B06B2"/>
    <w:rsid w:val="000B0DE3"/>
    <w:rsid w:val="000B119E"/>
    <w:rsid w:val="000B15DE"/>
    <w:rsid w:val="000B1D9B"/>
    <w:rsid w:val="000B1F58"/>
    <w:rsid w:val="000B2592"/>
    <w:rsid w:val="000B33B5"/>
    <w:rsid w:val="000B39A7"/>
    <w:rsid w:val="000B48DE"/>
    <w:rsid w:val="000B6FE7"/>
    <w:rsid w:val="000B70D8"/>
    <w:rsid w:val="000B74C5"/>
    <w:rsid w:val="000B783F"/>
    <w:rsid w:val="000C0645"/>
    <w:rsid w:val="000C1998"/>
    <w:rsid w:val="000C1BBC"/>
    <w:rsid w:val="000C1D88"/>
    <w:rsid w:val="000C2AC3"/>
    <w:rsid w:val="000C2BBC"/>
    <w:rsid w:val="000C2E54"/>
    <w:rsid w:val="000C2F12"/>
    <w:rsid w:val="000C36A2"/>
    <w:rsid w:val="000C4490"/>
    <w:rsid w:val="000C5258"/>
    <w:rsid w:val="000C6D6E"/>
    <w:rsid w:val="000C763F"/>
    <w:rsid w:val="000C7F47"/>
    <w:rsid w:val="000D0DF4"/>
    <w:rsid w:val="000D14D5"/>
    <w:rsid w:val="000D199E"/>
    <w:rsid w:val="000D1AE8"/>
    <w:rsid w:val="000D2147"/>
    <w:rsid w:val="000D2402"/>
    <w:rsid w:val="000D2468"/>
    <w:rsid w:val="000D253A"/>
    <w:rsid w:val="000D2575"/>
    <w:rsid w:val="000D2585"/>
    <w:rsid w:val="000D25C2"/>
    <w:rsid w:val="000D2A84"/>
    <w:rsid w:val="000D2BE2"/>
    <w:rsid w:val="000D2F9D"/>
    <w:rsid w:val="000D36C7"/>
    <w:rsid w:val="000D4046"/>
    <w:rsid w:val="000D4248"/>
    <w:rsid w:val="000D57E0"/>
    <w:rsid w:val="000D60D5"/>
    <w:rsid w:val="000D6BAC"/>
    <w:rsid w:val="000D79A2"/>
    <w:rsid w:val="000D79D8"/>
    <w:rsid w:val="000D7BCC"/>
    <w:rsid w:val="000E08F6"/>
    <w:rsid w:val="000E1222"/>
    <w:rsid w:val="000E24CC"/>
    <w:rsid w:val="000E417A"/>
    <w:rsid w:val="000E4DD9"/>
    <w:rsid w:val="000E66CF"/>
    <w:rsid w:val="000E7073"/>
    <w:rsid w:val="000E7DCC"/>
    <w:rsid w:val="000F3BCE"/>
    <w:rsid w:val="000F4B4C"/>
    <w:rsid w:val="000F4C5B"/>
    <w:rsid w:val="000F4F49"/>
    <w:rsid w:val="000F6734"/>
    <w:rsid w:val="000F7313"/>
    <w:rsid w:val="001001D2"/>
    <w:rsid w:val="00100201"/>
    <w:rsid w:val="001007BA"/>
    <w:rsid w:val="001013B2"/>
    <w:rsid w:val="001023FF"/>
    <w:rsid w:val="00102569"/>
    <w:rsid w:val="00102CB4"/>
    <w:rsid w:val="001036AA"/>
    <w:rsid w:val="001036BB"/>
    <w:rsid w:val="00103776"/>
    <w:rsid w:val="001049A5"/>
    <w:rsid w:val="001050D9"/>
    <w:rsid w:val="00105BA3"/>
    <w:rsid w:val="00106086"/>
    <w:rsid w:val="0010672A"/>
    <w:rsid w:val="0010703D"/>
    <w:rsid w:val="00107247"/>
    <w:rsid w:val="001074EE"/>
    <w:rsid w:val="00110691"/>
    <w:rsid w:val="00110779"/>
    <w:rsid w:val="00111DE6"/>
    <w:rsid w:val="00112113"/>
    <w:rsid w:val="001124BC"/>
    <w:rsid w:val="00112A09"/>
    <w:rsid w:val="00113661"/>
    <w:rsid w:val="001148B0"/>
    <w:rsid w:val="00115AF7"/>
    <w:rsid w:val="00116B22"/>
    <w:rsid w:val="00116E10"/>
    <w:rsid w:val="0011764A"/>
    <w:rsid w:val="00117974"/>
    <w:rsid w:val="00117D12"/>
    <w:rsid w:val="00120D8C"/>
    <w:rsid w:val="00121D6E"/>
    <w:rsid w:val="00123E9C"/>
    <w:rsid w:val="0012426D"/>
    <w:rsid w:val="001242CA"/>
    <w:rsid w:val="001243FA"/>
    <w:rsid w:val="001247A4"/>
    <w:rsid w:val="0012502D"/>
    <w:rsid w:val="0012506A"/>
    <w:rsid w:val="001251F1"/>
    <w:rsid w:val="0012528A"/>
    <w:rsid w:val="0012529D"/>
    <w:rsid w:val="00125869"/>
    <w:rsid w:val="0013016E"/>
    <w:rsid w:val="00130845"/>
    <w:rsid w:val="00130C60"/>
    <w:rsid w:val="00130F7F"/>
    <w:rsid w:val="001310F8"/>
    <w:rsid w:val="0013140A"/>
    <w:rsid w:val="00132D50"/>
    <w:rsid w:val="001334D4"/>
    <w:rsid w:val="00133650"/>
    <w:rsid w:val="001340F1"/>
    <w:rsid w:val="0013450C"/>
    <w:rsid w:val="00135E73"/>
    <w:rsid w:val="00135F50"/>
    <w:rsid w:val="00136C5D"/>
    <w:rsid w:val="0013792D"/>
    <w:rsid w:val="00137ECA"/>
    <w:rsid w:val="001402F5"/>
    <w:rsid w:val="00140556"/>
    <w:rsid w:val="0014070B"/>
    <w:rsid w:val="00142B5C"/>
    <w:rsid w:val="00142D02"/>
    <w:rsid w:val="00142FDF"/>
    <w:rsid w:val="0014379E"/>
    <w:rsid w:val="00143E40"/>
    <w:rsid w:val="0014424E"/>
    <w:rsid w:val="0014458C"/>
    <w:rsid w:val="00144F75"/>
    <w:rsid w:val="001450F6"/>
    <w:rsid w:val="00146445"/>
    <w:rsid w:val="0014675A"/>
    <w:rsid w:val="00146785"/>
    <w:rsid w:val="00146DD6"/>
    <w:rsid w:val="00147741"/>
    <w:rsid w:val="00147960"/>
    <w:rsid w:val="00147CFB"/>
    <w:rsid w:val="00147D06"/>
    <w:rsid w:val="0015115D"/>
    <w:rsid w:val="00151AE5"/>
    <w:rsid w:val="001527C5"/>
    <w:rsid w:val="00153018"/>
    <w:rsid w:val="0015351F"/>
    <w:rsid w:val="00153D45"/>
    <w:rsid w:val="00154CC7"/>
    <w:rsid w:val="001554EB"/>
    <w:rsid w:val="00156A7C"/>
    <w:rsid w:val="00157639"/>
    <w:rsid w:val="00157D64"/>
    <w:rsid w:val="00160C9F"/>
    <w:rsid w:val="001617F0"/>
    <w:rsid w:val="00162D85"/>
    <w:rsid w:val="00163C04"/>
    <w:rsid w:val="001645BF"/>
    <w:rsid w:val="001655B7"/>
    <w:rsid w:val="00165A4D"/>
    <w:rsid w:val="0016640F"/>
    <w:rsid w:val="001666CA"/>
    <w:rsid w:val="00167826"/>
    <w:rsid w:val="001707A2"/>
    <w:rsid w:val="001711F1"/>
    <w:rsid w:val="00171640"/>
    <w:rsid w:val="00171BAE"/>
    <w:rsid w:val="001724BF"/>
    <w:rsid w:val="00172BD6"/>
    <w:rsid w:val="001739A8"/>
    <w:rsid w:val="00174B6D"/>
    <w:rsid w:val="00174B9E"/>
    <w:rsid w:val="00174D03"/>
    <w:rsid w:val="0017580E"/>
    <w:rsid w:val="00175E24"/>
    <w:rsid w:val="00176C4B"/>
    <w:rsid w:val="00177558"/>
    <w:rsid w:val="00177880"/>
    <w:rsid w:val="0018002B"/>
    <w:rsid w:val="00181973"/>
    <w:rsid w:val="00182EE4"/>
    <w:rsid w:val="00183284"/>
    <w:rsid w:val="00183942"/>
    <w:rsid w:val="00183E98"/>
    <w:rsid w:val="00184B01"/>
    <w:rsid w:val="00184B38"/>
    <w:rsid w:val="00185388"/>
    <w:rsid w:val="0018579C"/>
    <w:rsid w:val="00187D10"/>
    <w:rsid w:val="00187EAD"/>
    <w:rsid w:val="00187EE1"/>
    <w:rsid w:val="001907BD"/>
    <w:rsid w:val="00190D55"/>
    <w:rsid w:val="00190F85"/>
    <w:rsid w:val="00191FB9"/>
    <w:rsid w:val="0019228D"/>
    <w:rsid w:val="0019231C"/>
    <w:rsid w:val="001928E4"/>
    <w:rsid w:val="00192F02"/>
    <w:rsid w:val="00193685"/>
    <w:rsid w:val="001945B7"/>
    <w:rsid w:val="001952D9"/>
    <w:rsid w:val="00195ABD"/>
    <w:rsid w:val="00195B12"/>
    <w:rsid w:val="0019616D"/>
    <w:rsid w:val="00196F61"/>
    <w:rsid w:val="001A0928"/>
    <w:rsid w:val="001A0CFF"/>
    <w:rsid w:val="001A224A"/>
    <w:rsid w:val="001A22C2"/>
    <w:rsid w:val="001A2D84"/>
    <w:rsid w:val="001A54F3"/>
    <w:rsid w:val="001A5981"/>
    <w:rsid w:val="001A5DB7"/>
    <w:rsid w:val="001A6419"/>
    <w:rsid w:val="001A7254"/>
    <w:rsid w:val="001A7F32"/>
    <w:rsid w:val="001B052B"/>
    <w:rsid w:val="001B07C6"/>
    <w:rsid w:val="001B1454"/>
    <w:rsid w:val="001B1699"/>
    <w:rsid w:val="001B16A8"/>
    <w:rsid w:val="001B1983"/>
    <w:rsid w:val="001B24BE"/>
    <w:rsid w:val="001B2BBE"/>
    <w:rsid w:val="001B302B"/>
    <w:rsid w:val="001B404F"/>
    <w:rsid w:val="001B4079"/>
    <w:rsid w:val="001B43BC"/>
    <w:rsid w:val="001B5732"/>
    <w:rsid w:val="001B615B"/>
    <w:rsid w:val="001B64C5"/>
    <w:rsid w:val="001B70CB"/>
    <w:rsid w:val="001B775B"/>
    <w:rsid w:val="001C05C0"/>
    <w:rsid w:val="001C0DEA"/>
    <w:rsid w:val="001C144E"/>
    <w:rsid w:val="001C174E"/>
    <w:rsid w:val="001C19B4"/>
    <w:rsid w:val="001C1D2A"/>
    <w:rsid w:val="001C26C0"/>
    <w:rsid w:val="001C2709"/>
    <w:rsid w:val="001C290D"/>
    <w:rsid w:val="001C2BC6"/>
    <w:rsid w:val="001C3A76"/>
    <w:rsid w:val="001C4287"/>
    <w:rsid w:val="001C5094"/>
    <w:rsid w:val="001C53B6"/>
    <w:rsid w:val="001C5C00"/>
    <w:rsid w:val="001C5F2A"/>
    <w:rsid w:val="001C6286"/>
    <w:rsid w:val="001C6302"/>
    <w:rsid w:val="001C6455"/>
    <w:rsid w:val="001C69AE"/>
    <w:rsid w:val="001C6BDD"/>
    <w:rsid w:val="001D151C"/>
    <w:rsid w:val="001D198C"/>
    <w:rsid w:val="001D2963"/>
    <w:rsid w:val="001D306F"/>
    <w:rsid w:val="001D3097"/>
    <w:rsid w:val="001D3D42"/>
    <w:rsid w:val="001D462A"/>
    <w:rsid w:val="001D52B7"/>
    <w:rsid w:val="001D578D"/>
    <w:rsid w:val="001D5CE9"/>
    <w:rsid w:val="001D710F"/>
    <w:rsid w:val="001D72E3"/>
    <w:rsid w:val="001E06AD"/>
    <w:rsid w:val="001E143F"/>
    <w:rsid w:val="001E39A2"/>
    <w:rsid w:val="001E3BB7"/>
    <w:rsid w:val="001E3C88"/>
    <w:rsid w:val="001E402C"/>
    <w:rsid w:val="001E49A3"/>
    <w:rsid w:val="001E4EB0"/>
    <w:rsid w:val="001E5164"/>
    <w:rsid w:val="001E5C3A"/>
    <w:rsid w:val="001E7B5B"/>
    <w:rsid w:val="001F0698"/>
    <w:rsid w:val="001F1698"/>
    <w:rsid w:val="001F1901"/>
    <w:rsid w:val="001F1CF0"/>
    <w:rsid w:val="001F20C7"/>
    <w:rsid w:val="001F2416"/>
    <w:rsid w:val="001F49AD"/>
    <w:rsid w:val="001F4A83"/>
    <w:rsid w:val="001F4AA8"/>
    <w:rsid w:val="001F5D09"/>
    <w:rsid w:val="001F6F7F"/>
    <w:rsid w:val="001F7F5F"/>
    <w:rsid w:val="0020069F"/>
    <w:rsid w:val="00200BA6"/>
    <w:rsid w:val="00202759"/>
    <w:rsid w:val="00202763"/>
    <w:rsid w:val="00202C64"/>
    <w:rsid w:val="00202E75"/>
    <w:rsid w:val="00203121"/>
    <w:rsid w:val="002038D4"/>
    <w:rsid w:val="002040A4"/>
    <w:rsid w:val="00204140"/>
    <w:rsid w:val="00204549"/>
    <w:rsid w:val="002051F6"/>
    <w:rsid w:val="00205474"/>
    <w:rsid w:val="002058C1"/>
    <w:rsid w:val="00205A68"/>
    <w:rsid w:val="0020604A"/>
    <w:rsid w:val="002066C8"/>
    <w:rsid w:val="00206715"/>
    <w:rsid w:val="002079BB"/>
    <w:rsid w:val="00210D85"/>
    <w:rsid w:val="00212E55"/>
    <w:rsid w:val="002158A7"/>
    <w:rsid w:val="00215F41"/>
    <w:rsid w:val="002170AF"/>
    <w:rsid w:val="00217451"/>
    <w:rsid w:val="002206CC"/>
    <w:rsid w:val="00220B00"/>
    <w:rsid w:val="00221DEA"/>
    <w:rsid w:val="002220AA"/>
    <w:rsid w:val="002238D3"/>
    <w:rsid w:val="002245F0"/>
    <w:rsid w:val="002257E8"/>
    <w:rsid w:val="00225BB6"/>
    <w:rsid w:val="00225FA9"/>
    <w:rsid w:val="002261C4"/>
    <w:rsid w:val="002265A8"/>
    <w:rsid w:val="002268C8"/>
    <w:rsid w:val="00227028"/>
    <w:rsid w:val="002272CA"/>
    <w:rsid w:val="00227CC2"/>
    <w:rsid w:val="002316E7"/>
    <w:rsid w:val="0023302A"/>
    <w:rsid w:val="0023329F"/>
    <w:rsid w:val="002333A0"/>
    <w:rsid w:val="002338D6"/>
    <w:rsid w:val="00234112"/>
    <w:rsid w:val="0023412C"/>
    <w:rsid w:val="00234FC4"/>
    <w:rsid w:val="00236517"/>
    <w:rsid w:val="0023682B"/>
    <w:rsid w:val="00236AC7"/>
    <w:rsid w:val="00237675"/>
    <w:rsid w:val="00237772"/>
    <w:rsid w:val="0023793B"/>
    <w:rsid w:val="0024003A"/>
    <w:rsid w:val="002410AE"/>
    <w:rsid w:val="00241D34"/>
    <w:rsid w:val="00241FEB"/>
    <w:rsid w:val="002431D9"/>
    <w:rsid w:val="00243913"/>
    <w:rsid w:val="00244653"/>
    <w:rsid w:val="00245247"/>
    <w:rsid w:val="00245D16"/>
    <w:rsid w:val="00245EEE"/>
    <w:rsid w:val="00246698"/>
    <w:rsid w:val="0025057D"/>
    <w:rsid w:val="00250960"/>
    <w:rsid w:val="00251319"/>
    <w:rsid w:val="00251689"/>
    <w:rsid w:val="0025170A"/>
    <w:rsid w:val="00251A2F"/>
    <w:rsid w:val="00251CA4"/>
    <w:rsid w:val="0025296C"/>
    <w:rsid w:val="00252D1A"/>
    <w:rsid w:val="00253001"/>
    <w:rsid w:val="00253024"/>
    <w:rsid w:val="00253413"/>
    <w:rsid w:val="00253E33"/>
    <w:rsid w:val="00254681"/>
    <w:rsid w:val="00255CD8"/>
    <w:rsid w:val="00255EBB"/>
    <w:rsid w:val="00256461"/>
    <w:rsid w:val="00256FF9"/>
    <w:rsid w:val="00257264"/>
    <w:rsid w:val="0025789B"/>
    <w:rsid w:val="00257F4A"/>
    <w:rsid w:val="00261C07"/>
    <w:rsid w:val="00262384"/>
    <w:rsid w:val="00262B3E"/>
    <w:rsid w:val="002633B5"/>
    <w:rsid w:val="00263A3F"/>
    <w:rsid w:val="00263A44"/>
    <w:rsid w:val="0026430D"/>
    <w:rsid w:val="00264F2E"/>
    <w:rsid w:val="00265AF4"/>
    <w:rsid w:val="002662B5"/>
    <w:rsid w:val="002662EF"/>
    <w:rsid w:val="0026736C"/>
    <w:rsid w:val="00270505"/>
    <w:rsid w:val="00270C75"/>
    <w:rsid w:val="0027128A"/>
    <w:rsid w:val="00272C65"/>
    <w:rsid w:val="00273703"/>
    <w:rsid w:val="002739A0"/>
    <w:rsid w:val="002739F1"/>
    <w:rsid w:val="00274158"/>
    <w:rsid w:val="002764C4"/>
    <w:rsid w:val="002776E8"/>
    <w:rsid w:val="0027774F"/>
    <w:rsid w:val="0028079C"/>
    <w:rsid w:val="00280C5D"/>
    <w:rsid w:val="00280F36"/>
    <w:rsid w:val="00280FCB"/>
    <w:rsid w:val="00283B7D"/>
    <w:rsid w:val="0028427B"/>
    <w:rsid w:val="00290726"/>
    <w:rsid w:val="002907C3"/>
    <w:rsid w:val="00290A95"/>
    <w:rsid w:val="00291162"/>
    <w:rsid w:val="00293800"/>
    <w:rsid w:val="002945DF"/>
    <w:rsid w:val="002954E8"/>
    <w:rsid w:val="00295F62"/>
    <w:rsid w:val="00295F87"/>
    <w:rsid w:val="00296C73"/>
    <w:rsid w:val="00297D5F"/>
    <w:rsid w:val="002A050A"/>
    <w:rsid w:val="002A0BBD"/>
    <w:rsid w:val="002A1288"/>
    <w:rsid w:val="002A181D"/>
    <w:rsid w:val="002A1BD5"/>
    <w:rsid w:val="002A1F92"/>
    <w:rsid w:val="002A22CC"/>
    <w:rsid w:val="002A2334"/>
    <w:rsid w:val="002A2C60"/>
    <w:rsid w:val="002A3348"/>
    <w:rsid w:val="002A3734"/>
    <w:rsid w:val="002A436B"/>
    <w:rsid w:val="002A5583"/>
    <w:rsid w:val="002A568E"/>
    <w:rsid w:val="002A5AE8"/>
    <w:rsid w:val="002A64CD"/>
    <w:rsid w:val="002A650A"/>
    <w:rsid w:val="002A6CB6"/>
    <w:rsid w:val="002A70B6"/>
    <w:rsid w:val="002A7BAB"/>
    <w:rsid w:val="002B0067"/>
    <w:rsid w:val="002B0340"/>
    <w:rsid w:val="002B0B4E"/>
    <w:rsid w:val="002B0F44"/>
    <w:rsid w:val="002B1866"/>
    <w:rsid w:val="002B272F"/>
    <w:rsid w:val="002B3B3D"/>
    <w:rsid w:val="002B5332"/>
    <w:rsid w:val="002B59C4"/>
    <w:rsid w:val="002B6590"/>
    <w:rsid w:val="002B6C22"/>
    <w:rsid w:val="002B6C7E"/>
    <w:rsid w:val="002B708B"/>
    <w:rsid w:val="002B712F"/>
    <w:rsid w:val="002B7140"/>
    <w:rsid w:val="002B7E75"/>
    <w:rsid w:val="002B7F8A"/>
    <w:rsid w:val="002C1397"/>
    <w:rsid w:val="002C15DF"/>
    <w:rsid w:val="002C16AA"/>
    <w:rsid w:val="002C1748"/>
    <w:rsid w:val="002C1840"/>
    <w:rsid w:val="002C1961"/>
    <w:rsid w:val="002C1A47"/>
    <w:rsid w:val="002C3633"/>
    <w:rsid w:val="002C3E10"/>
    <w:rsid w:val="002C5C6D"/>
    <w:rsid w:val="002C6089"/>
    <w:rsid w:val="002C66CC"/>
    <w:rsid w:val="002C6AC4"/>
    <w:rsid w:val="002C730D"/>
    <w:rsid w:val="002C732C"/>
    <w:rsid w:val="002D17A0"/>
    <w:rsid w:val="002D19FF"/>
    <w:rsid w:val="002D1C0F"/>
    <w:rsid w:val="002D3F58"/>
    <w:rsid w:val="002D67D6"/>
    <w:rsid w:val="002D6E81"/>
    <w:rsid w:val="002E0B04"/>
    <w:rsid w:val="002E0DB3"/>
    <w:rsid w:val="002E127E"/>
    <w:rsid w:val="002E1892"/>
    <w:rsid w:val="002E224B"/>
    <w:rsid w:val="002E2E9D"/>
    <w:rsid w:val="002E34C9"/>
    <w:rsid w:val="002E34D3"/>
    <w:rsid w:val="002E3925"/>
    <w:rsid w:val="002E3E97"/>
    <w:rsid w:val="002E4DE4"/>
    <w:rsid w:val="002E5196"/>
    <w:rsid w:val="002E6439"/>
    <w:rsid w:val="002E67B3"/>
    <w:rsid w:val="002E687B"/>
    <w:rsid w:val="002E7826"/>
    <w:rsid w:val="002E7BFF"/>
    <w:rsid w:val="002F0468"/>
    <w:rsid w:val="002F16B4"/>
    <w:rsid w:val="002F216F"/>
    <w:rsid w:val="002F3078"/>
    <w:rsid w:val="002F30E5"/>
    <w:rsid w:val="002F3860"/>
    <w:rsid w:val="002F3DAB"/>
    <w:rsid w:val="002F4249"/>
    <w:rsid w:val="002F53CE"/>
    <w:rsid w:val="002F5F25"/>
    <w:rsid w:val="002F65B7"/>
    <w:rsid w:val="002F6911"/>
    <w:rsid w:val="002F6B78"/>
    <w:rsid w:val="002F6BA9"/>
    <w:rsid w:val="002F7E24"/>
    <w:rsid w:val="002F7F8F"/>
    <w:rsid w:val="003002A4"/>
    <w:rsid w:val="003006BD"/>
    <w:rsid w:val="0030092A"/>
    <w:rsid w:val="003010A9"/>
    <w:rsid w:val="00301875"/>
    <w:rsid w:val="0030229E"/>
    <w:rsid w:val="00302474"/>
    <w:rsid w:val="00302A5C"/>
    <w:rsid w:val="00302A6E"/>
    <w:rsid w:val="00304705"/>
    <w:rsid w:val="003048E4"/>
    <w:rsid w:val="00304AC4"/>
    <w:rsid w:val="00304F8A"/>
    <w:rsid w:val="00305246"/>
    <w:rsid w:val="003054CA"/>
    <w:rsid w:val="003055EC"/>
    <w:rsid w:val="003056FA"/>
    <w:rsid w:val="00305962"/>
    <w:rsid w:val="00306CCB"/>
    <w:rsid w:val="00306E7A"/>
    <w:rsid w:val="00307AFF"/>
    <w:rsid w:val="003104F2"/>
    <w:rsid w:val="0031147A"/>
    <w:rsid w:val="0031156D"/>
    <w:rsid w:val="003118ED"/>
    <w:rsid w:val="00311D63"/>
    <w:rsid w:val="00312727"/>
    <w:rsid w:val="00312F1F"/>
    <w:rsid w:val="00312FF9"/>
    <w:rsid w:val="00314AF3"/>
    <w:rsid w:val="00315503"/>
    <w:rsid w:val="00316C22"/>
    <w:rsid w:val="0031706C"/>
    <w:rsid w:val="00317267"/>
    <w:rsid w:val="003173A2"/>
    <w:rsid w:val="00317857"/>
    <w:rsid w:val="003178B3"/>
    <w:rsid w:val="00320115"/>
    <w:rsid w:val="0032052C"/>
    <w:rsid w:val="00320AD5"/>
    <w:rsid w:val="00321450"/>
    <w:rsid w:val="00321C9A"/>
    <w:rsid w:val="003223D7"/>
    <w:rsid w:val="00322B1E"/>
    <w:rsid w:val="0032511C"/>
    <w:rsid w:val="00326547"/>
    <w:rsid w:val="00326C39"/>
    <w:rsid w:val="00327000"/>
    <w:rsid w:val="00327521"/>
    <w:rsid w:val="00327BA4"/>
    <w:rsid w:val="00330175"/>
    <w:rsid w:val="00331531"/>
    <w:rsid w:val="00331742"/>
    <w:rsid w:val="00331AF8"/>
    <w:rsid w:val="00331F51"/>
    <w:rsid w:val="0033318D"/>
    <w:rsid w:val="003332AB"/>
    <w:rsid w:val="003333A8"/>
    <w:rsid w:val="003333E3"/>
    <w:rsid w:val="003339BD"/>
    <w:rsid w:val="00334237"/>
    <w:rsid w:val="003345BE"/>
    <w:rsid w:val="0033563F"/>
    <w:rsid w:val="00335E67"/>
    <w:rsid w:val="00336159"/>
    <w:rsid w:val="00336592"/>
    <w:rsid w:val="003371E9"/>
    <w:rsid w:val="00337DDE"/>
    <w:rsid w:val="00340092"/>
    <w:rsid w:val="00340BB2"/>
    <w:rsid w:val="00340D8F"/>
    <w:rsid w:val="00341111"/>
    <w:rsid w:val="0034168A"/>
    <w:rsid w:val="00341E8D"/>
    <w:rsid w:val="00342340"/>
    <w:rsid w:val="00342856"/>
    <w:rsid w:val="0034291B"/>
    <w:rsid w:val="00342C72"/>
    <w:rsid w:val="003452FE"/>
    <w:rsid w:val="00345A4B"/>
    <w:rsid w:val="0034638C"/>
    <w:rsid w:val="00346B8D"/>
    <w:rsid w:val="00347987"/>
    <w:rsid w:val="0035155F"/>
    <w:rsid w:val="00351C4D"/>
    <w:rsid w:val="0035249A"/>
    <w:rsid w:val="0035265D"/>
    <w:rsid w:val="0035295C"/>
    <w:rsid w:val="003532E7"/>
    <w:rsid w:val="0035391B"/>
    <w:rsid w:val="0035476C"/>
    <w:rsid w:val="00354B0E"/>
    <w:rsid w:val="00355035"/>
    <w:rsid w:val="00355299"/>
    <w:rsid w:val="003553B5"/>
    <w:rsid w:val="00355617"/>
    <w:rsid w:val="00355B42"/>
    <w:rsid w:val="00355CFB"/>
    <w:rsid w:val="00356451"/>
    <w:rsid w:val="0035992A"/>
    <w:rsid w:val="0036103A"/>
    <w:rsid w:val="00361850"/>
    <w:rsid w:val="00361B5A"/>
    <w:rsid w:val="003625B6"/>
    <w:rsid w:val="003629DD"/>
    <w:rsid w:val="00362F43"/>
    <w:rsid w:val="00363172"/>
    <w:rsid w:val="003634DE"/>
    <w:rsid w:val="003637B3"/>
    <w:rsid w:val="00364EBC"/>
    <w:rsid w:val="00364F7F"/>
    <w:rsid w:val="0036555D"/>
    <w:rsid w:val="00366A12"/>
    <w:rsid w:val="00366E0F"/>
    <w:rsid w:val="0036716D"/>
    <w:rsid w:val="00371F88"/>
    <w:rsid w:val="003723B2"/>
    <w:rsid w:val="00372A42"/>
    <w:rsid w:val="00373C3C"/>
    <w:rsid w:val="0037436D"/>
    <w:rsid w:val="00374764"/>
    <w:rsid w:val="00375251"/>
    <w:rsid w:val="003762D4"/>
    <w:rsid w:val="0037772C"/>
    <w:rsid w:val="0038069B"/>
    <w:rsid w:val="00380817"/>
    <w:rsid w:val="00381B6A"/>
    <w:rsid w:val="00381C9F"/>
    <w:rsid w:val="00382082"/>
    <w:rsid w:val="00382554"/>
    <w:rsid w:val="00382888"/>
    <w:rsid w:val="00382FFA"/>
    <w:rsid w:val="003842B1"/>
    <w:rsid w:val="00384CC4"/>
    <w:rsid w:val="00384D7B"/>
    <w:rsid w:val="0038514F"/>
    <w:rsid w:val="003853CB"/>
    <w:rsid w:val="003855D3"/>
    <w:rsid w:val="00385773"/>
    <w:rsid w:val="00390D41"/>
    <w:rsid w:val="00391A7E"/>
    <w:rsid w:val="00392849"/>
    <w:rsid w:val="00393256"/>
    <w:rsid w:val="0039327F"/>
    <w:rsid w:val="00393C23"/>
    <w:rsid w:val="00393C27"/>
    <w:rsid w:val="0039419D"/>
    <w:rsid w:val="0039609E"/>
    <w:rsid w:val="003965D0"/>
    <w:rsid w:val="00396C5E"/>
    <w:rsid w:val="003976D2"/>
    <w:rsid w:val="00397E69"/>
    <w:rsid w:val="003A03E7"/>
    <w:rsid w:val="003A0736"/>
    <w:rsid w:val="003A1056"/>
    <w:rsid w:val="003A24BA"/>
    <w:rsid w:val="003A2743"/>
    <w:rsid w:val="003A33E7"/>
    <w:rsid w:val="003A465E"/>
    <w:rsid w:val="003A4C6F"/>
    <w:rsid w:val="003A4C91"/>
    <w:rsid w:val="003A532E"/>
    <w:rsid w:val="003B0356"/>
    <w:rsid w:val="003B0A99"/>
    <w:rsid w:val="003B16F0"/>
    <w:rsid w:val="003B2E6B"/>
    <w:rsid w:val="003B2F3C"/>
    <w:rsid w:val="003B3510"/>
    <w:rsid w:val="003B3612"/>
    <w:rsid w:val="003B371B"/>
    <w:rsid w:val="003B39B0"/>
    <w:rsid w:val="003B39B8"/>
    <w:rsid w:val="003B4011"/>
    <w:rsid w:val="003B4B3A"/>
    <w:rsid w:val="003B5BC8"/>
    <w:rsid w:val="003B5C77"/>
    <w:rsid w:val="003B5C98"/>
    <w:rsid w:val="003B60AE"/>
    <w:rsid w:val="003B66C2"/>
    <w:rsid w:val="003B67E5"/>
    <w:rsid w:val="003C05AE"/>
    <w:rsid w:val="003C0722"/>
    <w:rsid w:val="003C0B08"/>
    <w:rsid w:val="003C0C86"/>
    <w:rsid w:val="003C1F8B"/>
    <w:rsid w:val="003C2007"/>
    <w:rsid w:val="003C3B37"/>
    <w:rsid w:val="003C3CBE"/>
    <w:rsid w:val="003C5015"/>
    <w:rsid w:val="003C681E"/>
    <w:rsid w:val="003C6AB4"/>
    <w:rsid w:val="003C7D8D"/>
    <w:rsid w:val="003D0716"/>
    <w:rsid w:val="003D11A3"/>
    <w:rsid w:val="003D1F6C"/>
    <w:rsid w:val="003D26DE"/>
    <w:rsid w:val="003D2AF9"/>
    <w:rsid w:val="003D2DB7"/>
    <w:rsid w:val="003D4B95"/>
    <w:rsid w:val="003D4FA0"/>
    <w:rsid w:val="003D528C"/>
    <w:rsid w:val="003D57DE"/>
    <w:rsid w:val="003D5D43"/>
    <w:rsid w:val="003D5F5E"/>
    <w:rsid w:val="003D7009"/>
    <w:rsid w:val="003D721E"/>
    <w:rsid w:val="003D784F"/>
    <w:rsid w:val="003D796A"/>
    <w:rsid w:val="003D7D19"/>
    <w:rsid w:val="003E0A49"/>
    <w:rsid w:val="003E54DF"/>
    <w:rsid w:val="003E6285"/>
    <w:rsid w:val="003E7866"/>
    <w:rsid w:val="003F0744"/>
    <w:rsid w:val="003F07BF"/>
    <w:rsid w:val="003F1890"/>
    <w:rsid w:val="003F2FAB"/>
    <w:rsid w:val="003F3B41"/>
    <w:rsid w:val="003F3F62"/>
    <w:rsid w:val="003F409E"/>
    <w:rsid w:val="003F528C"/>
    <w:rsid w:val="003F5645"/>
    <w:rsid w:val="003F5A12"/>
    <w:rsid w:val="003F61FF"/>
    <w:rsid w:val="003F6C21"/>
    <w:rsid w:val="003F6DCC"/>
    <w:rsid w:val="003F73F7"/>
    <w:rsid w:val="003F7726"/>
    <w:rsid w:val="003F7915"/>
    <w:rsid w:val="003F7A2B"/>
    <w:rsid w:val="00400734"/>
    <w:rsid w:val="00401525"/>
    <w:rsid w:val="00402D94"/>
    <w:rsid w:val="00404CCE"/>
    <w:rsid w:val="004056C8"/>
    <w:rsid w:val="00405F5E"/>
    <w:rsid w:val="00406135"/>
    <w:rsid w:val="004061E9"/>
    <w:rsid w:val="004072B1"/>
    <w:rsid w:val="0040769F"/>
    <w:rsid w:val="00407C4A"/>
    <w:rsid w:val="00407D84"/>
    <w:rsid w:val="00411A27"/>
    <w:rsid w:val="0041217A"/>
    <w:rsid w:val="004131EE"/>
    <w:rsid w:val="00413A16"/>
    <w:rsid w:val="00413CDB"/>
    <w:rsid w:val="00413EE5"/>
    <w:rsid w:val="00413F8A"/>
    <w:rsid w:val="0041457C"/>
    <w:rsid w:val="004152AF"/>
    <w:rsid w:val="00415603"/>
    <w:rsid w:val="00415643"/>
    <w:rsid w:val="0041605B"/>
    <w:rsid w:val="004167E8"/>
    <w:rsid w:val="00417521"/>
    <w:rsid w:val="00417B6A"/>
    <w:rsid w:val="004203D6"/>
    <w:rsid w:val="00420CF3"/>
    <w:rsid w:val="00421E67"/>
    <w:rsid w:val="00422495"/>
    <w:rsid w:val="00422986"/>
    <w:rsid w:val="00425780"/>
    <w:rsid w:val="00427896"/>
    <w:rsid w:val="00427F19"/>
    <w:rsid w:val="004302CC"/>
    <w:rsid w:val="00430374"/>
    <w:rsid w:val="00430B7C"/>
    <w:rsid w:val="004316CC"/>
    <w:rsid w:val="004323A3"/>
    <w:rsid w:val="004326B4"/>
    <w:rsid w:val="0043309C"/>
    <w:rsid w:val="00433578"/>
    <w:rsid w:val="0043612B"/>
    <w:rsid w:val="00436487"/>
    <w:rsid w:val="00436932"/>
    <w:rsid w:val="00437559"/>
    <w:rsid w:val="004377AC"/>
    <w:rsid w:val="00437CA3"/>
    <w:rsid w:val="00437F2F"/>
    <w:rsid w:val="00440273"/>
    <w:rsid w:val="0044124C"/>
    <w:rsid w:val="004416B7"/>
    <w:rsid w:val="00442978"/>
    <w:rsid w:val="00442A7E"/>
    <w:rsid w:val="00443AED"/>
    <w:rsid w:val="00443CAA"/>
    <w:rsid w:val="00444EA7"/>
    <w:rsid w:val="00445AC0"/>
    <w:rsid w:val="00445BDC"/>
    <w:rsid w:val="00445F1F"/>
    <w:rsid w:val="0044652D"/>
    <w:rsid w:val="00446DB7"/>
    <w:rsid w:val="00446EB9"/>
    <w:rsid w:val="004476D0"/>
    <w:rsid w:val="004478F7"/>
    <w:rsid w:val="00451503"/>
    <w:rsid w:val="00451615"/>
    <w:rsid w:val="00451CC0"/>
    <w:rsid w:val="00452B77"/>
    <w:rsid w:val="00453534"/>
    <w:rsid w:val="004535AF"/>
    <w:rsid w:val="00453EDB"/>
    <w:rsid w:val="00454025"/>
    <w:rsid w:val="00454738"/>
    <w:rsid w:val="004555A4"/>
    <w:rsid w:val="00456F41"/>
    <w:rsid w:val="00457025"/>
    <w:rsid w:val="004604A8"/>
    <w:rsid w:val="00460BE3"/>
    <w:rsid w:val="00461041"/>
    <w:rsid w:val="004610FD"/>
    <w:rsid w:val="00463A3C"/>
    <w:rsid w:val="00463E7A"/>
    <w:rsid w:val="004648A1"/>
    <w:rsid w:val="00464AC0"/>
    <w:rsid w:val="00465694"/>
    <w:rsid w:val="00466404"/>
    <w:rsid w:val="00466C25"/>
    <w:rsid w:val="0046732F"/>
    <w:rsid w:val="004675DD"/>
    <w:rsid w:val="0046798F"/>
    <w:rsid w:val="00467B24"/>
    <w:rsid w:val="00470359"/>
    <w:rsid w:val="0047081E"/>
    <w:rsid w:val="00470A21"/>
    <w:rsid w:val="0047275D"/>
    <w:rsid w:val="00472B57"/>
    <w:rsid w:val="00472FED"/>
    <w:rsid w:val="00473CDE"/>
    <w:rsid w:val="00473E05"/>
    <w:rsid w:val="00474095"/>
    <w:rsid w:val="00474310"/>
    <w:rsid w:val="00474CC6"/>
    <w:rsid w:val="00475ACA"/>
    <w:rsid w:val="00476F50"/>
    <w:rsid w:val="00477537"/>
    <w:rsid w:val="004775F0"/>
    <w:rsid w:val="004800FB"/>
    <w:rsid w:val="00480DB5"/>
    <w:rsid w:val="0048130E"/>
    <w:rsid w:val="00481897"/>
    <w:rsid w:val="00482AF7"/>
    <w:rsid w:val="00483677"/>
    <w:rsid w:val="00483EB9"/>
    <w:rsid w:val="004845B5"/>
    <w:rsid w:val="004851E9"/>
    <w:rsid w:val="004868FE"/>
    <w:rsid w:val="00487F86"/>
    <w:rsid w:val="004913AD"/>
    <w:rsid w:val="004920B6"/>
    <w:rsid w:val="00492120"/>
    <w:rsid w:val="0049304E"/>
    <w:rsid w:val="0049441B"/>
    <w:rsid w:val="00494703"/>
    <w:rsid w:val="004961EA"/>
    <w:rsid w:val="00496559"/>
    <w:rsid w:val="00497969"/>
    <w:rsid w:val="004A1091"/>
    <w:rsid w:val="004A333F"/>
    <w:rsid w:val="004A3388"/>
    <w:rsid w:val="004A370F"/>
    <w:rsid w:val="004A3A94"/>
    <w:rsid w:val="004A47B2"/>
    <w:rsid w:val="004A51B9"/>
    <w:rsid w:val="004A51D2"/>
    <w:rsid w:val="004A5E7B"/>
    <w:rsid w:val="004A6282"/>
    <w:rsid w:val="004A68A2"/>
    <w:rsid w:val="004A6DC7"/>
    <w:rsid w:val="004A7CC5"/>
    <w:rsid w:val="004B0AEE"/>
    <w:rsid w:val="004B1417"/>
    <w:rsid w:val="004B5F11"/>
    <w:rsid w:val="004B608F"/>
    <w:rsid w:val="004B735F"/>
    <w:rsid w:val="004C13F8"/>
    <w:rsid w:val="004C1D04"/>
    <w:rsid w:val="004C2891"/>
    <w:rsid w:val="004C4218"/>
    <w:rsid w:val="004C466E"/>
    <w:rsid w:val="004C5051"/>
    <w:rsid w:val="004C50D4"/>
    <w:rsid w:val="004C5420"/>
    <w:rsid w:val="004C5714"/>
    <w:rsid w:val="004C603F"/>
    <w:rsid w:val="004C66B9"/>
    <w:rsid w:val="004C7C83"/>
    <w:rsid w:val="004C7F3E"/>
    <w:rsid w:val="004D0C4F"/>
    <w:rsid w:val="004D15EB"/>
    <w:rsid w:val="004D1EFE"/>
    <w:rsid w:val="004D218C"/>
    <w:rsid w:val="004D23B2"/>
    <w:rsid w:val="004D27C9"/>
    <w:rsid w:val="004D29A1"/>
    <w:rsid w:val="004D353A"/>
    <w:rsid w:val="004D3EC9"/>
    <w:rsid w:val="004D427E"/>
    <w:rsid w:val="004D57DA"/>
    <w:rsid w:val="004D6090"/>
    <w:rsid w:val="004D628B"/>
    <w:rsid w:val="004D665D"/>
    <w:rsid w:val="004D6AF8"/>
    <w:rsid w:val="004D6BEE"/>
    <w:rsid w:val="004D7426"/>
    <w:rsid w:val="004D7E35"/>
    <w:rsid w:val="004E072F"/>
    <w:rsid w:val="004E0CB1"/>
    <w:rsid w:val="004E0CD5"/>
    <w:rsid w:val="004E0F5B"/>
    <w:rsid w:val="004E1644"/>
    <w:rsid w:val="004E18C9"/>
    <w:rsid w:val="004E1CD1"/>
    <w:rsid w:val="004E241F"/>
    <w:rsid w:val="004E2433"/>
    <w:rsid w:val="004E25E8"/>
    <w:rsid w:val="004E2DF9"/>
    <w:rsid w:val="004E3956"/>
    <w:rsid w:val="004E42BE"/>
    <w:rsid w:val="004E4B23"/>
    <w:rsid w:val="004E5383"/>
    <w:rsid w:val="004E5D4C"/>
    <w:rsid w:val="004E5E89"/>
    <w:rsid w:val="004E7F54"/>
    <w:rsid w:val="004F02B9"/>
    <w:rsid w:val="004F08FB"/>
    <w:rsid w:val="004F1A93"/>
    <w:rsid w:val="004F21A7"/>
    <w:rsid w:val="004F21F8"/>
    <w:rsid w:val="004F286B"/>
    <w:rsid w:val="004F2A23"/>
    <w:rsid w:val="004F3641"/>
    <w:rsid w:val="004F3780"/>
    <w:rsid w:val="004F3AC4"/>
    <w:rsid w:val="004F45D0"/>
    <w:rsid w:val="004F472C"/>
    <w:rsid w:val="004F68C3"/>
    <w:rsid w:val="004F793A"/>
    <w:rsid w:val="004F7E48"/>
    <w:rsid w:val="005000EE"/>
    <w:rsid w:val="00500709"/>
    <w:rsid w:val="00502F49"/>
    <w:rsid w:val="0050340F"/>
    <w:rsid w:val="005036E0"/>
    <w:rsid w:val="00505188"/>
    <w:rsid w:val="005059D2"/>
    <w:rsid w:val="00505E62"/>
    <w:rsid w:val="00505F38"/>
    <w:rsid w:val="00505FC2"/>
    <w:rsid w:val="005067DA"/>
    <w:rsid w:val="00507515"/>
    <w:rsid w:val="005079F7"/>
    <w:rsid w:val="00510C45"/>
    <w:rsid w:val="00510C53"/>
    <w:rsid w:val="00510E6B"/>
    <w:rsid w:val="00511AC1"/>
    <w:rsid w:val="00512478"/>
    <w:rsid w:val="00512555"/>
    <w:rsid w:val="0051354A"/>
    <w:rsid w:val="00513D0B"/>
    <w:rsid w:val="00515B58"/>
    <w:rsid w:val="00520590"/>
    <w:rsid w:val="00520B0A"/>
    <w:rsid w:val="00520EDA"/>
    <w:rsid w:val="00521E5E"/>
    <w:rsid w:val="00521E96"/>
    <w:rsid w:val="00522A86"/>
    <w:rsid w:val="00523973"/>
    <w:rsid w:val="00523BE5"/>
    <w:rsid w:val="00524864"/>
    <w:rsid w:val="0052491C"/>
    <w:rsid w:val="00526534"/>
    <w:rsid w:val="00526653"/>
    <w:rsid w:val="00526A10"/>
    <w:rsid w:val="00527395"/>
    <w:rsid w:val="00530992"/>
    <w:rsid w:val="00530ACB"/>
    <w:rsid w:val="00530ED5"/>
    <w:rsid w:val="00531C4E"/>
    <w:rsid w:val="00531E3B"/>
    <w:rsid w:val="005326D3"/>
    <w:rsid w:val="00532991"/>
    <w:rsid w:val="00534381"/>
    <w:rsid w:val="0053469C"/>
    <w:rsid w:val="00534770"/>
    <w:rsid w:val="00535428"/>
    <w:rsid w:val="00536054"/>
    <w:rsid w:val="005367C4"/>
    <w:rsid w:val="005403CA"/>
    <w:rsid w:val="005404BA"/>
    <w:rsid w:val="00541250"/>
    <w:rsid w:val="00541C94"/>
    <w:rsid w:val="00542B2F"/>
    <w:rsid w:val="00542EB3"/>
    <w:rsid w:val="00542F8E"/>
    <w:rsid w:val="00543D77"/>
    <w:rsid w:val="005454A2"/>
    <w:rsid w:val="00545D1C"/>
    <w:rsid w:val="0054624C"/>
    <w:rsid w:val="00546593"/>
    <w:rsid w:val="00546F5C"/>
    <w:rsid w:val="00547271"/>
    <w:rsid w:val="005473CC"/>
    <w:rsid w:val="005502F4"/>
    <w:rsid w:val="00550FF8"/>
    <w:rsid w:val="0055303B"/>
    <w:rsid w:val="005534A2"/>
    <w:rsid w:val="00553626"/>
    <w:rsid w:val="00553640"/>
    <w:rsid w:val="00554D28"/>
    <w:rsid w:val="00556CF3"/>
    <w:rsid w:val="00557626"/>
    <w:rsid w:val="005576DC"/>
    <w:rsid w:val="0056046C"/>
    <w:rsid w:val="0056167B"/>
    <w:rsid w:val="00562BE5"/>
    <w:rsid w:val="005648A9"/>
    <w:rsid w:val="00564DAB"/>
    <w:rsid w:val="00564FE3"/>
    <w:rsid w:val="0056500D"/>
    <w:rsid w:val="00565661"/>
    <w:rsid w:val="00565A3F"/>
    <w:rsid w:val="00565B8E"/>
    <w:rsid w:val="00566245"/>
    <w:rsid w:val="00566553"/>
    <w:rsid w:val="0056679E"/>
    <w:rsid w:val="00566B5B"/>
    <w:rsid w:val="005674C7"/>
    <w:rsid w:val="0057236C"/>
    <w:rsid w:val="00572BC8"/>
    <w:rsid w:val="005732FE"/>
    <w:rsid w:val="00573CF0"/>
    <w:rsid w:val="00574514"/>
    <w:rsid w:val="005762A4"/>
    <w:rsid w:val="00576BFB"/>
    <w:rsid w:val="005803E5"/>
    <w:rsid w:val="005808C0"/>
    <w:rsid w:val="005808D3"/>
    <w:rsid w:val="005809B1"/>
    <w:rsid w:val="00582258"/>
    <w:rsid w:val="0058232C"/>
    <w:rsid w:val="00583866"/>
    <w:rsid w:val="00583A6C"/>
    <w:rsid w:val="00583D4E"/>
    <w:rsid w:val="00583E4B"/>
    <w:rsid w:val="00584156"/>
    <w:rsid w:val="00584A52"/>
    <w:rsid w:val="00585DC3"/>
    <w:rsid w:val="00586C48"/>
    <w:rsid w:val="00587C58"/>
    <w:rsid w:val="0059063A"/>
    <w:rsid w:val="00590717"/>
    <w:rsid w:val="00591563"/>
    <w:rsid w:val="0059156D"/>
    <w:rsid w:val="00591C5D"/>
    <w:rsid w:val="00592B59"/>
    <w:rsid w:val="00592D8F"/>
    <w:rsid w:val="00593C60"/>
    <w:rsid w:val="00594F47"/>
    <w:rsid w:val="00595B5B"/>
    <w:rsid w:val="005964F0"/>
    <w:rsid w:val="00597042"/>
    <w:rsid w:val="00597226"/>
    <w:rsid w:val="005978E8"/>
    <w:rsid w:val="00597962"/>
    <w:rsid w:val="00597C5E"/>
    <w:rsid w:val="00597F12"/>
    <w:rsid w:val="005A0F22"/>
    <w:rsid w:val="005A0F30"/>
    <w:rsid w:val="005A10C1"/>
    <w:rsid w:val="005A1490"/>
    <w:rsid w:val="005A17A5"/>
    <w:rsid w:val="005A1B8A"/>
    <w:rsid w:val="005A1ED0"/>
    <w:rsid w:val="005A27FA"/>
    <w:rsid w:val="005A2AA5"/>
    <w:rsid w:val="005A2B41"/>
    <w:rsid w:val="005A35BA"/>
    <w:rsid w:val="005A3676"/>
    <w:rsid w:val="005A6128"/>
    <w:rsid w:val="005A6CFF"/>
    <w:rsid w:val="005A6D6D"/>
    <w:rsid w:val="005A7449"/>
    <w:rsid w:val="005A7E2F"/>
    <w:rsid w:val="005B0625"/>
    <w:rsid w:val="005B1DFD"/>
    <w:rsid w:val="005B2DB3"/>
    <w:rsid w:val="005B38B8"/>
    <w:rsid w:val="005B526A"/>
    <w:rsid w:val="005B5F19"/>
    <w:rsid w:val="005B5FF7"/>
    <w:rsid w:val="005B721A"/>
    <w:rsid w:val="005B76BF"/>
    <w:rsid w:val="005C134B"/>
    <w:rsid w:val="005C18F4"/>
    <w:rsid w:val="005C19FE"/>
    <w:rsid w:val="005C2B55"/>
    <w:rsid w:val="005C2E7A"/>
    <w:rsid w:val="005C2FF1"/>
    <w:rsid w:val="005C328C"/>
    <w:rsid w:val="005C4F56"/>
    <w:rsid w:val="005C51F3"/>
    <w:rsid w:val="005C63B5"/>
    <w:rsid w:val="005C72AA"/>
    <w:rsid w:val="005C765A"/>
    <w:rsid w:val="005D101A"/>
    <w:rsid w:val="005D1364"/>
    <w:rsid w:val="005D27A0"/>
    <w:rsid w:val="005D2D06"/>
    <w:rsid w:val="005D3DA6"/>
    <w:rsid w:val="005D4229"/>
    <w:rsid w:val="005D4EAC"/>
    <w:rsid w:val="005D4F3A"/>
    <w:rsid w:val="005D51EA"/>
    <w:rsid w:val="005D53EC"/>
    <w:rsid w:val="005D5B09"/>
    <w:rsid w:val="005D5B54"/>
    <w:rsid w:val="005D5EFC"/>
    <w:rsid w:val="005D6E93"/>
    <w:rsid w:val="005D7FED"/>
    <w:rsid w:val="005E171C"/>
    <w:rsid w:val="005E19AA"/>
    <w:rsid w:val="005E2BEE"/>
    <w:rsid w:val="005E3A0A"/>
    <w:rsid w:val="005E40C9"/>
    <w:rsid w:val="005E42D1"/>
    <w:rsid w:val="005E4508"/>
    <w:rsid w:val="005E5679"/>
    <w:rsid w:val="005E5EBE"/>
    <w:rsid w:val="005E6B36"/>
    <w:rsid w:val="005E6C85"/>
    <w:rsid w:val="005E6F23"/>
    <w:rsid w:val="005E70A9"/>
    <w:rsid w:val="005E7366"/>
    <w:rsid w:val="005E747C"/>
    <w:rsid w:val="005F01FF"/>
    <w:rsid w:val="005F045F"/>
    <w:rsid w:val="005F0B4F"/>
    <w:rsid w:val="005F25D1"/>
    <w:rsid w:val="005F2A43"/>
    <w:rsid w:val="005F596F"/>
    <w:rsid w:val="005F5987"/>
    <w:rsid w:val="005F60C7"/>
    <w:rsid w:val="005F7460"/>
    <w:rsid w:val="005F7D3C"/>
    <w:rsid w:val="005F7DED"/>
    <w:rsid w:val="005F7E48"/>
    <w:rsid w:val="005F7FB1"/>
    <w:rsid w:val="006005A5"/>
    <w:rsid w:val="0060089E"/>
    <w:rsid w:val="00601279"/>
    <w:rsid w:val="0060379A"/>
    <w:rsid w:val="006044B3"/>
    <w:rsid w:val="00604ADF"/>
    <w:rsid w:val="00605023"/>
    <w:rsid w:val="006050DA"/>
    <w:rsid w:val="0060560B"/>
    <w:rsid w:val="00607BFE"/>
    <w:rsid w:val="00607C6B"/>
    <w:rsid w:val="00607F47"/>
    <w:rsid w:val="00610A91"/>
    <w:rsid w:val="00611F3F"/>
    <w:rsid w:val="0061238C"/>
    <w:rsid w:val="00612663"/>
    <w:rsid w:val="00612924"/>
    <w:rsid w:val="00612997"/>
    <w:rsid w:val="00612C9B"/>
    <w:rsid w:val="006131A8"/>
    <w:rsid w:val="0061386B"/>
    <w:rsid w:val="00614C7E"/>
    <w:rsid w:val="00614E54"/>
    <w:rsid w:val="006157B7"/>
    <w:rsid w:val="00616EAD"/>
    <w:rsid w:val="00617417"/>
    <w:rsid w:val="00617790"/>
    <w:rsid w:val="006204DB"/>
    <w:rsid w:val="0062065E"/>
    <w:rsid w:val="00620B57"/>
    <w:rsid w:val="00620CEB"/>
    <w:rsid w:val="00621125"/>
    <w:rsid w:val="00621936"/>
    <w:rsid w:val="00621A17"/>
    <w:rsid w:val="00621E79"/>
    <w:rsid w:val="0062325F"/>
    <w:rsid w:val="0062498A"/>
    <w:rsid w:val="00626A46"/>
    <w:rsid w:val="0063030B"/>
    <w:rsid w:val="00630493"/>
    <w:rsid w:val="00630E1D"/>
    <w:rsid w:val="0063148F"/>
    <w:rsid w:val="006319A3"/>
    <w:rsid w:val="0063224D"/>
    <w:rsid w:val="0063277D"/>
    <w:rsid w:val="0063278D"/>
    <w:rsid w:val="0063352D"/>
    <w:rsid w:val="00633954"/>
    <w:rsid w:val="006349EB"/>
    <w:rsid w:val="00634A8A"/>
    <w:rsid w:val="00634D62"/>
    <w:rsid w:val="006368BF"/>
    <w:rsid w:val="00636AD8"/>
    <w:rsid w:val="006374FC"/>
    <w:rsid w:val="00640974"/>
    <w:rsid w:val="006414B1"/>
    <w:rsid w:val="00641743"/>
    <w:rsid w:val="00641D64"/>
    <w:rsid w:val="00641D91"/>
    <w:rsid w:val="00641FEE"/>
    <w:rsid w:val="00642ACB"/>
    <w:rsid w:val="00643D63"/>
    <w:rsid w:val="00644461"/>
    <w:rsid w:val="0064479A"/>
    <w:rsid w:val="0064571D"/>
    <w:rsid w:val="006457AB"/>
    <w:rsid w:val="00645A04"/>
    <w:rsid w:val="00645D87"/>
    <w:rsid w:val="00645D8E"/>
    <w:rsid w:val="00646A16"/>
    <w:rsid w:val="00646BBE"/>
    <w:rsid w:val="00647154"/>
    <w:rsid w:val="0064746B"/>
    <w:rsid w:val="00650CF6"/>
    <w:rsid w:val="0065235F"/>
    <w:rsid w:val="0065236D"/>
    <w:rsid w:val="00655BD6"/>
    <w:rsid w:val="00656332"/>
    <w:rsid w:val="0065678F"/>
    <w:rsid w:val="00657C2D"/>
    <w:rsid w:val="00660789"/>
    <w:rsid w:val="00660BB0"/>
    <w:rsid w:val="0066134B"/>
    <w:rsid w:val="006615DD"/>
    <w:rsid w:val="006621E2"/>
    <w:rsid w:val="006625BD"/>
    <w:rsid w:val="00662FCE"/>
    <w:rsid w:val="00663930"/>
    <w:rsid w:val="00664350"/>
    <w:rsid w:val="00665681"/>
    <w:rsid w:val="00665E1B"/>
    <w:rsid w:val="00665E26"/>
    <w:rsid w:val="006667DB"/>
    <w:rsid w:val="00666C56"/>
    <w:rsid w:val="00667BDD"/>
    <w:rsid w:val="00667FCB"/>
    <w:rsid w:val="00667FE4"/>
    <w:rsid w:val="0067049E"/>
    <w:rsid w:val="00671EF1"/>
    <w:rsid w:val="006727E3"/>
    <w:rsid w:val="006729D4"/>
    <w:rsid w:val="00673D04"/>
    <w:rsid w:val="006742EE"/>
    <w:rsid w:val="006744C2"/>
    <w:rsid w:val="006746F0"/>
    <w:rsid w:val="00677C89"/>
    <w:rsid w:val="00681710"/>
    <w:rsid w:val="006817A2"/>
    <w:rsid w:val="006818F6"/>
    <w:rsid w:val="006824BD"/>
    <w:rsid w:val="006829F0"/>
    <w:rsid w:val="00682AFE"/>
    <w:rsid w:val="006835F0"/>
    <w:rsid w:val="00683F61"/>
    <w:rsid w:val="00684808"/>
    <w:rsid w:val="00685C28"/>
    <w:rsid w:val="006862E8"/>
    <w:rsid w:val="0068741A"/>
    <w:rsid w:val="00687E87"/>
    <w:rsid w:val="00690190"/>
    <w:rsid w:val="006921D9"/>
    <w:rsid w:val="006923A6"/>
    <w:rsid w:val="0069276A"/>
    <w:rsid w:val="00692CD6"/>
    <w:rsid w:val="006935AC"/>
    <w:rsid w:val="00694AD3"/>
    <w:rsid w:val="00694D44"/>
    <w:rsid w:val="00694D4C"/>
    <w:rsid w:val="00695902"/>
    <w:rsid w:val="00695EBA"/>
    <w:rsid w:val="00696924"/>
    <w:rsid w:val="00696949"/>
    <w:rsid w:val="00697198"/>
    <w:rsid w:val="006974A8"/>
    <w:rsid w:val="0069774A"/>
    <w:rsid w:val="006A0D64"/>
    <w:rsid w:val="006A16F5"/>
    <w:rsid w:val="006A1EB0"/>
    <w:rsid w:val="006A2425"/>
    <w:rsid w:val="006A2B77"/>
    <w:rsid w:val="006A3566"/>
    <w:rsid w:val="006A39A3"/>
    <w:rsid w:val="006A432A"/>
    <w:rsid w:val="006A4E37"/>
    <w:rsid w:val="006A502C"/>
    <w:rsid w:val="006A5D2F"/>
    <w:rsid w:val="006A60AE"/>
    <w:rsid w:val="006A64EC"/>
    <w:rsid w:val="006A748B"/>
    <w:rsid w:val="006A7638"/>
    <w:rsid w:val="006A7DA1"/>
    <w:rsid w:val="006A7E5A"/>
    <w:rsid w:val="006B1771"/>
    <w:rsid w:val="006B2D37"/>
    <w:rsid w:val="006B3C5B"/>
    <w:rsid w:val="006B454F"/>
    <w:rsid w:val="006B548F"/>
    <w:rsid w:val="006B6FA0"/>
    <w:rsid w:val="006B7642"/>
    <w:rsid w:val="006C09D6"/>
    <w:rsid w:val="006C0AD0"/>
    <w:rsid w:val="006C0D1D"/>
    <w:rsid w:val="006C2364"/>
    <w:rsid w:val="006C2B19"/>
    <w:rsid w:val="006C2F2D"/>
    <w:rsid w:val="006C2FE5"/>
    <w:rsid w:val="006C3B48"/>
    <w:rsid w:val="006C4757"/>
    <w:rsid w:val="006C47F6"/>
    <w:rsid w:val="006C4C75"/>
    <w:rsid w:val="006C5989"/>
    <w:rsid w:val="006C59E5"/>
    <w:rsid w:val="006C5AF5"/>
    <w:rsid w:val="006C5FAA"/>
    <w:rsid w:val="006C68D6"/>
    <w:rsid w:val="006C69D8"/>
    <w:rsid w:val="006C70F8"/>
    <w:rsid w:val="006C7CAE"/>
    <w:rsid w:val="006D049F"/>
    <w:rsid w:val="006D079D"/>
    <w:rsid w:val="006D24AE"/>
    <w:rsid w:val="006D3158"/>
    <w:rsid w:val="006D385D"/>
    <w:rsid w:val="006D38D5"/>
    <w:rsid w:val="006D3D80"/>
    <w:rsid w:val="006D45CF"/>
    <w:rsid w:val="006D540F"/>
    <w:rsid w:val="006D5D86"/>
    <w:rsid w:val="006D6AE3"/>
    <w:rsid w:val="006D7E5F"/>
    <w:rsid w:val="006E0D50"/>
    <w:rsid w:val="006E186F"/>
    <w:rsid w:val="006E1B4E"/>
    <w:rsid w:val="006E1E87"/>
    <w:rsid w:val="006E1EE5"/>
    <w:rsid w:val="006E292F"/>
    <w:rsid w:val="006E3CE9"/>
    <w:rsid w:val="006E46F6"/>
    <w:rsid w:val="006E4D04"/>
    <w:rsid w:val="006E55FC"/>
    <w:rsid w:val="006E5615"/>
    <w:rsid w:val="006E5FE3"/>
    <w:rsid w:val="006E7448"/>
    <w:rsid w:val="006E779F"/>
    <w:rsid w:val="006E7A25"/>
    <w:rsid w:val="006E7F13"/>
    <w:rsid w:val="006F122A"/>
    <w:rsid w:val="006F1459"/>
    <w:rsid w:val="006F1818"/>
    <w:rsid w:val="006F237C"/>
    <w:rsid w:val="006F35FD"/>
    <w:rsid w:val="006F3B8B"/>
    <w:rsid w:val="006F3BDA"/>
    <w:rsid w:val="006F3FB5"/>
    <w:rsid w:val="006F3FBB"/>
    <w:rsid w:val="006F41CC"/>
    <w:rsid w:val="006F4757"/>
    <w:rsid w:val="006F486C"/>
    <w:rsid w:val="006F488A"/>
    <w:rsid w:val="006F4C2E"/>
    <w:rsid w:val="006F5287"/>
    <w:rsid w:val="006F58E4"/>
    <w:rsid w:val="006F7222"/>
    <w:rsid w:val="006F7DB7"/>
    <w:rsid w:val="0070015C"/>
    <w:rsid w:val="007002BD"/>
    <w:rsid w:val="0070035D"/>
    <w:rsid w:val="007006E3"/>
    <w:rsid w:val="00700847"/>
    <w:rsid w:val="00700DFD"/>
    <w:rsid w:val="007010DF"/>
    <w:rsid w:val="007032AA"/>
    <w:rsid w:val="007041E9"/>
    <w:rsid w:val="007042DE"/>
    <w:rsid w:val="00704365"/>
    <w:rsid w:val="00704A40"/>
    <w:rsid w:val="00705230"/>
    <w:rsid w:val="00705479"/>
    <w:rsid w:val="007056BB"/>
    <w:rsid w:val="00706C11"/>
    <w:rsid w:val="00706FA4"/>
    <w:rsid w:val="007078D7"/>
    <w:rsid w:val="00707EC1"/>
    <w:rsid w:val="00711382"/>
    <w:rsid w:val="00711937"/>
    <w:rsid w:val="00711BA9"/>
    <w:rsid w:val="00712B88"/>
    <w:rsid w:val="00713449"/>
    <w:rsid w:val="00714406"/>
    <w:rsid w:val="007150E8"/>
    <w:rsid w:val="007153F9"/>
    <w:rsid w:val="00715484"/>
    <w:rsid w:val="0071584D"/>
    <w:rsid w:val="007160C5"/>
    <w:rsid w:val="007173A6"/>
    <w:rsid w:val="007200B9"/>
    <w:rsid w:val="007204FF"/>
    <w:rsid w:val="00720554"/>
    <w:rsid w:val="00721047"/>
    <w:rsid w:val="00722278"/>
    <w:rsid w:val="007225E3"/>
    <w:rsid w:val="00722618"/>
    <w:rsid w:val="00722E2A"/>
    <w:rsid w:val="00723E9E"/>
    <w:rsid w:val="0072436E"/>
    <w:rsid w:val="00724662"/>
    <w:rsid w:val="00724972"/>
    <w:rsid w:val="00724EE0"/>
    <w:rsid w:val="00726031"/>
    <w:rsid w:val="00726266"/>
    <w:rsid w:val="00726D8C"/>
    <w:rsid w:val="00730E7B"/>
    <w:rsid w:val="00731DAA"/>
    <w:rsid w:val="00732F75"/>
    <w:rsid w:val="0073466B"/>
    <w:rsid w:val="007357A6"/>
    <w:rsid w:val="007359A3"/>
    <w:rsid w:val="00735DB4"/>
    <w:rsid w:val="00736448"/>
    <w:rsid w:val="0073665C"/>
    <w:rsid w:val="00736D6C"/>
    <w:rsid w:val="00737110"/>
    <w:rsid w:val="00737699"/>
    <w:rsid w:val="00740153"/>
    <w:rsid w:val="0074159C"/>
    <w:rsid w:val="00745FAA"/>
    <w:rsid w:val="0074684F"/>
    <w:rsid w:val="00747087"/>
    <w:rsid w:val="0074723E"/>
    <w:rsid w:val="007501C3"/>
    <w:rsid w:val="00750826"/>
    <w:rsid w:val="0075088B"/>
    <w:rsid w:val="00751590"/>
    <w:rsid w:val="00751844"/>
    <w:rsid w:val="00751BD5"/>
    <w:rsid w:val="00752B5D"/>
    <w:rsid w:val="00752D14"/>
    <w:rsid w:val="00753BD6"/>
    <w:rsid w:val="007544A8"/>
    <w:rsid w:val="00754B66"/>
    <w:rsid w:val="0075687D"/>
    <w:rsid w:val="00756957"/>
    <w:rsid w:val="00757455"/>
    <w:rsid w:val="0075786A"/>
    <w:rsid w:val="0076045C"/>
    <w:rsid w:val="007604F9"/>
    <w:rsid w:val="00760537"/>
    <w:rsid w:val="00761364"/>
    <w:rsid w:val="00761FA1"/>
    <w:rsid w:val="00762D1B"/>
    <w:rsid w:val="007631A2"/>
    <w:rsid w:val="007637B9"/>
    <w:rsid w:val="00764506"/>
    <w:rsid w:val="00764F36"/>
    <w:rsid w:val="007651EF"/>
    <w:rsid w:val="007658FA"/>
    <w:rsid w:val="00765A71"/>
    <w:rsid w:val="00766A9E"/>
    <w:rsid w:val="00770110"/>
    <w:rsid w:val="00770302"/>
    <w:rsid w:val="007708CA"/>
    <w:rsid w:val="00771021"/>
    <w:rsid w:val="0077322B"/>
    <w:rsid w:val="00774F89"/>
    <w:rsid w:val="00777CF5"/>
    <w:rsid w:val="007800B1"/>
    <w:rsid w:val="00780811"/>
    <w:rsid w:val="00781290"/>
    <w:rsid w:val="00781811"/>
    <w:rsid w:val="00781DBB"/>
    <w:rsid w:val="0078247E"/>
    <w:rsid w:val="007831A5"/>
    <w:rsid w:val="007842CB"/>
    <w:rsid w:val="00786C39"/>
    <w:rsid w:val="00787ACE"/>
    <w:rsid w:val="0079004F"/>
    <w:rsid w:val="007909B9"/>
    <w:rsid w:val="00790A85"/>
    <w:rsid w:val="00790C4C"/>
    <w:rsid w:val="00791146"/>
    <w:rsid w:val="00791BE2"/>
    <w:rsid w:val="0079205C"/>
    <w:rsid w:val="0079265F"/>
    <w:rsid w:val="0079283D"/>
    <w:rsid w:val="007928AB"/>
    <w:rsid w:val="007929EC"/>
    <w:rsid w:val="00792CB4"/>
    <w:rsid w:val="007940E4"/>
    <w:rsid w:val="007941B6"/>
    <w:rsid w:val="0079462A"/>
    <w:rsid w:val="00794B61"/>
    <w:rsid w:val="0079573E"/>
    <w:rsid w:val="007957E4"/>
    <w:rsid w:val="00795837"/>
    <w:rsid w:val="00795F87"/>
    <w:rsid w:val="00796CC1"/>
    <w:rsid w:val="00797ABC"/>
    <w:rsid w:val="00797E1D"/>
    <w:rsid w:val="00797FFA"/>
    <w:rsid w:val="007A032C"/>
    <w:rsid w:val="007A045C"/>
    <w:rsid w:val="007A11FD"/>
    <w:rsid w:val="007A15E4"/>
    <w:rsid w:val="007A1B46"/>
    <w:rsid w:val="007A2B28"/>
    <w:rsid w:val="007A4DE8"/>
    <w:rsid w:val="007A4E36"/>
    <w:rsid w:val="007A538E"/>
    <w:rsid w:val="007A538F"/>
    <w:rsid w:val="007A6686"/>
    <w:rsid w:val="007A6FC7"/>
    <w:rsid w:val="007A711C"/>
    <w:rsid w:val="007A713F"/>
    <w:rsid w:val="007A767F"/>
    <w:rsid w:val="007A79C8"/>
    <w:rsid w:val="007B004E"/>
    <w:rsid w:val="007B18F9"/>
    <w:rsid w:val="007B2FA1"/>
    <w:rsid w:val="007B57CF"/>
    <w:rsid w:val="007B5B47"/>
    <w:rsid w:val="007B6111"/>
    <w:rsid w:val="007B6720"/>
    <w:rsid w:val="007B706C"/>
    <w:rsid w:val="007B7463"/>
    <w:rsid w:val="007C1201"/>
    <w:rsid w:val="007C150E"/>
    <w:rsid w:val="007C3032"/>
    <w:rsid w:val="007C309F"/>
    <w:rsid w:val="007C3E8C"/>
    <w:rsid w:val="007C4400"/>
    <w:rsid w:val="007C600A"/>
    <w:rsid w:val="007C761F"/>
    <w:rsid w:val="007C7914"/>
    <w:rsid w:val="007C7A92"/>
    <w:rsid w:val="007C7BAF"/>
    <w:rsid w:val="007D0560"/>
    <w:rsid w:val="007D0D0A"/>
    <w:rsid w:val="007D16D1"/>
    <w:rsid w:val="007D1741"/>
    <w:rsid w:val="007D25FA"/>
    <w:rsid w:val="007D3695"/>
    <w:rsid w:val="007D3CDA"/>
    <w:rsid w:val="007D40DC"/>
    <w:rsid w:val="007D413D"/>
    <w:rsid w:val="007D446D"/>
    <w:rsid w:val="007D4DB8"/>
    <w:rsid w:val="007D51F6"/>
    <w:rsid w:val="007D6B3A"/>
    <w:rsid w:val="007D71DD"/>
    <w:rsid w:val="007D7C93"/>
    <w:rsid w:val="007E0CD6"/>
    <w:rsid w:val="007E39FD"/>
    <w:rsid w:val="007E5266"/>
    <w:rsid w:val="007E5B10"/>
    <w:rsid w:val="007E6B11"/>
    <w:rsid w:val="007E7F71"/>
    <w:rsid w:val="007F07B3"/>
    <w:rsid w:val="007F110A"/>
    <w:rsid w:val="007F16C2"/>
    <w:rsid w:val="007F1F0E"/>
    <w:rsid w:val="007F2084"/>
    <w:rsid w:val="007F2AD3"/>
    <w:rsid w:val="007F2D15"/>
    <w:rsid w:val="007F2EC0"/>
    <w:rsid w:val="007F5028"/>
    <w:rsid w:val="007F5346"/>
    <w:rsid w:val="007F5E6A"/>
    <w:rsid w:val="007F7879"/>
    <w:rsid w:val="007F7C59"/>
    <w:rsid w:val="00800397"/>
    <w:rsid w:val="008008C7"/>
    <w:rsid w:val="00800EB4"/>
    <w:rsid w:val="008015E2"/>
    <w:rsid w:val="00801918"/>
    <w:rsid w:val="00801D04"/>
    <w:rsid w:val="00802002"/>
    <w:rsid w:val="008028B4"/>
    <w:rsid w:val="008029EB"/>
    <w:rsid w:val="00803FF9"/>
    <w:rsid w:val="00804656"/>
    <w:rsid w:val="008047D2"/>
    <w:rsid w:val="00805210"/>
    <w:rsid w:val="00805FC9"/>
    <w:rsid w:val="008064AF"/>
    <w:rsid w:val="00806B4F"/>
    <w:rsid w:val="00806DA1"/>
    <w:rsid w:val="00811CB2"/>
    <w:rsid w:val="00811ED1"/>
    <w:rsid w:val="00812BDC"/>
    <w:rsid w:val="00813DBC"/>
    <w:rsid w:val="00813E8D"/>
    <w:rsid w:val="00815C89"/>
    <w:rsid w:val="00817616"/>
    <w:rsid w:val="00817B76"/>
    <w:rsid w:val="00820540"/>
    <w:rsid w:val="00820CBF"/>
    <w:rsid w:val="00820E14"/>
    <w:rsid w:val="0082284F"/>
    <w:rsid w:val="0082298E"/>
    <w:rsid w:val="00822B44"/>
    <w:rsid w:val="00822C2E"/>
    <w:rsid w:val="0082407E"/>
    <w:rsid w:val="00824865"/>
    <w:rsid w:val="00824A38"/>
    <w:rsid w:val="008260A8"/>
    <w:rsid w:val="00826D93"/>
    <w:rsid w:val="0082702A"/>
    <w:rsid w:val="00830EF4"/>
    <w:rsid w:val="008325A7"/>
    <w:rsid w:val="00832B25"/>
    <w:rsid w:val="00833789"/>
    <w:rsid w:val="00834B9D"/>
    <w:rsid w:val="0083552F"/>
    <w:rsid w:val="00835D25"/>
    <w:rsid w:val="00836D81"/>
    <w:rsid w:val="008372FF"/>
    <w:rsid w:val="00837CAE"/>
    <w:rsid w:val="00837D5A"/>
    <w:rsid w:val="00837E24"/>
    <w:rsid w:val="008400E9"/>
    <w:rsid w:val="008404DD"/>
    <w:rsid w:val="0084372F"/>
    <w:rsid w:val="008449B7"/>
    <w:rsid w:val="00844F85"/>
    <w:rsid w:val="00845ACD"/>
    <w:rsid w:val="00846DA1"/>
    <w:rsid w:val="00850498"/>
    <w:rsid w:val="00850665"/>
    <w:rsid w:val="00851AFC"/>
    <w:rsid w:val="00851BE0"/>
    <w:rsid w:val="008527F7"/>
    <w:rsid w:val="00852AD8"/>
    <w:rsid w:val="00854186"/>
    <w:rsid w:val="00855E8D"/>
    <w:rsid w:val="008567F8"/>
    <w:rsid w:val="00856CC3"/>
    <w:rsid w:val="00856DCA"/>
    <w:rsid w:val="008572E3"/>
    <w:rsid w:val="00857DA0"/>
    <w:rsid w:val="008603F1"/>
    <w:rsid w:val="00861D39"/>
    <w:rsid w:val="00864F15"/>
    <w:rsid w:val="00865CAE"/>
    <w:rsid w:val="00870220"/>
    <w:rsid w:val="008712D1"/>
    <w:rsid w:val="00871E4A"/>
    <w:rsid w:val="00872277"/>
    <w:rsid w:val="008725D4"/>
    <w:rsid w:val="00872EDF"/>
    <w:rsid w:val="0087387E"/>
    <w:rsid w:val="00874285"/>
    <w:rsid w:val="008746F5"/>
    <w:rsid w:val="00876C14"/>
    <w:rsid w:val="00877C7A"/>
    <w:rsid w:val="00877D78"/>
    <w:rsid w:val="008805AD"/>
    <w:rsid w:val="0088167D"/>
    <w:rsid w:val="00881907"/>
    <w:rsid w:val="00882752"/>
    <w:rsid w:val="00882925"/>
    <w:rsid w:val="00882934"/>
    <w:rsid w:val="008833D6"/>
    <w:rsid w:val="00883713"/>
    <w:rsid w:val="00883807"/>
    <w:rsid w:val="00883C63"/>
    <w:rsid w:val="00884074"/>
    <w:rsid w:val="0088466C"/>
    <w:rsid w:val="00884C82"/>
    <w:rsid w:val="00884D3F"/>
    <w:rsid w:val="00885282"/>
    <w:rsid w:val="00885A5D"/>
    <w:rsid w:val="00886F71"/>
    <w:rsid w:val="008879A5"/>
    <w:rsid w:val="00887C34"/>
    <w:rsid w:val="0089052E"/>
    <w:rsid w:val="00890C6E"/>
    <w:rsid w:val="0089159F"/>
    <w:rsid w:val="00891DB5"/>
    <w:rsid w:val="00892912"/>
    <w:rsid w:val="00892A97"/>
    <w:rsid w:val="00893A48"/>
    <w:rsid w:val="008940DA"/>
    <w:rsid w:val="008944F4"/>
    <w:rsid w:val="008947AE"/>
    <w:rsid w:val="00896195"/>
    <w:rsid w:val="008961A4"/>
    <w:rsid w:val="00896511"/>
    <w:rsid w:val="00896C01"/>
    <w:rsid w:val="0089789C"/>
    <w:rsid w:val="00897F4D"/>
    <w:rsid w:val="008A0453"/>
    <w:rsid w:val="008A17D9"/>
    <w:rsid w:val="008A1B96"/>
    <w:rsid w:val="008A26A5"/>
    <w:rsid w:val="008A321F"/>
    <w:rsid w:val="008A3547"/>
    <w:rsid w:val="008A405E"/>
    <w:rsid w:val="008A5497"/>
    <w:rsid w:val="008A5542"/>
    <w:rsid w:val="008A5E00"/>
    <w:rsid w:val="008A61D5"/>
    <w:rsid w:val="008A6233"/>
    <w:rsid w:val="008A6CA0"/>
    <w:rsid w:val="008A72CC"/>
    <w:rsid w:val="008A73CF"/>
    <w:rsid w:val="008A7B82"/>
    <w:rsid w:val="008B0941"/>
    <w:rsid w:val="008B0DBF"/>
    <w:rsid w:val="008B13CE"/>
    <w:rsid w:val="008B18AE"/>
    <w:rsid w:val="008B1929"/>
    <w:rsid w:val="008B220E"/>
    <w:rsid w:val="008B36D9"/>
    <w:rsid w:val="008B3F67"/>
    <w:rsid w:val="008B3F72"/>
    <w:rsid w:val="008B4082"/>
    <w:rsid w:val="008B5CC1"/>
    <w:rsid w:val="008B687C"/>
    <w:rsid w:val="008B6B0E"/>
    <w:rsid w:val="008B73A8"/>
    <w:rsid w:val="008B7CB9"/>
    <w:rsid w:val="008B7CF9"/>
    <w:rsid w:val="008C024B"/>
    <w:rsid w:val="008C03F7"/>
    <w:rsid w:val="008C0AE3"/>
    <w:rsid w:val="008C0B94"/>
    <w:rsid w:val="008C1778"/>
    <w:rsid w:val="008C18BE"/>
    <w:rsid w:val="008C1CE1"/>
    <w:rsid w:val="008C30B0"/>
    <w:rsid w:val="008C3A7A"/>
    <w:rsid w:val="008C3D44"/>
    <w:rsid w:val="008C43D9"/>
    <w:rsid w:val="008C5DAE"/>
    <w:rsid w:val="008C7395"/>
    <w:rsid w:val="008D019A"/>
    <w:rsid w:val="008D075A"/>
    <w:rsid w:val="008D0965"/>
    <w:rsid w:val="008D0D05"/>
    <w:rsid w:val="008D0F39"/>
    <w:rsid w:val="008D16CF"/>
    <w:rsid w:val="008D17EE"/>
    <w:rsid w:val="008D2BFD"/>
    <w:rsid w:val="008D2C1C"/>
    <w:rsid w:val="008D3E1A"/>
    <w:rsid w:val="008D3F94"/>
    <w:rsid w:val="008D453F"/>
    <w:rsid w:val="008D75C7"/>
    <w:rsid w:val="008E07D5"/>
    <w:rsid w:val="008E1812"/>
    <w:rsid w:val="008E2C27"/>
    <w:rsid w:val="008E2E65"/>
    <w:rsid w:val="008E31B1"/>
    <w:rsid w:val="008E31F2"/>
    <w:rsid w:val="008E4862"/>
    <w:rsid w:val="008E4F2A"/>
    <w:rsid w:val="008E52A5"/>
    <w:rsid w:val="008E52C7"/>
    <w:rsid w:val="008E6CA9"/>
    <w:rsid w:val="008F19B7"/>
    <w:rsid w:val="008F246B"/>
    <w:rsid w:val="008F252D"/>
    <w:rsid w:val="008F4116"/>
    <w:rsid w:val="008F42AC"/>
    <w:rsid w:val="008F44E0"/>
    <w:rsid w:val="008F4FB1"/>
    <w:rsid w:val="008F5551"/>
    <w:rsid w:val="008F620C"/>
    <w:rsid w:val="008F6F28"/>
    <w:rsid w:val="008F79E0"/>
    <w:rsid w:val="008F7C39"/>
    <w:rsid w:val="00900464"/>
    <w:rsid w:val="009016E4"/>
    <w:rsid w:val="00901E60"/>
    <w:rsid w:val="00901FAC"/>
    <w:rsid w:val="0090216C"/>
    <w:rsid w:val="00902CD3"/>
    <w:rsid w:val="0090354C"/>
    <w:rsid w:val="00903B8F"/>
    <w:rsid w:val="009076FE"/>
    <w:rsid w:val="0090799B"/>
    <w:rsid w:val="00907DEB"/>
    <w:rsid w:val="00910755"/>
    <w:rsid w:val="0091091E"/>
    <w:rsid w:val="00910DEB"/>
    <w:rsid w:val="00911176"/>
    <w:rsid w:val="0091182D"/>
    <w:rsid w:val="0091255F"/>
    <w:rsid w:val="00912AEF"/>
    <w:rsid w:val="00912FD1"/>
    <w:rsid w:val="00913604"/>
    <w:rsid w:val="0091396B"/>
    <w:rsid w:val="009140A7"/>
    <w:rsid w:val="009144BD"/>
    <w:rsid w:val="00915965"/>
    <w:rsid w:val="00915E3D"/>
    <w:rsid w:val="00916862"/>
    <w:rsid w:val="00917074"/>
    <w:rsid w:val="009170C8"/>
    <w:rsid w:val="00920658"/>
    <w:rsid w:val="0092153E"/>
    <w:rsid w:val="00922569"/>
    <w:rsid w:val="00922D2B"/>
    <w:rsid w:val="009230B2"/>
    <w:rsid w:val="00923923"/>
    <w:rsid w:val="00923F87"/>
    <w:rsid w:val="009245D0"/>
    <w:rsid w:val="009247CC"/>
    <w:rsid w:val="00924B6C"/>
    <w:rsid w:val="00925EE6"/>
    <w:rsid w:val="009264D1"/>
    <w:rsid w:val="00926B7D"/>
    <w:rsid w:val="0092713D"/>
    <w:rsid w:val="009271DE"/>
    <w:rsid w:val="0092720D"/>
    <w:rsid w:val="00927638"/>
    <w:rsid w:val="0092764F"/>
    <w:rsid w:val="0093197E"/>
    <w:rsid w:val="00932DFE"/>
    <w:rsid w:val="0093303D"/>
    <w:rsid w:val="00933B5A"/>
    <w:rsid w:val="00933EC1"/>
    <w:rsid w:val="00934366"/>
    <w:rsid w:val="00934D09"/>
    <w:rsid w:val="009353F2"/>
    <w:rsid w:val="00935CB1"/>
    <w:rsid w:val="00935D0D"/>
    <w:rsid w:val="00935DF4"/>
    <w:rsid w:val="009373CD"/>
    <w:rsid w:val="0093769F"/>
    <w:rsid w:val="00940BB8"/>
    <w:rsid w:val="009418A9"/>
    <w:rsid w:val="00941F7C"/>
    <w:rsid w:val="0094286D"/>
    <w:rsid w:val="00942E78"/>
    <w:rsid w:val="00943198"/>
    <w:rsid w:val="00943C58"/>
    <w:rsid w:val="00943CFA"/>
    <w:rsid w:val="009440F4"/>
    <w:rsid w:val="00944235"/>
    <w:rsid w:val="0094446D"/>
    <w:rsid w:val="00944889"/>
    <w:rsid w:val="00944A06"/>
    <w:rsid w:val="00945553"/>
    <w:rsid w:val="00946101"/>
    <w:rsid w:val="00947DCE"/>
    <w:rsid w:val="00947EF0"/>
    <w:rsid w:val="00947F4D"/>
    <w:rsid w:val="0095032C"/>
    <w:rsid w:val="0095132F"/>
    <w:rsid w:val="009516E0"/>
    <w:rsid w:val="00951749"/>
    <w:rsid w:val="00952957"/>
    <w:rsid w:val="00953221"/>
    <w:rsid w:val="0095337D"/>
    <w:rsid w:val="009543CF"/>
    <w:rsid w:val="009543FC"/>
    <w:rsid w:val="0095441F"/>
    <w:rsid w:val="00954BDB"/>
    <w:rsid w:val="00955545"/>
    <w:rsid w:val="0095566B"/>
    <w:rsid w:val="00956559"/>
    <w:rsid w:val="00956985"/>
    <w:rsid w:val="00956A0C"/>
    <w:rsid w:val="009607B6"/>
    <w:rsid w:val="00960C2F"/>
    <w:rsid w:val="009610F7"/>
    <w:rsid w:val="009612FF"/>
    <w:rsid w:val="00961C42"/>
    <w:rsid w:val="00961F87"/>
    <w:rsid w:val="00963271"/>
    <w:rsid w:val="00964B0F"/>
    <w:rsid w:val="00964E63"/>
    <w:rsid w:val="0096505B"/>
    <w:rsid w:val="00965350"/>
    <w:rsid w:val="009655C8"/>
    <w:rsid w:val="009657FA"/>
    <w:rsid w:val="0096705C"/>
    <w:rsid w:val="009678F2"/>
    <w:rsid w:val="00971463"/>
    <w:rsid w:val="00972205"/>
    <w:rsid w:val="009723BB"/>
    <w:rsid w:val="00972B7A"/>
    <w:rsid w:val="00974030"/>
    <w:rsid w:val="00974487"/>
    <w:rsid w:val="00975D22"/>
    <w:rsid w:val="00976783"/>
    <w:rsid w:val="00976BB4"/>
    <w:rsid w:val="009779AB"/>
    <w:rsid w:val="009804D7"/>
    <w:rsid w:val="009805E5"/>
    <w:rsid w:val="009805F4"/>
    <w:rsid w:val="00980BAF"/>
    <w:rsid w:val="009814F3"/>
    <w:rsid w:val="00981815"/>
    <w:rsid w:val="00981A4E"/>
    <w:rsid w:val="00982050"/>
    <w:rsid w:val="00983703"/>
    <w:rsid w:val="00983D21"/>
    <w:rsid w:val="009840B8"/>
    <w:rsid w:val="009848B0"/>
    <w:rsid w:val="00984C7C"/>
    <w:rsid w:val="00985CDC"/>
    <w:rsid w:val="00986D5E"/>
    <w:rsid w:val="00987303"/>
    <w:rsid w:val="00991226"/>
    <w:rsid w:val="00991757"/>
    <w:rsid w:val="00992373"/>
    <w:rsid w:val="009923AE"/>
    <w:rsid w:val="00992D6B"/>
    <w:rsid w:val="00993073"/>
    <w:rsid w:val="00995052"/>
    <w:rsid w:val="009958FD"/>
    <w:rsid w:val="00995D3A"/>
    <w:rsid w:val="009963C9"/>
    <w:rsid w:val="009971A6"/>
    <w:rsid w:val="00997382"/>
    <w:rsid w:val="00997863"/>
    <w:rsid w:val="009A0329"/>
    <w:rsid w:val="009A041F"/>
    <w:rsid w:val="009A048B"/>
    <w:rsid w:val="009A0507"/>
    <w:rsid w:val="009A0D44"/>
    <w:rsid w:val="009A327E"/>
    <w:rsid w:val="009A435F"/>
    <w:rsid w:val="009A599C"/>
    <w:rsid w:val="009A633D"/>
    <w:rsid w:val="009A6B8B"/>
    <w:rsid w:val="009A735D"/>
    <w:rsid w:val="009B058E"/>
    <w:rsid w:val="009B0A7D"/>
    <w:rsid w:val="009B25E7"/>
    <w:rsid w:val="009B2AB9"/>
    <w:rsid w:val="009B3555"/>
    <w:rsid w:val="009B56E0"/>
    <w:rsid w:val="009B5E7D"/>
    <w:rsid w:val="009B607E"/>
    <w:rsid w:val="009B6978"/>
    <w:rsid w:val="009B6AEE"/>
    <w:rsid w:val="009B6F5B"/>
    <w:rsid w:val="009B7670"/>
    <w:rsid w:val="009C0205"/>
    <w:rsid w:val="009C06FB"/>
    <w:rsid w:val="009C0727"/>
    <w:rsid w:val="009C13CB"/>
    <w:rsid w:val="009C1599"/>
    <w:rsid w:val="009C1A18"/>
    <w:rsid w:val="009C22D6"/>
    <w:rsid w:val="009C249D"/>
    <w:rsid w:val="009C38D7"/>
    <w:rsid w:val="009C4AFF"/>
    <w:rsid w:val="009C5400"/>
    <w:rsid w:val="009C5508"/>
    <w:rsid w:val="009C5E03"/>
    <w:rsid w:val="009C7222"/>
    <w:rsid w:val="009C7601"/>
    <w:rsid w:val="009D0ACC"/>
    <w:rsid w:val="009D141F"/>
    <w:rsid w:val="009D1599"/>
    <w:rsid w:val="009D1760"/>
    <w:rsid w:val="009D1AA6"/>
    <w:rsid w:val="009D21E3"/>
    <w:rsid w:val="009D2A68"/>
    <w:rsid w:val="009D2F60"/>
    <w:rsid w:val="009D35A9"/>
    <w:rsid w:val="009D4239"/>
    <w:rsid w:val="009D4432"/>
    <w:rsid w:val="009D5349"/>
    <w:rsid w:val="009D5AB8"/>
    <w:rsid w:val="009D67C1"/>
    <w:rsid w:val="009D7542"/>
    <w:rsid w:val="009D7CFA"/>
    <w:rsid w:val="009E0C51"/>
    <w:rsid w:val="009E0F65"/>
    <w:rsid w:val="009E157E"/>
    <w:rsid w:val="009E26C7"/>
    <w:rsid w:val="009E393E"/>
    <w:rsid w:val="009E3C63"/>
    <w:rsid w:val="009E67EB"/>
    <w:rsid w:val="009E68BE"/>
    <w:rsid w:val="009E6922"/>
    <w:rsid w:val="009E7515"/>
    <w:rsid w:val="009E7855"/>
    <w:rsid w:val="009E78A6"/>
    <w:rsid w:val="009F0B2A"/>
    <w:rsid w:val="009F0C65"/>
    <w:rsid w:val="009F0C7F"/>
    <w:rsid w:val="009F141C"/>
    <w:rsid w:val="009F14F9"/>
    <w:rsid w:val="009F1789"/>
    <w:rsid w:val="009F188B"/>
    <w:rsid w:val="009F3698"/>
    <w:rsid w:val="009F37F0"/>
    <w:rsid w:val="009F3E23"/>
    <w:rsid w:val="009F48D9"/>
    <w:rsid w:val="009F580E"/>
    <w:rsid w:val="009F6003"/>
    <w:rsid w:val="009F6F3D"/>
    <w:rsid w:val="009F6F9D"/>
    <w:rsid w:val="009F7106"/>
    <w:rsid w:val="00A0065F"/>
    <w:rsid w:val="00A00AEF"/>
    <w:rsid w:val="00A01712"/>
    <w:rsid w:val="00A018EF"/>
    <w:rsid w:val="00A01D63"/>
    <w:rsid w:val="00A020EC"/>
    <w:rsid w:val="00A03220"/>
    <w:rsid w:val="00A03410"/>
    <w:rsid w:val="00A046F7"/>
    <w:rsid w:val="00A049EF"/>
    <w:rsid w:val="00A04CC4"/>
    <w:rsid w:val="00A0579C"/>
    <w:rsid w:val="00A05CF1"/>
    <w:rsid w:val="00A067EA"/>
    <w:rsid w:val="00A075C3"/>
    <w:rsid w:val="00A079A6"/>
    <w:rsid w:val="00A07BFD"/>
    <w:rsid w:val="00A10523"/>
    <w:rsid w:val="00A1073B"/>
    <w:rsid w:val="00A1105C"/>
    <w:rsid w:val="00A150BC"/>
    <w:rsid w:val="00A15625"/>
    <w:rsid w:val="00A16167"/>
    <w:rsid w:val="00A16DFD"/>
    <w:rsid w:val="00A1799B"/>
    <w:rsid w:val="00A203B0"/>
    <w:rsid w:val="00A20411"/>
    <w:rsid w:val="00A21949"/>
    <w:rsid w:val="00A21EBF"/>
    <w:rsid w:val="00A2269E"/>
    <w:rsid w:val="00A22DBF"/>
    <w:rsid w:val="00A239B3"/>
    <w:rsid w:val="00A23DBC"/>
    <w:rsid w:val="00A24C22"/>
    <w:rsid w:val="00A24C66"/>
    <w:rsid w:val="00A25023"/>
    <w:rsid w:val="00A25814"/>
    <w:rsid w:val="00A25B84"/>
    <w:rsid w:val="00A260D8"/>
    <w:rsid w:val="00A2650B"/>
    <w:rsid w:val="00A26900"/>
    <w:rsid w:val="00A27142"/>
    <w:rsid w:val="00A276C2"/>
    <w:rsid w:val="00A279B7"/>
    <w:rsid w:val="00A27E3A"/>
    <w:rsid w:val="00A27F1F"/>
    <w:rsid w:val="00A318F4"/>
    <w:rsid w:val="00A31D2D"/>
    <w:rsid w:val="00A31E60"/>
    <w:rsid w:val="00A32565"/>
    <w:rsid w:val="00A325F3"/>
    <w:rsid w:val="00A3493B"/>
    <w:rsid w:val="00A34A49"/>
    <w:rsid w:val="00A3522B"/>
    <w:rsid w:val="00A356F8"/>
    <w:rsid w:val="00A35C13"/>
    <w:rsid w:val="00A37282"/>
    <w:rsid w:val="00A37952"/>
    <w:rsid w:val="00A37BF1"/>
    <w:rsid w:val="00A37F44"/>
    <w:rsid w:val="00A401DF"/>
    <w:rsid w:val="00A4091B"/>
    <w:rsid w:val="00A41DED"/>
    <w:rsid w:val="00A43C1D"/>
    <w:rsid w:val="00A43C7C"/>
    <w:rsid w:val="00A4401D"/>
    <w:rsid w:val="00A44548"/>
    <w:rsid w:val="00A44705"/>
    <w:rsid w:val="00A44936"/>
    <w:rsid w:val="00A450E0"/>
    <w:rsid w:val="00A45DBD"/>
    <w:rsid w:val="00A4613E"/>
    <w:rsid w:val="00A46EE2"/>
    <w:rsid w:val="00A475AB"/>
    <w:rsid w:val="00A477FB"/>
    <w:rsid w:val="00A47D4B"/>
    <w:rsid w:val="00A50612"/>
    <w:rsid w:val="00A506A9"/>
    <w:rsid w:val="00A506DE"/>
    <w:rsid w:val="00A50728"/>
    <w:rsid w:val="00A51887"/>
    <w:rsid w:val="00A52653"/>
    <w:rsid w:val="00A52972"/>
    <w:rsid w:val="00A5326E"/>
    <w:rsid w:val="00A53D3B"/>
    <w:rsid w:val="00A54619"/>
    <w:rsid w:val="00A5475D"/>
    <w:rsid w:val="00A56613"/>
    <w:rsid w:val="00A579F7"/>
    <w:rsid w:val="00A579FB"/>
    <w:rsid w:val="00A60140"/>
    <w:rsid w:val="00A606BC"/>
    <w:rsid w:val="00A60944"/>
    <w:rsid w:val="00A62133"/>
    <w:rsid w:val="00A642A8"/>
    <w:rsid w:val="00A64E4E"/>
    <w:rsid w:val="00A6508F"/>
    <w:rsid w:val="00A6552B"/>
    <w:rsid w:val="00A65A58"/>
    <w:rsid w:val="00A66361"/>
    <w:rsid w:val="00A665E2"/>
    <w:rsid w:val="00A67AB9"/>
    <w:rsid w:val="00A70538"/>
    <w:rsid w:val="00A70841"/>
    <w:rsid w:val="00A70B14"/>
    <w:rsid w:val="00A74022"/>
    <w:rsid w:val="00A74293"/>
    <w:rsid w:val="00A74736"/>
    <w:rsid w:val="00A74737"/>
    <w:rsid w:val="00A74922"/>
    <w:rsid w:val="00A74982"/>
    <w:rsid w:val="00A74AC4"/>
    <w:rsid w:val="00A755C6"/>
    <w:rsid w:val="00A7677F"/>
    <w:rsid w:val="00A76EFF"/>
    <w:rsid w:val="00A770C1"/>
    <w:rsid w:val="00A770E2"/>
    <w:rsid w:val="00A77303"/>
    <w:rsid w:val="00A77700"/>
    <w:rsid w:val="00A8025F"/>
    <w:rsid w:val="00A80FBB"/>
    <w:rsid w:val="00A8114C"/>
    <w:rsid w:val="00A81AC8"/>
    <w:rsid w:val="00A83DDD"/>
    <w:rsid w:val="00A846DF"/>
    <w:rsid w:val="00A85593"/>
    <w:rsid w:val="00A8713E"/>
    <w:rsid w:val="00A90340"/>
    <w:rsid w:val="00A905D2"/>
    <w:rsid w:val="00A90A8C"/>
    <w:rsid w:val="00A90B2C"/>
    <w:rsid w:val="00A90E2D"/>
    <w:rsid w:val="00A9106A"/>
    <w:rsid w:val="00A918ED"/>
    <w:rsid w:val="00A91FBA"/>
    <w:rsid w:val="00A9241E"/>
    <w:rsid w:val="00A92F12"/>
    <w:rsid w:val="00A932F4"/>
    <w:rsid w:val="00A95FBD"/>
    <w:rsid w:val="00A96267"/>
    <w:rsid w:val="00A9729C"/>
    <w:rsid w:val="00A97624"/>
    <w:rsid w:val="00AA0107"/>
    <w:rsid w:val="00AA1CD2"/>
    <w:rsid w:val="00AA24E1"/>
    <w:rsid w:val="00AA41C3"/>
    <w:rsid w:val="00AA4D1D"/>
    <w:rsid w:val="00AA4D89"/>
    <w:rsid w:val="00AA514E"/>
    <w:rsid w:val="00AA71FE"/>
    <w:rsid w:val="00AA73AB"/>
    <w:rsid w:val="00AA7C02"/>
    <w:rsid w:val="00AB14D0"/>
    <w:rsid w:val="00AB202B"/>
    <w:rsid w:val="00AB205C"/>
    <w:rsid w:val="00AB2CA0"/>
    <w:rsid w:val="00AB32C2"/>
    <w:rsid w:val="00AB335C"/>
    <w:rsid w:val="00AB4114"/>
    <w:rsid w:val="00AB4B8D"/>
    <w:rsid w:val="00AB4C0B"/>
    <w:rsid w:val="00AB6E91"/>
    <w:rsid w:val="00AB746D"/>
    <w:rsid w:val="00AB7B0A"/>
    <w:rsid w:val="00AB7D6D"/>
    <w:rsid w:val="00AC0059"/>
    <w:rsid w:val="00AC01CD"/>
    <w:rsid w:val="00AC0223"/>
    <w:rsid w:val="00AC0ED8"/>
    <w:rsid w:val="00AC16A3"/>
    <w:rsid w:val="00AC16B1"/>
    <w:rsid w:val="00AC1A5A"/>
    <w:rsid w:val="00AC1E8D"/>
    <w:rsid w:val="00AC2B2C"/>
    <w:rsid w:val="00AC3A0D"/>
    <w:rsid w:val="00AC3E9B"/>
    <w:rsid w:val="00AC41EA"/>
    <w:rsid w:val="00AC4B0D"/>
    <w:rsid w:val="00AC603A"/>
    <w:rsid w:val="00AC61F9"/>
    <w:rsid w:val="00AC6306"/>
    <w:rsid w:val="00AC6340"/>
    <w:rsid w:val="00AC6432"/>
    <w:rsid w:val="00AC6E85"/>
    <w:rsid w:val="00AC7A41"/>
    <w:rsid w:val="00AC7B42"/>
    <w:rsid w:val="00AC7F5B"/>
    <w:rsid w:val="00AD09F3"/>
    <w:rsid w:val="00AD0EB1"/>
    <w:rsid w:val="00AD0FDB"/>
    <w:rsid w:val="00AD195A"/>
    <w:rsid w:val="00AD1FCC"/>
    <w:rsid w:val="00AD32A6"/>
    <w:rsid w:val="00AD42B2"/>
    <w:rsid w:val="00AD4439"/>
    <w:rsid w:val="00AD50A8"/>
    <w:rsid w:val="00AD529F"/>
    <w:rsid w:val="00AD557B"/>
    <w:rsid w:val="00AD5C9F"/>
    <w:rsid w:val="00AD6250"/>
    <w:rsid w:val="00AD6A79"/>
    <w:rsid w:val="00AD6B88"/>
    <w:rsid w:val="00AD7509"/>
    <w:rsid w:val="00AE17E5"/>
    <w:rsid w:val="00AE2BDB"/>
    <w:rsid w:val="00AE2ED1"/>
    <w:rsid w:val="00AE3B55"/>
    <w:rsid w:val="00AE3FE1"/>
    <w:rsid w:val="00AE43A3"/>
    <w:rsid w:val="00AE4BF2"/>
    <w:rsid w:val="00AE52D3"/>
    <w:rsid w:val="00AE6F9A"/>
    <w:rsid w:val="00AE703A"/>
    <w:rsid w:val="00AE724E"/>
    <w:rsid w:val="00AE73D4"/>
    <w:rsid w:val="00AE7FD9"/>
    <w:rsid w:val="00AF26F2"/>
    <w:rsid w:val="00AF30A6"/>
    <w:rsid w:val="00AF3AE3"/>
    <w:rsid w:val="00AF50BE"/>
    <w:rsid w:val="00AF5FB6"/>
    <w:rsid w:val="00AF6819"/>
    <w:rsid w:val="00AF6A85"/>
    <w:rsid w:val="00AF6F26"/>
    <w:rsid w:val="00AF75BA"/>
    <w:rsid w:val="00AF7757"/>
    <w:rsid w:val="00B00329"/>
    <w:rsid w:val="00B00DDE"/>
    <w:rsid w:val="00B019A1"/>
    <w:rsid w:val="00B02269"/>
    <w:rsid w:val="00B03130"/>
    <w:rsid w:val="00B03ED7"/>
    <w:rsid w:val="00B056A8"/>
    <w:rsid w:val="00B06F44"/>
    <w:rsid w:val="00B07037"/>
    <w:rsid w:val="00B109CA"/>
    <w:rsid w:val="00B10C4C"/>
    <w:rsid w:val="00B118BA"/>
    <w:rsid w:val="00B118E0"/>
    <w:rsid w:val="00B11957"/>
    <w:rsid w:val="00B11A94"/>
    <w:rsid w:val="00B12D80"/>
    <w:rsid w:val="00B132DA"/>
    <w:rsid w:val="00B13413"/>
    <w:rsid w:val="00B13FE7"/>
    <w:rsid w:val="00B15351"/>
    <w:rsid w:val="00B15530"/>
    <w:rsid w:val="00B15AA2"/>
    <w:rsid w:val="00B168D8"/>
    <w:rsid w:val="00B173BA"/>
    <w:rsid w:val="00B17CB8"/>
    <w:rsid w:val="00B207C4"/>
    <w:rsid w:val="00B2119E"/>
    <w:rsid w:val="00B2133B"/>
    <w:rsid w:val="00B22165"/>
    <w:rsid w:val="00B24779"/>
    <w:rsid w:val="00B253F8"/>
    <w:rsid w:val="00B25F7D"/>
    <w:rsid w:val="00B26204"/>
    <w:rsid w:val="00B26822"/>
    <w:rsid w:val="00B26FB5"/>
    <w:rsid w:val="00B271D5"/>
    <w:rsid w:val="00B27514"/>
    <w:rsid w:val="00B2786D"/>
    <w:rsid w:val="00B278D8"/>
    <w:rsid w:val="00B27F03"/>
    <w:rsid w:val="00B302BE"/>
    <w:rsid w:val="00B31171"/>
    <w:rsid w:val="00B314AA"/>
    <w:rsid w:val="00B31537"/>
    <w:rsid w:val="00B32C26"/>
    <w:rsid w:val="00B32EE0"/>
    <w:rsid w:val="00B33184"/>
    <w:rsid w:val="00B33B6D"/>
    <w:rsid w:val="00B33E4E"/>
    <w:rsid w:val="00B348DF"/>
    <w:rsid w:val="00B34E4A"/>
    <w:rsid w:val="00B360CC"/>
    <w:rsid w:val="00B36466"/>
    <w:rsid w:val="00B36EC6"/>
    <w:rsid w:val="00B41BD7"/>
    <w:rsid w:val="00B42611"/>
    <w:rsid w:val="00B42C0E"/>
    <w:rsid w:val="00B43C53"/>
    <w:rsid w:val="00B44BFF"/>
    <w:rsid w:val="00B44C55"/>
    <w:rsid w:val="00B450A1"/>
    <w:rsid w:val="00B45CAE"/>
    <w:rsid w:val="00B4704B"/>
    <w:rsid w:val="00B47096"/>
    <w:rsid w:val="00B47AD0"/>
    <w:rsid w:val="00B47B4C"/>
    <w:rsid w:val="00B47CE8"/>
    <w:rsid w:val="00B51D0C"/>
    <w:rsid w:val="00B51FF3"/>
    <w:rsid w:val="00B52859"/>
    <w:rsid w:val="00B53916"/>
    <w:rsid w:val="00B544F0"/>
    <w:rsid w:val="00B54D32"/>
    <w:rsid w:val="00B55021"/>
    <w:rsid w:val="00B55166"/>
    <w:rsid w:val="00B55986"/>
    <w:rsid w:val="00B564F1"/>
    <w:rsid w:val="00B57933"/>
    <w:rsid w:val="00B57E94"/>
    <w:rsid w:val="00B60212"/>
    <w:rsid w:val="00B604AE"/>
    <w:rsid w:val="00B605F5"/>
    <w:rsid w:val="00B61792"/>
    <w:rsid w:val="00B617F9"/>
    <w:rsid w:val="00B619F4"/>
    <w:rsid w:val="00B61D2B"/>
    <w:rsid w:val="00B626E2"/>
    <w:rsid w:val="00B6312F"/>
    <w:rsid w:val="00B6337E"/>
    <w:rsid w:val="00B63EE3"/>
    <w:rsid w:val="00B64717"/>
    <w:rsid w:val="00B650A3"/>
    <w:rsid w:val="00B65308"/>
    <w:rsid w:val="00B653BC"/>
    <w:rsid w:val="00B664A3"/>
    <w:rsid w:val="00B66D79"/>
    <w:rsid w:val="00B67277"/>
    <w:rsid w:val="00B67633"/>
    <w:rsid w:val="00B67A14"/>
    <w:rsid w:val="00B67A7C"/>
    <w:rsid w:val="00B701B9"/>
    <w:rsid w:val="00B71FDA"/>
    <w:rsid w:val="00B723B0"/>
    <w:rsid w:val="00B72770"/>
    <w:rsid w:val="00B74370"/>
    <w:rsid w:val="00B75EFD"/>
    <w:rsid w:val="00B76119"/>
    <w:rsid w:val="00B76439"/>
    <w:rsid w:val="00B76CB3"/>
    <w:rsid w:val="00B77315"/>
    <w:rsid w:val="00B7793B"/>
    <w:rsid w:val="00B80B50"/>
    <w:rsid w:val="00B816AD"/>
    <w:rsid w:val="00B82D4F"/>
    <w:rsid w:val="00B83264"/>
    <w:rsid w:val="00B83FF9"/>
    <w:rsid w:val="00B8416A"/>
    <w:rsid w:val="00B85195"/>
    <w:rsid w:val="00B86A09"/>
    <w:rsid w:val="00B86D4E"/>
    <w:rsid w:val="00B87147"/>
    <w:rsid w:val="00B90114"/>
    <w:rsid w:val="00B91220"/>
    <w:rsid w:val="00B91AB7"/>
    <w:rsid w:val="00B91D7C"/>
    <w:rsid w:val="00B92390"/>
    <w:rsid w:val="00B93082"/>
    <w:rsid w:val="00B937C4"/>
    <w:rsid w:val="00B938C3"/>
    <w:rsid w:val="00B940FB"/>
    <w:rsid w:val="00B9459E"/>
    <w:rsid w:val="00B94F64"/>
    <w:rsid w:val="00B95593"/>
    <w:rsid w:val="00B95B70"/>
    <w:rsid w:val="00B97063"/>
    <w:rsid w:val="00B9731D"/>
    <w:rsid w:val="00B97A28"/>
    <w:rsid w:val="00B97BB8"/>
    <w:rsid w:val="00BA08A3"/>
    <w:rsid w:val="00BA18CC"/>
    <w:rsid w:val="00BA1E8C"/>
    <w:rsid w:val="00BA2246"/>
    <w:rsid w:val="00BA2297"/>
    <w:rsid w:val="00BA253D"/>
    <w:rsid w:val="00BA2A37"/>
    <w:rsid w:val="00BA2F40"/>
    <w:rsid w:val="00BA313F"/>
    <w:rsid w:val="00BA3460"/>
    <w:rsid w:val="00BA3D25"/>
    <w:rsid w:val="00BA429D"/>
    <w:rsid w:val="00BA5317"/>
    <w:rsid w:val="00BA54FA"/>
    <w:rsid w:val="00BA5C3A"/>
    <w:rsid w:val="00BA6B0C"/>
    <w:rsid w:val="00BA72C7"/>
    <w:rsid w:val="00BB0E0E"/>
    <w:rsid w:val="00BB0EB4"/>
    <w:rsid w:val="00BB2013"/>
    <w:rsid w:val="00BB2136"/>
    <w:rsid w:val="00BB235D"/>
    <w:rsid w:val="00BB44E4"/>
    <w:rsid w:val="00BB50E5"/>
    <w:rsid w:val="00BB54B2"/>
    <w:rsid w:val="00BB568B"/>
    <w:rsid w:val="00BB5A9A"/>
    <w:rsid w:val="00BB6221"/>
    <w:rsid w:val="00BB630D"/>
    <w:rsid w:val="00BB6D19"/>
    <w:rsid w:val="00BB6F10"/>
    <w:rsid w:val="00BB70A1"/>
    <w:rsid w:val="00BB76EC"/>
    <w:rsid w:val="00BC11D2"/>
    <w:rsid w:val="00BC2890"/>
    <w:rsid w:val="00BC2898"/>
    <w:rsid w:val="00BC4180"/>
    <w:rsid w:val="00BC55B7"/>
    <w:rsid w:val="00BC5C79"/>
    <w:rsid w:val="00BC5E71"/>
    <w:rsid w:val="00BC6756"/>
    <w:rsid w:val="00BD0032"/>
    <w:rsid w:val="00BD0550"/>
    <w:rsid w:val="00BD141A"/>
    <w:rsid w:val="00BD15B0"/>
    <w:rsid w:val="00BD2537"/>
    <w:rsid w:val="00BD2843"/>
    <w:rsid w:val="00BD2BA7"/>
    <w:rsid w:val="00BD3350"/>
    <w:rsid w:val="00BD3591"/>
    <w:rsid w:val="00BD3F48"/>
    <w:rsid w:val="00BD4400"/>
    <w:rsid w:val="00BD53FB"/>
    <w:rsid w:val="00BD54DC"/>
    <w:rsid w:val="00BD5E66"/>
    <w:rsid w:val="00BD5F33"/>
    <w:rsid w:val="00BD69A0"/>
    <w:rsid w:val="00BD6B3A"/>
    <w:rsid w:val="00BD74D8"/>
    <w:rsid w:val="00BD7779"/>
    <w:rsid w:val="00BD7B4E"/>
    <w:rsid w:val="00BE0017"/>
    <w:rsid w:val="00BE00CD"/>
    <w:rsid w:val="00BE022A"/>
    <w:rsid w:val="00BE1990"/>
    <w:rsid w:val="00BE2661"/>
    <w:rsid w:val="00BE3B15"/>
    <w:rsid w:val="00BE4892"/>
    <w:rsid w:val="00BE4AD8"/>
    <w:rsid w:val="00BE50D3"/>
    <w:rsid w:val="00BE5517"/>
    <w:rsid w:val="00BE586D"/>
    <w:rsid w:val="00BE66EE"/>
    <w:rsid w:val="00BE66F8"/>
    <w:rsid w:val="00BE683B"/>
    <w:rsid w:val="00BE6E46"/>
    <w:rsid w:val="00BE6EE1"/>
    <w:rsid w:val="00BF0300"/>
    <w:rsid w:val="00BF0501"/>
    <w:rsid w:val="00BF1A75"/>
    <w:rsid w:val="00BF2776"/>
    <w:rsid w:val="00BF2B58"/>
    <w:rsid w:val="00BF2CD4"/>
    <w:rsid w:val="00BF4D39"/>
    <w:rsid w:val="00BF58D9"/>
    <w:rsid w:val="00BF5B3F"/>
    <w:rsid w:val="00BF5D28"/>
    <w:rsid w:val="00BF5EC3"/>
    <w:rsid w:val="00BF5F3C"/>
    <w:rsid w:val="00BF611A"/>
    <w:rsid w:val="00BF619A"/>
    <w:rsid w:val="00BF6248"/>
    <w:rsid w:val="00BF79D7"/>
    <w:rsid w:val="00C00721"/>
    <w:rsid w:val="00C008FE"/>
    <w:rsid w:val="00C0121C"/>
    <w:rsid w:val="00C01AB3"/>
    <w:rsid w:val="00C02BD1"/>
    <w:rsid w:val="00C0319A"/>
    <w:rsid w:val="00C033BB"/>
    <w:rsid w:val="00C03685"/>
    <w:rsid w:val="00C0513F"/>
    <w:rsid w:val="00C05394"/>
    <w:rsid w:val="00C05BD6"/>
    <w:rsid w:val="00C069BF"/>
    <w:rsid w:val="00C079A0"/>
    <w:rsid w:val="00C07CDA"/>
    <w:rsid w:val="00C103EC"/>
    <w:rsid w:val="00C11499"/>
    <w:rsid w:val="00C115B1"/>
    <w:rsid w:val="00C11808"/>
    <w:rsid w:val="00C11E83"/>
    <w:rsid w:val="00C1208C"/>
    <w:rsid w:val="00C124A8"/>
    <w:rsid w:val="00C13DD4"/>
    <w:rsid w:val="00C1472B"/>
    <w:rsid w:val="00C149E7"/>
    <w:rsid w:val="00C1502E"/>
    <w:rsid w:val="00C16D45"/>
    <w:rsid w:val="00C200CD"/>
    <w:rsid w:val="00C225A2"/>
    <w:rsid w:val="00C225EC"/>
    <w:rsid w:val="00C22BCC"/>
    <w:rsid w:val="00C22D63"/>
    <w:rsid w:val="00C2461A"/>
    <w:rsid w:val="00C2486E"/>
    <w:rsid w:val="00C24F47"/>
    <w:rsid w:val="00C25685"/>
    <w:rsid w:val="00C25EAF"/>
    <w:rsid w:val="00C277FC"/>
    <w:rsid w:val="00C30B42"/>
    <w:rsid w:val="00C33830"/>
    <w:rsid w:val="00C33FFF"/>
    <w:rsid w:val="00C348E9"/>
    <w:rsid w:val="00C34C38"/>
    <w:rsid w:val="00C34F2B"/>
    <w:rsid w:val="00C35CE3"/>
    <w:rsid w:val="00C36234"/>
    <w:rsid w:val="00C36493"/>
    <w:rsid w:val="00C3649F"/>
    <w:rsid w:val="00C36677"/>
    <w:rsid w:val="00C36BF1"/>
    <w:rsid w:val="00C37418"/>
    <w:rsid w:val="00C37784"/>
    <w:rsid w:val="00C4069D"/>
    <w:rsid w:val="00C406A2"/>
    <w:rsid w:val="00C41B23"/>
    <w:rsid w:val="00C41B90"/>
    <w:rsid w:val="00C42390"/>
    <w:rsid w:val="00C42BD0"/>
    <w:rsid w:val="00C43290"/>
    <w:rsid w:val="00C436FB"/>
    <w:rsid w:val="00C472F5"/>
    <w:rsid w:val="00C47A9A"/>
    <w:rsid w:val="00C525CD"/>
    <w:rsid w:val="00C52D98"/>
    <w:rsid w:val="00C534B2"/>
    <w:rsid w:val="00C536FC"/>
    <w:rsid w:val="00C53BCC"/>
    <w:rsid w:val="00C53E90"/>
    <w:rsid w:val="00C55B5E"/>
    <w:rsid w:val="00C55FBA"/>
    <w:rsid w:val="00C566A7"/>
    <w:rsid w:val="00C57553"/>
    <w:rsid w:val="00C57E15"/>
    <w:rsid w:val="00C57F88"/>
    <w:rsid w:val="00C606A1"/>
    <w:rsid w:val="00C60AE7"/>
    <w:rsid w:val="00C6171D"/>
    <w:rsid w:val="00C6244D"/>
    <w:rsid w:val="00C6252D"/>
    <w:rsid w:val="00C63055"/>
    <w:rsid w:val="00C63B40"/>
    <w:rsid w:val="00C645CD"/>
    <w:rsid w:val="00C6507B"/>
    <w:rsid w:val="00C6522E"/>
    <w:rsid w:val="00C65471"/>
    <w:rsid w:val="00C65B54"/>
    <w:rsid w:val="00C65BAF"/>
    <w:rsid w:val="00C65C71"/>
    <w:rsid w:val="00C662C3"/>
    <w:rsid w:val="00C7095E"/>
    <w:rsid w:val="00C70AA2"/>
    <w:rsid w:val="00C70DED"/>
    <w:rsid w:val="00C711EC"/>
    <w:rsid w:val="00C717DA"/>
    <w:rsid w:val="00C71B77"/>
    <w:rsid w:val="00C7219B"/>
    <w:rsid w:val="00C72E51"/>
    <w:rsid w:val="00C74410"/>
    <w:rsid w:val="00C74AE2"/>
    <w:rsid w:val="00C75457"/>
    <w:rsid w:val="00C75B65"/>
    <w:rsid w:val="00C76037"/>
    <w:rsid w:val="00C77034"/>
    <w:rsid w:val="00C7733A"/>
    <w:rsid w:val="00C77CEA"/>
    <w:rsid w:val="00C77DD8"/>
    <w:rsid w:val="00C77FBB"/>
    <w:rsid w:val="00C80B76"/>
    <w:rsid w:val="00C80E52"/>
    <w:rsid w:val="00C810F4"/>
    <w:rsid w:val="00C8116A"/>
    <w:rsid w:val="00C81F75"/>
    <w:rsid w:val="00C86450"/>
    <w:rsid w:val="00C86493"/>
    <w:rsid w:val="00C869B4"/>
    <w:rsid w:val="00C91B4B"/>
    <w:rsid w:val="00C935AF"/>
    <w:rsid w:val="00C937FD"/>
    <w:rsid w:val="00C9420A"/>
    <w:rsid w:val="00C94D02"/>
    <w:rsid w:val="00C96130"/>
    <w:rsid w:val="00CA0BBA"/>
    <w:rsid w:val="00CA0FE8"/>
    <w:rsid w:val="00CA1E2E"/>
    <w:rsid w:val="00CA2973"/>
    <w:rsid w:val="00CA2C76"/>
    <w:rsid w:val="00CA34FF"/>
    <w:rsid w:val="00CA3D87"/>
    <w:rsid w:val="00CA43D7"/>
    <w:rsid w:val="00CA4C5B"/>
    <w:rsid w:val="00CA5238"/>
    <w:rsid w:val="00CA54B9"/>
    <w:rsid w:val="00CA61EC"/>
    <w:rsid w:val="00CA6FD5"/>
    <w:rsid w:val="00CA783F"/>
    <w:rsid w:val="00CA7999"/>
    <w:rsid w:val="00CB0010"/>
    <w:rsid w:val="00CB2933"/>
    <w:rsid w:val="00CB31E1"/>
    <w:rsid w:val="00CB47B0"/>
    <w:rsid w:val="00CB4ADE"/>
    <w:rsid w:val="00CB4C57"/>
    <w:rsid w:val="00CB50DE"/>
    <w:rsid w:val="00CB5AEE"/>
    <w:rsid w:val="00CB5B9A"/>
    <w:rsid w:val="00CB6FB1"/>
    <w:rsid w:val="00CB6FE2"/>
    <w:rsid w:val="00CC0E46"/>
    <w:rsid w:val="00CC170F"/>
    <w:rsid w:val="00CC1D57"/>
    <w:rsid w:val="00CC394B"/>
    <w:rsid w:val="00CC45C6"/>
    <w:rsid w:val="00CC47DA"/>
    <w:rsid w:val="00CC5B50"/>
    <w:rsid w:val="00CC6432"/>
    <w:rsid w:val="00CC6645"/>
    <w:rsid w:val="00CC6EE0"/>
    <w:rsid w:val="00CC7592"/>
    <w:rsid w:val="00CD02D1"/>
    <w:rsid w:val="00CD0848"/>
    <w:rsid w:val="00CD0CB1"/>
    <w:rsid w:val="00CD0D46"/>
    <w:rsid w:val="00CD0EBA"/>
    <w:rsid w:val="00CD1028"/>
    <w:rsid w:val="00CD1609"/>
    <w:rsid w:val="00CD1CDF"/>
    <w:rsid w:val="00CD22BC"/>
    <w:rsid w:val="00CD38D5"/>
    <w:rsid w:val="00CD3ED8"/>
    <w:rsid w:val="00CD497B"/>
    <w:rsid w:val="00CD75F4"/>
    <w:rsid w:val="00CD7940"/>
    <w:rsid w:val="00CE03D7"/>
    <w:rsid w:val="00CE09C8"/>
    <w:rsid w:val="00CE1E0E"/>
    <w:rsid w:val="00CE2BC5"/>
    <w:rsid w:val="00CE2EB2"/>
    <w:rsid w:val="00CE3263"/>
    <w:rsid w:val="00CE396A"/>
    <w:rsid w:val="00CE396E"/>
    <w:rsid w:val="00CE41B0"/>
    <w:rsid w:val="00CE4618"/>
    <w:rsid w:val="00CE4923"/>
    <w:rsid w:val="00CE520C"/>
    <w:rsid w:val="00CE6F35"/>
    <w:rsid w:val="00CE7C9B"/>
    <w:rsid w:val="00CE7E24"/>
    <w:rsid w:val="00CF0AE1"/>
    <w:rsid w:val="00CF0DC1"/>
    <w:rsid w:val="00CF2016"/>
    <w:rsid w:val="00CF24C0"/>
    <w:rsid w:val="00CF26D8"/>
    <w:rsid w:val="00CF2F2E"/>
    <w:rsid w:val="00CF3019"/>
    <w:rsid w:val="00CF3C5E"/>
    <w:rsid w:val="00CF3D34"/>
    <w:rsid w:val="00CF3ECD"/>
    <w:rsid w:val="00CF638D"/>
    <w:rsid w:val="00CF663B"/>
    <w:rsid w:val="00CF688F"/>
    <w:rsid w:val="00CF6CA9"/>
    <w:rsid w:val="00CF6FA3"/>
    <w:rsid w:val="00CF7484"/>
    <w:rsid w:val="00D00815"/>
    <w:rsid w:val="00D01279"/>
    <w:rsid w:val="00D01B66"/>
    <w:rsid w:val="00D02093"/>
    <w:rsid w:val="00D023CD"/>
    <w:rsid w:val="00D0313C"/>
    <w:rsid w:val="00D0401B"/>
    <w:rsid w:val="00D040B5"/>
    <w:rsid w:val="00D052B9"/>
    <w:rsid w:val="00D05BD1"/>
    <w:rsid w:val="00D069EB"/>
    <w:rsid w:val="00D10EF4"/>
    <w:rsid w:val="00D11858"/>
    <w:rsid w:val="00D1186B"/>
    <w:rsid w:val="00D119DA"/>
    <w:rsid w:val="00D11C59"/>
    <w:rsid w:val="00D12DB3"/>
    <w:rsid w:val="00D13C19"/>
    <w:rsid w:val="00D14824"/>
    <w:rsid w:val="00D14C27"/>
    <w:rsid w:val="00D14E64"/>
    <w:rsid w:val="00D14EDC"/>
    <w:rsid w:val="00D15494"/>
    <w:rsid w:val="00D15A25"/>
    <w:rsid w:val="00D209B7"/>
    <w:rsid w:val="00D20D09"/>
    <w:rsid w:val="00D2316C"/>
    <w:rsid w:val="00D23AB1"/>
    <w:rsid w:val="00D24340"/>
    <w:rsid w:val="00D24F1D"/>
    <w:rsid w:val="00D26506"/>
    <w:rsid w:val="00D26AE0"/>
    <w:rsid w:val="00D26DEA"/>
    <w:rsid w:val="00D27522"/>
    <w:rsid w:val="00D30A16"/>
    <w:rsid w:val="00D31191"/>
    <w:rsid w:val="00D31E05"/>
    <w:rsid w:val="00D31F26"/>
    <w:rsid w:val="00D323FB"/>
    <w:rsid w:val="00D329AE"/>
    <w:rsid w:val="00D32C0F"/>
    <w:rsid w:val="00D34108"/>
    <w:rsid w:val="00D34D49"/>
    <w:rsid w:val="00D34DA8"/>
    <w:rsid w:val="00D35479"/>
    <w:rsid w:val="00D35A86"/>
    <w:rsid w:val="00D35F64"/>
    <w:rsid w:val="00D36164"/>
    <w:rsid w:val="00D365D6"/>
    <w:rsid w:val="00D37D84"/>
    <w:rsid w:val="00D37E41"/>
    <w:rsid w:val="00D40F3F"/>
    <w:rsid w:val="00D416F6"/>
    <w:rsid w:val="00D41C3A"/>
    <w:rsid w:val="00D42F1D"/>
    <w:rsid w:val="00D43543"/>
    <w:rsid w:val="00D440FA"/>
    <w:rsid w:val="00D446EE"/>
    <w:rsid w:val="00D45968"/>
    <w:rsid w:val="00D472CE"/>
    <w:rsid w:val="00D47D09"/>
    <w:rsid w:val="00D508B4"/>
    <w:rsid w:val="00D50C07"/>
    <w:rsid w:val="00D50EBD"/>
    <w:rsid w:val="00D50FA6"/>
    <w:rsid w:val="00D519EE"/>
    <w:rsid w:val="00D5272D"/>
    <w:rsid w:val="00D52BBC"/>
    <w:rsid w:val="00D53720"/>
    <w:rsid w:val="00D53A29"/>
    <w:rsid w:val="00D542B1"/>
    <w:rsid w:val="00D552B8"/>
    <w:rsid w:val="00D5627A"/>
    <w:rsid w:val="00D566C3"/>
    <w:rsid w:val="00D57EB2"/>
    <w:rsid w:val="00D61AE0"/>
    <w:rsid w:val="00D622B6"/>
    <w:rsid w:val="00D630CA"/>
    <w:rsid w:val="00D63553"/>
    <w:rsid w:val="00D636C3"/>
    <w:rsid w:val="00D64267"/>
    <w:rsid w:val="00D64E34"/>
    <w:rsid w:val="00D65103"/>
    <w:rsid w:val="00D652DC"/>
    <w:rsid w:val="00D66287"/>
    <w:rsid w:val="00D66501"/>
    <w:rsid w:val="00D66BD5"/>
    <w:rsid w:val="00D67B3C"/>
    <w:rsid w:val="00D70796"/>
    <w:rsid w:val="00D70B04"/>
    <w:rsid w:val="00D70B24"/>
    <w:rsid w:val="00D71E1B"/>
    <w:rsid w:val="00D72A51"/>
    <w:rsid w:val="00D72E50"/>
    <w:rsid w:val="00D7364A"/>
    <w:rsid w:val="00D747AB"/>
    <w:rsid w:val="00D74A25"/>
    <w:rsid w:val="00D7631B"/>
    <w:rsid w:val="00D76E96"/>
    <w:rsid w:val="00D770AE"/>
    <w:rsid w:val="00D7769F"/>
    <w:rsid w:val="00D77B83"/>
    <w:rsid w:val="00D77F76"/>
    <w:rsid w:val="00D80DD9"/>
    <w:rsid w:val="00D813C2"/>
    <w:rsid w:val="00D81EF9"/>
    <w:rsid w:val="00D8391A"/>
    <w:rsid w:val="00D851A2"/>
    <w:rsid w:val="00D851DD"/>
    <w:rsid w:val="00D859F9"/>
    <w:rsid w:val="00D85B22"/>
    <w:rsid w:val="00D85D69"/>
    <w:rsid w:val="00D85F40"/>
    <w:rsid w:val="00D86007"/>
    <w:rsid w:val="00D900DD"/>
    <w:rsid w:val="00D92612"/>
    <w:rsid w:val="00D94322"/>
    <w:rsid w:val="00D96FCC"/>
    <w:rsid w:val="00D97A3C"/>
    <w:rsid w:val="00D97DDD"/>
    <w:rsid w:val="00DA03AE"/>
    <w:rsid w:val="00DA1AD6"/>
    <w:rsid w:val="00DA1B0E"/>
    <w:rsid w:val="00DA208C"/>
    <w:rsid w:val="00DA28CF"/>
    <w:rsid w:val="00DA2A1B"/>
    <w:rsid w:val="00DA3D23"/>
    <w:rsid w:val="00DA4516"/>
    <w:rsid w:val="00DA516B"/>
    <w:rsid w:val="00DA689B"/>
    <w:rsid w:val="00DA7986"/>
    <w:rsid w:val="00DB00B7"/>
    <w:rsid w:val="00DB0BCC"/>
    <w:rsid w:val="00DB2484"/>
    <w:rsid w:val="00DB288B"/>
    <w:rsid w:val="00DB2F55"/>
    <w:rsid w:val="00DB3272"/>
    <w:rsid w:val="00DB3910"/>
    <w:rsid w:val="00DB3D7B"/>
    <w:rsid w:val="00DB5428"/>
    <w:rsid w:val="00DB55E0"/>
    <w:rsid w:val="00DB5F4D"/>
    <w:rsid w:val="00DB6005"/>
    <w:rsid w:val="00DB6551"/>
    <w:rsid w:val="00DB67E4"/>
    <w:rsid w:val="00DB6B9D"/>
    <w:rsid w:val="00DB79D1"/>
    <w:rsid w:val="00DB7B86"/>
    <w:rsid w:val="00DC1023"/>
    <w:rsid w:val="00DC198F"/>
    <w:rsid w:val="00DC3B75"/>
    <w:rsid w:val="00DC42F4"/>
    <w:rsid w:val="00DC42F5"/>
    <w:rsid w:val="00DC54D0"/>
    <w:rsid w:val="00DC5854"/>
    <w:rsid w:val="00DC585D"/>
    <w:rsid w:val="00DC772B"/>
    <w:rsid w:val="00DC79F0"/>
    <w:rsid w:val="00DC7CB8"/>
    <w:rsid w:val="00DD244E"/>
    <w:rsid w:val="00DD2A33"/>
    <w:rsid w:val="00DD2FF2"/>
    <w:rsid w:val="00DD33CF"/>
    <w:rsid w:val="00DD33D1"/>
    <w:rsid w:val="00DD3632"/>
    <w:rsid w:val="00DD366C"/>
    <w:rsid w:val="00DD3C97"/>
    <w:rsid w:val="00DD3F31"/>
    <w:rsid w:val="00DD412D"/>
    <w:rsid w:val="00DD4A16"/>
    <w:rsid w:val="00DD588A"/>
    <w:rsid w:val="00DD5A09"/>
    <w:rsid w:val="00DD5AEE"/>
    <w:rsid w:val="00DD6478"/>
    <w:rsid w:val="00DD67E6"/>
    <w:rsid w:val="00DD6FB9"/>
    <w:rsid w:val="00DE04F3"/>
    <w:rsid w:val="00DE1DD7"/>
    <w:rsid w:val="00DE24C4"/>
    <w:rsid w:val="00DE360B"/>
    <w:rsid w:val="00DE4771"/>
    <w:rsid w:val="00DE4CC5"/>
    <w:rsid w:val="00DE5E6A"/>
    <w:rsid w:val="00DE62CE"/>
    <w:rsid w:val="00DE6326"/>
    <w:rsid w:val="00DE653E"/>
    <w:rsid w:val="00DE6C86"/>
    <w:rsid w:val="00DF004A"/>
    <w:rsid w:val="00DF024C"/>
    <w:rsid w:val="00DF1B4C"/>
    <w:rsid w:val="00DF25D9"/>
    <w:rsid w:val="00DF38A8"/>
    <w:rsid w:val="00DF41C3"/>
    <w:rsid w:val="00DF5584"/>
    <w:rsid w:val="00DF56C1"/>
    <w:rsid w:val="00DF6810"/>
    <w:rsid w:val="00DF6943"/>
    <w:rsid w:val="00DF6F29"/>
    <w:rsid w:val="00E009A9"/>
    <w:rsid w:val="00E0115C"/>
    <w:rsid w:val="00E018D8"/>
    <w:rsid w:val="00E01B2C"/>
    <w:rsid w:val="00E0240E"/>
    <w:rsid w:val="00E02675"/>
    <w:rsid w:val="00E02F6E"/>
    <w:rsid w:val="00E03412"/>
    <w:rsid w:val="00E0366B"/>
    <w:rsid w:val="00E036F5"/>
    <w:rsid w:val="00E0417E"/>
    <w:rsid w:val="00E05B4E"/>
    <w:rsid w:val="00E06E33"/>
    <w:rsid w:val="00E10AE5"/>
    <w:rsid w:val="00E10D4D"/>
    <w:rsid w:val="00E11818"/>
    <w:rsid w:val="00E11D5E"/>
    <w:rsid w:val="00E12D2F"/>
    <w:rsid w:val="00E12E59"/>
    <w:rsid w:val="00E13B87"/>
    <w:rsid w:val="00E14043"/>
    <w:rsid w:val="00E1475A"/>
    <w:rsid w:val="00E14981"/>
    <w:rsid w:val="00E149D4"/>
    <w:rsid w:val="00E16787"/>
    <w:rsid w:val="00E16CB8"/>
    <w:rsid w:val="00E1744D"/>
    <w:rsid w:val="00E20BA9"/>
    <w:rsid w:val="00E21217"/>
    <w:rsid w:val="00E218EA"/>
    <w:rsid w:val="00E2271E"/>
    <w:rsid w:val="00E235C0"/>
    <w:rsid w:val="00E268AA"/>
    <w:rsid w:val="00E26974"/>
    <w:rsid w:val="00E26CEF"/>
    <w:rsid w:val="00E277A2"/>
    <w:rsid w:val="00E302F4"/>
    <w:rsid w:val="00E3076B"/>
    <w:rsid w:val="00E30A94"/>
    <w:rsid w:val="00E30C5A"/>
    <w:rsid w:val="00E320E8"/>
    <w:rsid w:val="00E328FE"/>
    <w:rsid w:val="00E33143"/>
    <w:rsid w:val="00E335BC"/>
    <w:rsid w:val="00E34DDC"/>
    <w:rsid w:val="00E36846"/>
    <w:rsid w:val="00E36BB9"/>
    <w:rsid w:val="00E413A1"/>
    <w:rsid w:val="00E42277"/>
    <w:rsid w:val="00E428C4"/>
    <w:rsid w:val="00E4386F"/>
    <w:rsid w:val="00E43FCD"/>
    <w:rsid w:val="00E4439B"/>
    <w:rsid w:val="00E45166"/>
    <w:rsid w:val="00E45337"/>
    <w:rsid w:val="00E4536E"/>
    <w:rsid w:val="00E456B7"/>
    <w:rsid w:val="00E478E8"/>
    <w:rsid w:val="00E50561"/>
    <w:rsid w:val="00E50C45"/>
    <w:rsid w:val="00E51499"/>
    <w:rsid w:val="00E528B9"/>
    <w:rsid w:val="00E52B03"/>
    <w:rsid w:val="00E52BC1"/>
    <w:rsid w:val="00E53186"/>
    <w:rsid w:val="00E53258"/>
    <w:rsid w:val="00E540F3"/>
    <w:rsid w:val="00E54295"/>
    <w:rsid w:val="00E54436"/>
    <w:rsid w:val="00E54BCA"/>
    <w:rsid w:val="00E54C2C"/>
    <w:rsid w:val="00E55EB1"/>
    <w:rsid w:val="00E5629E"/>
    <w:rsid w:val="00E5656E"/>
    <w:rsid w:val="00E578FA"/>
    <w:rsid w:val="00E57DED"/>
    <w:rsid w:val="00E603F5"/>
    <w:rsid w:val="00E605A8"/>
    <w:rsid w:val="00E6085B"/>
    <w:rsid w:val="00E60F1C"/>
    <w:rsid w:val="00E61682"/>
    <w:rsid w:val="00E63112"/>
    <w:rsid w:val="00E63435"/>
    <w:rsid w:val="00E638CD"/>
    <w:rsid w:val="00E63E0A"/>
    <w:rsid w:val="00E645DD"/>
    <w:rsid w:val="00E64FFD"/>
    <w:rsid w:val="00E65297"/>
    <w:rsid w:val="00E66A85"/>
    <w:rsid w:val="00E67A24"/>
    <w:rsid w:val="00E67F15"/>
    <w:rsid w:val="00E706F0"/>
    <w:rsid w:val="00E7195E"/>
    <w:rsid w:val="00E71B4C"/>
    <w:rsid w:val="00E7293B"/>
    <w:rsid w:val="00E73157"/>
    <w:rsid w:val="00E73CDB"/>
    <w:rsid w:val="00E747F0"/>
    <w:rsid w:val="00E74A20"/>
    <w:rsid w:val="00E75209"/>
    <w:rsid w:val="00E752A1"/>
    <w:rsid w:val="00E75984"/>
    <w:rsid w:val="00E767BA"/>
    <w:rsid w:val="00E772A9"/>
    <w:rsid w:val="00E774D3"/>
    <w:rsid w:val="00E777BD"/>
    <w:rsid w:val="00E77D8F"/>
    <w:rsid w:val="00E80045"/>
    <w:rsid w:val="00E800C5"/>
    <w:rsid w:val="00E81192"/>
    <w:rsid w:val="00E81B49"/>
    <w:rsid w:val="00E81E2B"/>
    <w:rsid w:val="00E82469"/>
    <w:rsid w:val="00E82914"/>
    <w:rsid w:val="00E83007"/>
    <w:rsid w:val="00E83657"/>
    <w:rsid w:val="00E84275"/>
    <w:rsid w:val="00E8477D"/>
    <w:rsid w:val="00E84862"/>
    <w:rsid w:val="00E84A5D"/>
    <w:rsid w:val="00E84D20"/>
    <w:rsid w:val="00E851B9"/>
    <w:rsid w:val="00E863F4"/>
    <w:rsid w:val="00E86AD1"/>
    <w:rsid w:val="00E86C50"/>
    <w:rsid w:val="00E87255"/>
    <w:rsid w:val="00E87815"/>
    <w:rsid w:val="00E87EE6"/>
    <w:rsid w:val="00E90203"/>
    <w:rsid w:val="00E9131B"/>
    <w:rsid w:val="00E91C61"/>
    <w:rsid w:val="00E91D70"/>
    <w:rsid w:val="00E92CF0"/>
    <w:rsid w:val="00E932B0"/>
    <w:rsid w:val="00E93C95"/>
    <w:rsid w:val="00E94641"/>
    <w:rsid w:val="00E9602B"/>
    <w:rsid w:val="00E965B9"/>
    <w:rsid w:val="00E9779A"/>
    <w:rsid w:val="00E97E00"/>
    <w:rsid w:val="00EA0114"/>
    <w:rsid w:val="00EA03C3"/>
    <w:rsid w:val="00EA0867"/>
    <w:rsid w:val="00EA1603"/>
    <w:rsid w:val="00EA1635"/>
    <w:rsid w:val="00EA239A"/>
    <w:rsid w:val="00EA248B"/>
    <w:rsid w:val="00EA2F01"/>
    <w:rsid w:val="00EA3788"/>
    <w:rsid w:val="00EA3FE1"/>
    <w:rsid w:val="00EA4060"/>
    <w:rsid w:val="00EA4AEF"/>
    <w:rsid w:val="00EA538A"/>
    <w:rsid w:val="00EA5838"/>
    <w:rsid w:val="00EA6371"/>
    <w:rsid w:val="00EA6A86"/>
    <w:rsid w:val="00EA77DF"/>
    <w:rsid w:val="00EA7E21"/>
    <w:rsid w:val="00EB0043"/>
    <w:rsid w:val="00EB0B01"/>
    <w:rsid w:val="00EB1052"/>
    <w:rsid w:val="00EB1C39"/>
    <w:rsid w:val="00EB248C"/>
    <w:rsid w:val="00EB24A5"/>
    <w:rsid w:val="00EB268C"/>
    <w:rsid w:val="00EB3038"/>
    <w:rsid w:val="00EB3E78"/>
    <w:rsid w:val="00EB4844"/>
    <w:rsid w:val="00EB4C15"/>
    <w:rsid w:val="00EB5F3C"/>
    <w:rsid w:val="00EB605B"/>
    <w:rsid w:val="00EB6B6A"/>
    <w:rsid w:val="00EB729C"/>
    <w:rsid w:val="00EB773C"/>
    <w:rsid w:val="00EC00FD"/>
    <w:rsid w:val="00EC4A53"/>
    <w:rsid w:val="00EC5529"/>
    <w:rsid w:val="00EC608C"/>
    <w:rsid w:val="00EC6801"/>
    <w:rsid w:val="00EC6F83"/>
    <w:rsid w:val="00EC76AE"/>
    <w:rsid w:val="00ED01BB"/>
    <w:rsid w:val="00ED01E3"/>
    <w:rsid w:val="00ED1735"/>
    <w:rsid w:val="00ED273F"/>
    <w:rsid w:val="00ED29F5"/>
    <w:rsid w:val="00ED2DCF"/>
    <w:rsid w:val="00ED4210"/>
    <w:rsid w:val="00ED42B5"/>
    <w:rsid w:val="00ED4385"/>
    <w:rsid w:val="00ED44C8"/>
    <w:rsid w:val="00ED46D3"/>
    <w:rsid w:val="00ED533B"/>
    <w:rsid w:val="00ED61AA"/>
    <w:rsid w:val="00ED71E9"/>
    <w:rsid w:val="00EE0470"/>
    <w:rsid w:val="00EE0943"/>
    <w:rsid w:val="00EE0A43"/>
    <w:rsid w:val="00EE117A"/>
    <w:rsid w:val="00EE2D46"/>
    <w:rsid w:val="00EE35EA"/>
    <w:rsid w:val="00EE402B"/>
    <w:rsid w:val="00EE4073"/>
    <w:rsid w:val="00EE4AAC"/>
    <w:rsid w:val="00EE4E4C"/>
    <w:rsid w:val="00EE4EF5"/>
    <w:rsid w:val="00EE53C1"/>
    <w:rsid w:val="00EE65D6"/>
    <w:rsid w:val="00EE72D1"/>
    <w:rsid w:val="00EF13D6"/>
    <w:rsid w:val="00EF21B8"/>
    <w:rsid w:val="00EF2261"/>
    <w:rsid w:val="00EF2EB2"/>
    <w:rsid w:val="00EF3AB3"/>
    <w:rsid w:val="00EF3F0D"/>
    <w:rsid w:val="00EF4503"/>
    <w:rsid w:val="00EF532A"/>
    <w:rsid w:val="00EF5697"/>
    <w:rsid w:val="00EF5829"/>
    <w:rsid w:val="00EF5980"/>
    <w:rsid w:val="00EF59DC"/>
    <w:rsid w:val="00EF62F2"/>
    <w:rsid w:val="00EF731D"/>
    <w:rsid w:val="00F00A21"/>
    <w:rsid w:val="00F00DBB"/>
    <w:rsid w:val="00F01367"/>
    <w:rsid w:val="00F01436"/>
    <w:rsid w:val="00F014E8"/>
    <w:rsid w:val="00F01D71"/>
    <w:rsid w:val="00F02AED"/>
    <w:rsid w:val="00F02B17"/>
    <w:rsid w:val="00F0369A"/>
    <w:rsid w:val="00F043A5"/>
    <w:rsid w:val="00F065B8"/>
    <w:rsid w:val="00F06695"/>
    <w:rsid w:val="00F06D62"/>
    <w:rsid w:val="00F06E2E"/>
    <w:rsid w:val="00F06FAB"/>
    <w:rsid w:val="00F10872"/>
    <w:rsid w:val="00F11080"/>
    <w:rsid w:val="00F11149"/>
    <w:rsid w:val="00F11498"/>
    <w:rsid w:val="00F14564"/>
    <w:rsid w:val="00F14602"/>
    <w:rsid w:val="00F15837"/>
    <w:rsid w:val="00F16236"/>
    <w:rsid w:val="00F16AAC"/>
    <w:rsid w:val="00F17891"/>
    <w:rsid w:val="00F17ADF"/>
    <w:rsid w:val="00F17D70"/>
    <w:rsid w:val="00F21279"/>
    <w:rsid w:val="00F212D0"/>
    <w:rsid w:val="00F21933"/>
    <w:rsid w:val="00F2244F"/>
    <w:rsid w:val="00F228F0"/>
    <w:rsid w:val="00F231B0"/>
    <w:rsid w:val="00F251B7"/>
    <w:rsid w:val="00F259B7"/>
    <w:rsid w:val="00F25BEC"/>
    <w:rsid w:val="00F25FCD"/>
    <w:rsid w:val="00F26231"/>
    <w:rsid w:val="00F27608"/>
    <w:rsid w:val="00F27AF7"/>
    <w:rsid w:val="00F27E0F"/>
    <w:rsid w:val="00F27E9F"/>
    <w:rsid w:val="00F3086D"/>
    <w:rsid w:val="00F3092A"/>
    <w:rsid w:val="00F30A3D"/>
    <w:rsid w:val="00F3152C"/>
    <w:rsid w:val="00F328B0"/>
    <w:rsid w:val="00F32926"/>
    <w:rsid w:val="00F3352E"/>
    <w:rsid w:val="00F33A66"/>
    <w:rsid w:val="00F35019"/>
    <w:rsid w:val="00F353AB"/>
    <w:rsid w:val="00F368C7"/>
    <w:rsid w:val="00F3799B"/>
    <w:rsid w:val="00F406F0"/>
    <w:rsid w:val="00F40D91"/>
    <w:rsid w:val="00F41E0F"/>
    <w:rsid w:val="00F4310C"/>
    <w:rsid w:val="00F44033"/>
    <w:rsid w:val="00F440BF"/>
    <w:rsid w:val="00F448ED"/>
    <w:rsid w:val="00F452B8"/>
    <w:rsid w:val="00F45741"/>
    <w:rsid w:val="00F45E57"/>
    <w:rsid w:val="00F46744"/>
    <w:rsid w:val="00F46959"/>
    <w:rsid w:val="00F4698D"/>
    <w:rsid w:val="00F46C80"/>
    <w:rsid w:val="00F47900"/>
    <w:rsid w:val="00F502F6"/>
    <w:rsid w:val="00F503A4"/>
    <w:rsid w:val="00F515D5"/>
    <w:rsid w:val="00F5186C"/>
    <w:rsid w:val="00F51D14"/>
    <w:rsid w:val="00F520AD"/>
    <w:rsid w:val="00F5216A"/>
    <w:rsid w:val="00F52318"/>
    <w:rsid w:val="00F533DF"/>
    <w:rsid w:val="00F53549"/>
    <w:rsid w:val="00F5384C"/>
    <w:rsid w:val="00F5466F"/>
    <w:rsid w:val="00F54910"/>
    <w:rsid w:val="00F54D46"/>
    <w:rsid w:val="00F55709"/>
    <w:rsid w:val="00F56537"/>
    <w:rsid w:val="00F568BA"/>
    <w:rsid w:val="00F56F59"/>
    <w:rsid w:val="00F6030C"/>
    <w:rsid w:val="00F604EE"/>
    <w:rsid w:val="00F60967"/>
    <w:rsid w:val="00F61247"/>
    <w:rsid w:val="00F61617"/>
    <w:rsid w:val="00F63A05"/>
    <w:rsid w:val="00F63BC6"/>
    <w:rsid w:val="00F651E9"/>
    <w:rsid w:val="00F6607B"/>
    <w:rsid w:val="00F66EC4"/>
    <w:rsid w:val="00F66F3B"/>
    <w:rsid w:val="00F672CF"/>
    <w:rsid w:val="00F6744A"/>
    <w:rsid w:val="00F67B0D"/>
    <w:rsid w:val="00F70354"/>
    <w:rsid w:val="00F704D1"/>
    <w:rsid w:val="00F709EC"/>
    <w:rsid w:val="00F71737"/>
    <w:rsid w:val="00F72E08"/>
    <w:rsid w:val="00F72F1C"/>
    <w:rsid w:val="00F733BE"/>
    <w:rsid w:val="00F73608"/>
    <w:rsid w:val="00F745BF"/>
    <w:rsid w:val="00F75ACF"/>
    <w:rsid w:val="00F76848"/>
    <w:rsid w:val="00F76BFF"/>
    <w:rsid w:val="00F76DB0"/>
    <w:rsid w:val="00F7700C"/>
    <w:rsid w:val="00F77072"/>
    <w:rsid w:val="00F7763E"/>
    <w:rsid w:val="00F811A0"/>
    <w:rsid w:val="00F81D74"/>
    <w:rsid w:val="00F81F27"/>
    <w:rsid w:val="00F82CD8"/>
    <w:rsid w:val="00F8313A"/>
    <w:rsid w:val="00F83251"/>
    <w:rsid w:val="00F83560"/>
    <w:rsid w:val="00F839C0"/>
    <w:rsid w:val="00F862F3"/>
    <w:rsid w:val="00F86429"/>
    <w:rsid w:val="00F86624"/>
    <w:rsid w:val="00F866F0"/>
    <w:rsid w:val="00F87FC5"/>
    <w:rsid w:val="00F902BD"/>
    <w:rsid w:val="00F90396"/>
    <w:rsid w:val="00F90454"/>
    <w:rsid w:val="00F909AD"/>
    <w:rsid w:val="00F909B0"/>
    <w:rsid w:val="00F9178E"/>
    <w:rsid w:val="00F9311A"/>
    <w:rsid w:val="00F93280"/>
    <w:rsid w:val="00F94352"/>
    <w:rsid w:val="00F950D5"/>
    <w:rsid w:val="00F96268"/>
    <w:rsid w:val="00F975FE"/>
    <w:rsid w:val="00F97823"/>
    <w:rsid w:val="00F97DE9"/>
    <w:rsid w:val="00FA03CA"/>
    <w:rsid w:val="00FA1F3E"/>
    <w:rsid w:val="00FA5174"/>
    <w:rsid w:val="00FA6CDA"/>
    <w:rsid w:val="00FA7211"/>
    <w:rsid w:val="00FA7F1A"/>
    <w:rsid w:val="00FB0D8E"/>
    <w:rsid w:val="00FB18BB"/>
    <w:rsid w:val="00FB1BDC"/>
    <w:rsid w:val="00FB215A"/>
    <w:rsid w:val="00FB257D"/>
    <w:rsid w:val="00FB423C"/>
    <w:rsid w:val="00FB53D9"/>
    <w:rsid w:val="00FB5EB0"/>
    <w:rsid w:val="00FB5EFA"/>
    <w:rsid w:val="00FB704C"/>
    <w:rsid w:val="00FB756D"/>
    <w:rsid w:val="00FB78C7"/>
    <w:rsid w:val="00FC08A6"/>
    <w:rsid w:val="00FC091A"/>
    <w:rsid w:val="00FC0927"/>
    <w:rsid w:val="00FC0CF4"/>
    <w:rsid w:val="00FC2742"/>
    <w:rsid w:val="00FC28AD"/>
    <w:rsid w:val="00FC2C9E"/>
    <w:rsid w:val="00FC2E79"/>
    <w:rsid w:val="00FC382F"/>
    <w:rsid w:val="00FC48E6"/>
    <w:rsid w:val="00FC516B"/>
    <w:rsid w:val="00FC5359"/>
    <w:rsid w:val="00FC5528"/>
    <w:rsid w:val="00FC6F11"/>
    <w:rsid w:val="00FD0579"/>
    <w:rsid w:val="00FD0702"/>
    <w:rsid w:val="00FD14DF"/>
    <w:rsid w:val="00FD165D"/>
    <w:rsid w:val="00FD1D76"/>
    <w:rsid w:val="00FD2287"/>
    <w:rsid w:val="00FD2A46"/>
    <w:rsid w:val="00FD3FBC"/>
    <w:rsid w:val="00FD4435"/>
    <w:rsid w:val="00FD51C6"/>
    <w:rsid w:val="00FD561B"/>
    <w:rsid w:val="00FD714D"/>
    <w:rsid w:val="00FD7B72"/>
    <w:rsid w:val="00FE0226"/>
    <w:rsid w:val="00FE0CBC"/>
    <w:rsid w:val="00FE0FF4"/>
    <w:rsid w:val="00FE128D"/>
    <w:rsid w:val="00FE1820"/>
    <w:rsid w:val="00FE1E3F"/>
    <w:rsid w:val="00FE2229"/>
    <w:rsid w:val="00FE24D0"/>
    <w:rsid w:val="00FE2713"/>
    <w:rsid w:val="00FE392E"/>
    <w:rsid w:val="00FE40A3"/>
    <w:rsid w:val="00FE557D"/>
    <w:rsid w:val="00FE6120"/>
    <w:rsid w:val="00FE69B5"/>
    <w:rsid w:val="00FE6DBF"/>
    <w:rsid w:val="00FE6DD7"/>
    <w:rsid w:val="00FE7A05"/>
    <w:rsid w:val="00FF03CF"/>
    <w:rsid w:val="00FF05D5"/>
    <w:rsid w:val="00FF0654"/>
    <w:rsid w:val="00FF0EBA"/>
    <w:rsid w:val="00FF1B23"/>
    <w:rsid w:val="00FF21FB"/>
    <w:rsid w:val="00FF26BE"/>
    <w:rsid w:val="00FF2B68"/>
    <w:rsid w:val="00FF2E16"/>
    <w:rsid w:val="00FF3360"/>
    <w:rsid w:val="00FF5F8F"/>
    <w:rsid w:val="00FF6A2D"/>
    <w:rsid w:val="0140C074"/>
    <w:rsid w:val="014D96C5"/>
    <w:rsid w:val="0159F2AD"/>
    <w:rsid w:val="02AD276A"/>
    <w:rsid w:val="02BF3831"/>
    <w:rsid w:val="02D08933"/>
    <w:rsid w:val="034E3A21"/>
    <w:rsid w:val="0394BB1B"/>
    <w:rsid w:val="03C2D55F"/>
    <w:rsid w:val="03C4687A"/>
    <w:rsid w:val="041C2884"/>
    <w:rsid w:val="04E02E5F"/>
    <w:rsid w:val="05EA2F56"/>
    <w:rsid w:val="062456F9"/>
    <w:rsid w:val="062D63D0"/>
    <w:rsid w:val="065A746D"/>
    <w:rsid w:val="06F5BE43"/>
    <w:rsid w:val="06FA560D"/>
    <w:rsid w:val="073177D0"/>
    <w:rsid w:val="077A4D4F"/>
    <w:rsid w:val="079007A3"/>
    <w:rsid w:val="07CBA853"/>
    <w:rsid w:val="07D73BC6"/>
    <w:rsid w:val="07F85FBF"/>
    <w:rsid w:val="080F4E4B"/>
    <w:rsid w:val="08754174"/>
    <w:rsid w:val="08CA9112"/>
    <w:rsid w:val="08FF34A4"/>
    <w:rsid w:val="09405847"/>
    <w:rsid w:val="09674FC6"/>
    <w:rsid w:val="09730C27"/>
    <w:rsid w:val="098D76CD"/>
    <w:rsid w:val="09A2FF47"/>
    <w:rsid w:val="09AB1CAB"/>
    <w:rsid w:val="09DF1769"/>
    <w:rsid w:val="0A8DB09C"/>
    <w:rsid w:val="0B30B6DD"/>
    <w:rsid w:val="0B539580"/>
    <w:rsid w:val="0B990143"/>
    <w:rsid w:val="0BF9B70C"/>
    <w:rsid w:val="0C25CC01"/>
    <w:rsid w:val="0D1E7640"/>
    <w:rsid w:val="0D82B452"/>
    <w:rsid w:val="0DE02A5D"/>
    <w:rsid w:val="0E21BF21"/>
    <w:rsid w:val="0E878B86"/>
    <w:rsid w:val="0F11724C"/>
    <w:rsid w:val="0F3BCCE2"/>
    <w:rsid w:val="0F8492DC"/>
    <w:rsid w:val="0FEF94C0"/>
    <w:rsid w:val="1077E8F9"/>
    <w:rsid w:val="10BB385E"/>
    <w:rsid w:val="10DBA0BE"/>
    <w:rsid w:val="11034567"/>
    <w:rsid w:val="1150B1CC"/>
    <w:rsid w:val="11616006"/>
    <w:rsid w:val="117D04C1"/>
    <w:rsid w:val="124D82CD"/>
    <w:rsid w:val="1279F692"/>
    <w:rsid w:val="12CBF25D"/>
    <w:rsid w:val="12D8B496"/>
    <w:rsid w:val="1438CB80"/>
    <w:rsid w:val="143CA27D"/>
    <w:rsid w:val="14BCFDA2"/>
    <w:rsid w:val="14C83381"/>
    <w:rsid w:val="1539FF66"/>
    <w:rsid w:val="153D96A3"/>
    <w:rsid w:val="1577CBF3"/>
    <w:rsid w:val="15B2DB2B"/>
    <w:rsid w:val="1620CBF3"/>
    <w:rsid w:val="164D1BE5"/>
    <w:rsid w:val="166B56D7"/>
    <w:rsid w:val="168999E9"/>
    <w:rsid w:val="16FEDD52"/>
    <w:rsid w:val="1754CAF8"/>
    <w:rsid w:val="1813F18A"/>
    <w:rsid w:val="188070D2"/>
    <w:rsid w:val="1883ED4A"/>
    <w:rsid w:val="18897F9C"/>
    <w:rsid w:val="193104C8"/>
    <w:rsid w:val="19579582"/>
    <w:rsid w:val="1AA7C564"/>
    <w:rsid w:val="1AAB66C0"/>
    <w:rsid w:val="1ACCD529"/>
    <w:rsid w:val="1ACE57C9"/>
    <w:rsid w:val="1AD30F53"/>
    <w:rsid w:val="1AF217F6"/>
    <w:rsid w:val="1B3ACB57"/>
    <w:rsid w:val="1B56DBA8"/>
    <w:rsid w:val="1B798E40"/>
    <w:rsid w:val="1B87887B"/>
    <w:rsid w:val="1BDC2285"/>
    <w:rsid w:val="1C8DE857"/>
    <w:rsid w:val="1CC944FA"/>
    <w:rsid w:val="1D0DA22A"/>
    <w:rsid w:val="1D3A51DE"/>
    <w:rsid w:val="1D559781"/>
    <w:rsid w:val="1D8F52E4"/>
    <w:rsid w:val="1DCE686E"/>
    <w:rsid w:val="1DFDCDB7"/>
    <w:rsid w:val="1EA5BCE9"/>
    <w:rsid w:val="1EA624F1"/>
    <w:rsid w:val="1EF8C40A"/>
    <w:rsid w:val="1F56E758"/>
    <w:rsid w:val="1FD0A053"/>
    <w:rsid w:val="2013F785"/>
    <w:rsid w:val="206C9D07"/>
    <w:rsid w:val="207B8037"/>
    <w:rsid w:val="20C1F026"/>
    <w:rsid w:val="214FBC9D"/>
    <w:rsid w:val="21A21992"/>
    <w:rsid w:val="2202F14E"/>
    <w:rsid w:val="227B470F"/>
    <w:rsid w:val="228AF7ED"/>
    <w:rsid w:val="22A7CE1B"/>
    <w:rsid w:val="2337FBC3"/>
    <w:rsid w:val="2338F5CC"/>
    <w:rsid w:val="23519966"/>
    <w:rsid w:val="235DA4FD"/>
    <w:rsid w:val="236BBAEB"/>
    <w:rsid w:val="237A54CE"/>
    <w:rsid w:val="239EC1AF"/>
    <w:rsid w:val="23E678EF"/>
    <w:rsid w:val="24439E7C"/>
    <w:rsid w:val="24B49FD1"/>
    <w:rsid w:val="24D69ADB"/>
    <w:rsid w:val="251BAD12"/>
    <w:rsid w:val="255A1361"/>
    <w:rsid w:val="258BFA8E"/>
    <w:rsid w:val="25974EF0"/>
    <w:rsid w:val="25B020FA"/>
    <w:rsid w:val="25CEE049"/>
    <w:rsid w:val="26155A2A"/>
    <w:rsid w:val="262A40AC"/>
    <w:rsid w:val="264190BD"/>
    <w:rsid w:val="264C5F8D"/>
    <w:rsid w:val="264CEFE7"/>
    <w:rsid w:val="26618FAF"/>
    <w:rsid w:val="268357D9"/>
    <w:rsid w:val="26E12C2C"/>
    <w:rsid w:val="26E365DB"/>
    <w:rsid w:val="26F9A6F1"/>
    <w:rsid w:val="2715F2A3"/>
    <w:rsid w:val="276950F6"/>
    <w:rsid w:val="27A5D5C4"/>
    <w:rsid w:val="27AE039F"/>
    <w:rsid w:val="27B9830C"/>
    <w:rsid w:val="27D41194"/>
    <w:rsid w:val="27D9D59B"/>
    <w:rsid w:val="28343895"/>
    <w:rsid w:val="2841CAA5"/>
    <w:rsid w:val="28957118"/>
    <w:rsid w:val="28DE067E"/>
    <w:rsid w:val="28EF1BB4"/>
    <w:rsid w:val="29B56C8E"/>
    <w:rsid w:val="29DDC438"/>
    <w:rsid w:val="29F7A60F"/>
    <w:rsid w:val="2A0CE35A"/>
    <w:rsid w:val="2A311419"/>
    <w:rsid w:val="2ADA3244"/>
    <w:rsid w:val="2AE783BF"/>
    <w:rsid w:val="2B1FF133"/>
    <w:rsid w:val="2BCFCBA4"/>
    <w:rsid w:val="2BE2A43F"/>
    <w:rsid w:val="2C6028A3"/>
    <w:rsid w:val="2C926E4E"/>
    <w:rsid w:val="2C9D9687"/>
    <w:rsid w:val="2CD69D7F"/>
    <w:rsid w:val="2EAEDDAD"/>
    <w:rsid w:val="2F23A619"/>
    <w:rsid w:val="2F8A303D"/>
    <w:rsid w:val="2F8CFE9B"/>
    <w:rsid w:val="2FBEC35A"/>
    <w:rsid w:val="30281D32"/>
    <w:rsid w:val="302D150E"/>
    <w:rsid w:val="309EFB0A"/>
    <w:rsid w:val="30E4BC8B"/>
    <w:rsid w:val="30EC22F9"/>
    <w:rsid w:val="3126D5D2"/>
    <w:rsid w:val="3130AC69"/>
    <w:rsid w:val="3160B5AC"/>
    <w:rsid w:val="317EFC4D"/>
    <w:rsid w:val="319FC2A2"/>
    <w:rsid w:val="31E6D016"/>
    <w:rsid w:val="321282EE"/>
    <w:rsid w:val="32BAFF6E"/>
    <w:rsid w:val="33887587"/>
    <w:rsid w:val="338A80ED"/>
    <w:rsid w:val="33CBB1D1"/>
    <w:rsid w:val="33F26741"/>
    <w:rsid w:val="34552351"/>
    <w:rsid w:val="345F4375"/>
    <w:rsid w:val="34BE973C"/>
    <w:rsid w:val="34C33E09"/>
    <w:rsid w:val="35110FA0"/>
    <w:rsid w:val="35137A3F"/>
    <w:rsid w:val="351786AE"/>
    <w:rsid w:val="353530F4"/>
    <w:rsid w:val="3545DA71"/>
    <w:rsid w:val="35548C7B"/>
    <w:rsid w:val="3573EC7F"/>
    <w:rsid w:val="35987A26"/>
    <w:rsid w:val="35C06A41"/>
    <w:rsid w:val="35D84E5D"/>
    <w:rsid w:val="36ABBA13"/>
    <w:rsid w:val="36FAE4FD"/>
    <w:rsid w:val="3736E86A"/>
    <w:rsid w:val="3835804F"/>
    <w:rsid w:val="38A9EEE8"/>
    <w:rsid w:val="38AFBC81"/>
    <w:rsid w:val="39009F46"/>
    <w:rsid w:val="3904F132"/>
    <w:rsid w:val="390D671A"/>
    <w:rsid w:val="39F246CF"/>
    <w:rsid w:val="3A246D82"/>
    <w:rsid w:val="3A60E104"/>
    <w:rsid w:val="3AFAFF5D"/>
    <w:rsid w:val="3B35B931"/>
    <w:rsid w:val="3B90388C"/>
    <w:rsid w:val="3B9CCF5B"/>
    <w:rsid w:val="3BF819D0"/>
    <w:rsid w:val="3C400773"/>
    <w:rsid w:val="3C947ECD"/>
    <w:rsid w:val="3CD8F8AB"/>
    <w:rsid w:val="3D097036"/>
    <w:rsid w:val="3D229893"/>
    <w:rsid w:val="3D4A49E6"/>
    <w:rsid w:val="3E68056C"/>
    <w:rsid w:val="3EB55BC1"/>
    <w:rsid w:val="3F143A80"/>
    <w:rsid w:val="3F3EC505"/>
    <w:rsid w:val="3F765CC2"/>
    <w:rsid w:val="3F865690"/>
    <w:rsid w:val="40E900E0"/>
    <w:rsid w:val="414D5EB7"/>
    <w:rsid w:val="41D8D4EA"/>
    <w:rsid w:val="41DAD18F"/>
    <w:rsid w:val="420A60E1"/>
    <w:rsid w:val="4240384F"/>
    <w:rsid w:val="428CDC4D"/>
    <w:rsid w:val="42AEB69D"/>
    <w:rsid w:val="42B83A15"/>
    <w:rsid w:val="42EDEE34"/>
    <w:rsid w:val="43735456"/>
    <w:rsid w:val="4489714F"/>
    <w:rsid w:val="44DB6259"/>
    <w:rsid w:val="44E327BA"/>
    <w:rsid w:val="44ED9FC7"/>
    <w:rsid w:val="44FAD266"/>
    <w:rsid w:val="452A2496"/>
    <w:rsid w:val="457F9055"/>
    <w:rsid w:val="45A75477"/>
    <w:rsid w:val="45AD0985"/>
    <w:rsid w:val="45C728F3"/>
    <w:rsid w:val="46038235"/>
    <w:rsid w:val="4610486A"/>
    <w:rsid w:val="4610BD4E"/>
    <w:rsid w:val="464B5B15"/>
    <w:rsid w:val="46A73594"/>
    <w:rsid w:val="46CF4A4B"/>
    <w:rsid w:val="4797E34F"/>
    <w:rsid w:val="47AF0AD4"/>
    <w:rsid w:val="47AFDDD0"/>
    <w:rsid w:val="47BD3DCC"/>
    <w:rsid w:val="481A18AD"/>
    <w:rsid w:val="48218B57"/>
    <w:rsid w:val="483B2055"/>
    <w:rsid w:val="484F50FA"/>
    <w:rsid w:val="495924C2"/>
    <w:rsid w:val="495FAB51"/>
    <w:rsid w:val="49DFF1A6"/>
    <w:rsid w:val="49FCC6C0"/>
    <w:rsid w:val="4A1EB2F6"/>
    <w:rsid w:val="4A3B0C1A"/>
    <w:rsid w:val="4A9087C4"/>
    <w:rsid w:val="4BB9E7E0"/>
    <w:rsid w:val="4BEA339E"/>
    <w:rsid w:val="4C15E0EE"/>
    <w:rsid w:val="4C61A9CC"/>
    <w:rsid w:val="4CB5183A"/>
    <w:rsid w:val="4CD96391"/>
    <w:rsid w:val="4CFE36DD"/>
    <w:rsid w:val="4D6CDD62"/>
    <w:rsid w:val="4DADC09B"/>
    <w:rsid w:val="4DB2A409"/>
    <w:rsid w:val="4DFCD41A"/>
    <w:rsid w:val="4E036607"/>
    <w:rsid w:val="4E12B567"/>
    <w:rsid w:val="4E849B1F"/>
    <w:rsid w:val="4EF32902"/>
    <w:rsid w:val="4F266D67"/>
    <w:rsid w:val="4FA9CF2B"/>
    <w:rsid w:val="4FC641B5"/>
    <w:rsid w:val="503EEE02"/>
    <w:rsid w:val="50754E87"/>
    <w:rsid w:val="508D2302"/>
    <w:rsid w:val="509D9382"/>
    <w:rsid w:val="50BC45DD"/>
    <w:rsid w:val="50FBE369"/>
    <w:rsid w:val="51117E21"/>
    <w:rsid w:val="5185ED9D"/>
    <w:rsid w:val="51AB95B8"/>
    <w:rsid w:val="51B4EBA8"/>
    <w:rsid w:val="52E54FB9"/>
    <w:rsid w:val="5319AB26"/>
    <w:rsid w:val="537E8814"/>
    <w:rsid w:val="5392B69B"/>
    <w:rsid w:val="545119CE"/>
    <w:rsid w:val="54AEB13E"/>
    <w:rsid w:val="54CA99A1"/>
    <w:rsid w:val="54F3121A"/>
    <w:rsid w:val="554EA29C"/>
    <w:rsid w:val="555703DE"/>
    <w:rsid w:val="5633B517"/>
    <w:rsid w:val="567F06DB"/>
    <w:rsid w:val="568CD283"/>
    <w:rsid w:val="572CB334"/>
    <w:rsid w:val="579C4978"/>
    <w:rsid w:val="57B0615A"/>
    <w:rsid w:val="57E95164"/>
    <w:rsid w:val="58005686"/>
    <w:rsid w:val="58AB332F"/>
    <w:rsid w:val="5910D607"/>
    <w:rsid w:val="59121C1C"/>
    <w:rsid w:val="5A22DABC"/>
    <w:rsid w:val="5A541C6A"/>
    <w:rsid w:val="5A93C5D2"/>
    <w:rsid w:val="5B0CE145"/>
    <w:rsid w:val="5CB7606C"/>
    <w:rsid w:val="5D061F69"/>
    <w:rsid w:val="5E122497"/>
    <w:rsid w:val="5E18E637"/>
    <w:rsid w:val="5E2327F3"/>
    <w:rsid w:val="5E23B599"/>
    <w:rsid w:val="5E23D0EA"/>
    <w:rsid w:val="5EC9A94E"/>
    <w:rsid w:val="5ED6D1A3"/>
    <w:rsid w:val="5F061CD4"/>
    <w:rsid w:val="600493A4"/>
    <w:rsid w:val="606A8427"/>
    <w:rsid w:val="60FEA5D1"/>
    <w:rsid w:val="61B9C616"/>
    <w:rsid w:val="61C2B213"/>
    <w:rsid w:val="61EEB471"/>
    <w:rsid w:val="62277A44"/>
    <w:rsid w:val="633BDC09"/>
    <w:rsid w:val="637FDF7C"/>
    <w:rsid w:val="63F132F0"/>
    <w:rsid w:val="64042777"/>
    <w:rsid w:val="646213A1"/>
    <w:rsid w:val="6470D147"/>
    <w:rsid w:val="64EDEAB5"/>
    <w:rsid w:val="65322B77"/>
    <w:rsid w:val="653CA1EE"/>
    <w:rsid w:val="654AD8B3"/>
    <w:rsid w:val="65FDDFD8"/>
    <w:rsid w:val="663B2546"/>
    <w:rsid w:val="6653292F"/>
    <w:rsid w:val="6683EA68"/>
    <w:rsid w:val="66BC3E06"/>
    <w:rsid w:val="66D1EC0D"/>
    <w:rsid w:val="670BDFBA"/>
    <w:rsid w:val="67A91A2C"/>
    <w:rsid w:val="67FF583F"/>
    <w:rsid w:val="680BEA99"/>
    <w:rsid w:val="680ECE27"/>
    <w:rsid w:val="68CDAE34"/>
    <w:rsid w:val="69421A16"/>
    <w:rsid w:val="69515C2D"/>
    <w:rsid w:val="698595FC"/>
    <w:rsid w:val="69A1E81B"/>
    <w:rsid w:val="69A7E1AE"/>
    <w:rsid w:val="69B674FF"/>
    <w:rsid w:val="69CD1715"/>
    <w:rsid w:val="6A764154"/>
    <w:rsid w:val="6B1B67BC"/>
    <w:rsid w:val="6B95C329"/>
    <w:rsid w:val="6BFB4763"/>
    <w:rsid w:val="6C3E3CA5"/>
    <w:rsid w:val="6C443BBC"/>
    <w:rsid w:val="6C6393FF"/>
    <w:rsid w:val="6C762C1A"/>
    <w:rsid w:val="6CD4CE00"/>
    <w:rsid w:val="6D2061C4"/>
    <w:rsid w:val="6D5C279E"/>
    <w:rsid w:val="6D61F688"/>
    <w:rsid w:val="6D901239"/>
    <w:rsid w:val="6E2CA07D"/>
    <w:rsid w:val="6E491754"/>
    <w:rsid w:val="6E672C85"/>
    <w:rsid w:val="6ECBA00E"/>
    <w:rsid w:val="6EFB397B"/>
    <w:rsid w:val="6F548ED6"/>
    <w:rsid w:val="6F9780BA"/>
    <w:rsid w:val="6FCA3411"/>
    <w:rsid w:val="702AD214"/>
    <w:rsid w:val="70E07C6D"/>
    <w:rsid w:val="71D8CA26"/>
    <w:rsid w:val="72494DA7"/>
    <w:rsid w:val="72BDB100"/>
    <w:rsid w:val="72CBBE5C"/>
    <w:rsid w:val="7302A0DB"/>
    <w:rsid w:val="73459CD2"/>
    <w:rsid w:val="7504410B"/>
    <w:rsid w:val="7519F20A"/>
    <w:rsid w:val="7520886A"/>
    <w:rsid w:val="7540C783"/>
    <w:rsid w:val="75B7DA52"/>
    <w:rsid w:val="76ACD094"/>
    <w:rsid w:val="76C91FC1"/>
    <w:rsid w:val="76E20A1B"/>
    <w:rsid w:val="774A4ED5"/>
    <w:rsid w:val="77E66908"/>
    <w:rsid w:val="77F21C24"/>
    <w:rsid w:val="78033F02"/>
    <w:rsid w:val="78099ADC"/>
    <w:rsid w:val="7856A6A9"/>
    <w:rsid w:val="79252440"/>
    <w:rsid w:val="796F2071"/>
    <w:rsid w:val="797D70EA"/>
    <w:rsid w:val="7A19AADD"/>
    <w:rsid w:val="7A3DFAF2"/>
    <w:rsid w:val="7A97F2AB"/>
    <w:rsid w:val="7AE4BBE5"/>
    <w:rsid w:val="7BB57B3E"/>
    <w:rsid w:val="7BFFCEF2"/>
    <w:rsid w:val="7C00DF36"/>
    <w:rsid w:val="7C324752"/>
    <w:rsid w:val="7C6147AE"/>
    <w:rsid w:val="7D6C9484"/>
    <w:rsid w:val="7D811DD6"/>
    <w:rsid w:val="7DB0BF34"/>
    <w:rsid w:val="7DF68E3D"/>
    <w:rsid w:val="7DFD0F1D"/>
    <w:rsid w:val="7E57605C"/>
    <w:rsid w:val="7E8D1F2A"/>
    <w:rsid w:val="7EA20F10"/>
    <w:rsid w:val="7EF2F7F0"/>
    <w:rsid w:val="7F726878"/>
    <w:rsid w:val="7FD438B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2"/>
    </o:shapelayout>
  </w:shapeDefaults>
  <w:decimalSymbol w:val="."/>
  <w:listSeparator w:val=","/>
  <w14:docId w14:val="6BBF7C6F"/>
  <w15:docId w15:val="{BEF7D67F-253A-4CCE-A1B9-4DEB460015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2F6E"/>
    <w:pPr>
      <w:spacing w:after="0" w:line="239" w:lineRule="auto"/>
      <w:ind w:left="10" w:hanging="10"/>
    </w:pPr>
    <w:rPr>
      <w:rFonts w:ascii="Calibri" w:eastAsia="Calibri" w:hAnsi="Calibri" w:cs="Calibri"/>
      <w:color w:val="000000"/>
    </w:rPr>
  </w:style>
  <w:style w:type="paragraph" w:styleId="Heading1">
    <w:name w:val="heading 1"/>
    <w:next w:val="Normal"/>
    <w:link w:val="Heading1Char"/>
    <w:uiPriority w:val="9"/>
    <w:qFormat/>
    <w:pPr>
      <w:keepNext/>
      <w:keepLines/>
      <w:numPr>
        <w:numId w:val="7"/>
      </w:numPr>
      <w:spacing w:after="0"/>
      <w:outlineLvl w:val="0"/>
    </w:pPr>
    <w:rPr>
      <w:rFonts w:ascii="Calibri" w:eastAsia="Calibri" w:hAnsi="Calibri" w:cs="Calibri"/>
      <w:b/>
      <w:color w:val="000000"/>
    </w:rPr>
  </w:style>
  <w:style w:type="paragraph" w:styleId="Heading2">
    <w:name w:val="heading 2"/>
    <w:basedOn w:val="Normal"/>
    <w:next w:val="Normal"/>
    <w:link w:val="Heading2Char"/>
    <w:uiPriority w:val="9"/>
    <w:semiHidden/>
    <w:unhideWhenUsed/>
    <w:qFormat/>
    <w:rsid w:val="00A1105C"/>
    <w:pPr>
      <w:keepNext/>
      <w:keepLines/>
      <w:numPr>
        <w:ilvl w:val="1"/>
        <w:numId w:val="7"/>
      </w:numPr>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8F4FB1"/>
    <w:pPr>
      <w:keepNext/>
      <w:keepLines/>
      <w:numPr>
        <w:ilvl w:val="2"/>
        <w:numId w:val="7"/>
      </w:numPr>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AA24E1"/>
    <w:pPr>
      <w:keepNext/>
      <w:keepLines/>
      <w:numPr>
        <w:ilvl w:val="3"/>
        <w:numId w:val="7"/>
      </w:numPr>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3055EC"/>
    <w:pPr>
      <w:keepNext/>
      <w:keepLines/>
      <w:numPr>
        <w:ilvl w:val="4"/>
        <w:numId w:val="7"/>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3055EC"/>
    <w:pPr>
      <w:keepNext/>
      <w:keepLines/>
      <w:numPr>
        <w:ilvl w:val="5"/>
        <w:numId w:val="7"/>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3055EC"/>
    <w:pPr>
      <w:keepNext/>
      <w:keepLines/>
      <w:numPr>
        <w:ilvl w:val="6"/>
        <w:numId w:val="7"/>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3055EC"/>
    <w:pPr>
      <w:keepNext/>
      <w:keepLines/>
      <w:numPr>
        <w:ilvl w:val="7"/>
        <w:numId w:val="7"/>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3055EC"/>
    <w:pPr>
      <w:keepNext/>
      <w:keepLines/>
      <w:numPr>
        <w:ilvl w:val="8"/>
        <w:numId w:val="7"/>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2"/>
    </w:rPr>
  </w:style>
  <w:style w:type="paragraph" w:styleId="NormalWeb">
    <w:name w:val="Normal (Web)"/>
    <w:aliases w:val="ClientStyle1,Style 148,Normal (Web) Char1,Normal (Web) Char Char,Normal (Web) Char1 Char Char Char,Normal (Web) Char Char Char Char Char,Normal (Web) Char Char1 Char,ClientStyle2,Style 28,ClientsStyle2,Char1,Normal (Web) Cha, Char1"/>
    <w:basedOn w:val="Normal"/>
    <w:link w:val="NormalWebChar"/>
    <w:uiPriority w:val="99"/>
    <w:unhideWhenUsed/>
    <w:qFormat/>
    <w:rsid w:val="007200B9"/>
    <w:pPr>
      <w:spacing w:before="100" w:beforeAutospacing="1" w:after="100" w:afterAutospacing="1" w:line="240" w:lineRule="auto"/>
      <w:ind w:left="0" w:firstLine="0"/>
    </w:pPr>
    <w:rPr>
      <w:rFonts w:ascii="Times New Roman" w:eastAsia="Times New Roman" w:hAnsi="Times New Roman" w:cs="Times New Roman"/>
      <w:color w:val="auto"/>
      <w:sz w:val="24"/>
      <w:szCs w:val="24"/>
    </w:rPr>
  </w:style>
  <w:style w:type="character" w:customStyle="1" w:styleId="location">
    <w:name w:val="location"/>
    <w:basedOn w:val="DefaultParagraphFont"/>
    <w:rsid w:val="007200B9"/>
  </w:style>
  <w:style w:type="character" w:styleId="Hyperlink">
    <w:name w:val="Hyperlink"/>
    <w:basedOn w:val="DefaultParagraphFont"/>
    <w:uiPriority w:val="99"/>
    <w:unhideWhenUsed/>
    <w:rsid w:val="007200B9"/>
    <w:rPr>
      <w:color w:val="0000FF"/>
      <w:u w:val="single"/>
    </w:rPr>
  </w:style>
  <w:style w:type="character" w:customStyle="1" w:styleId="person">
    <w:name w:val="person"/>
    <w:basedOn w:val="DefaultParagraphFont"/>
    <w:rsid w:val="007200B9"/>
  </w:style>
  <w:style w:type="character" w:styleId="CommentReference">
    <w:name w:val="annotation reference"/>
    <w:basedOn w:val="DefaultParagraphFont"/>
    <w:uiPriority w:val="99"/>
    <w:semiHidden/>
    <w:unhideWhenUsed/>
    <w:rsid w:val="00DC7CB8"/>
    <w:rPr>
      <w:sz w:val="16"/>
      <w:szCs w:val="16"/>
    </w:rPr>
  </w:style>
  <w:style w:type="paragraph" w:styleId="CommentText">
    <w:name w:val="annotation text"/>
    <w:basedOn w:val="Normal"/>
    <w:link w:val="CommentTextChar"/>
    <w:uiPriority w:val="99"/>
    <w:unhideWhenUsed/>
    <w:rsid w:val="00DC7CB8"/>
    <w:pPr>
      <w:spacing w:line="240" w:lineRule="auto"/>
    </w:pPr>
    <w:rPr>
      <w:sz w:val="20"/>
      <w:szCs w:val="20"/>
    </w:rPr>
  </w:style>
  <w:style w:type="character" w:customStyle="1" w:styleId="CommentTextChar">
    <w:name w:val="Comment Text Char"/>
    <w:basedOn w:val="DefaultParagraphFont"/>
    <w:link w:val="CommentText"/>
    <w:uiPriority w:val="99"/>
    <w:rsid w:val="00DC7CB8"/>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DC7CB8"/>
    <w:rPr>
      <w:b/>
      <w:bCs/>
    </w:rPr>
  </w:style>
  <w:style w:type="character" w:customStyle="1" w:styleId="CommentSubjectChar">
    <w:name w:val="Comment Subject Char"/>
    <w:basedOn w:val="CommentTextChar"/>
    <w:link w:val="CommentSubject"/>
    <w:uiPriority w:val="99"/>
    <w:semiHidden/>
    <w:rsid w:val="00DC7CB8"/>
    <w:rPr>
      <w:rFonts w:ascii="Calibri" w:eastAsia="Calibri" w:hAnsi="Calibri" w:cs="Calibri"/>
      <w:b/>
      <w:bCs/>
      <w:color w:val="000000"/>
      <w:sz w:val="20"/>
      <w:szCs w:val="20"/>
    </w:rPr>
  </w:style>
  <w:style w:type="paragraph" w:styleId="Revision">
    <w:name w:val="Revision"/>
    <w:hidden/>
    <w:uiPriority w:val="99"/>
    <w:semiHidden/>
    <w:rsid w:val="006A1EB0"/>
    <w:pPr>
      <w:spacing w:after="0" w:line="240" w:lineRule="auto"/>
    </w:pPr>
    <w:rPr>
      <w:rFonts w:ascii="Calibri" w:eastAsia="Calibri" w:hAnsi="Calibri" w:cs="Calibri"/>
      <w:color w:val="000000"/>
    </w:rPr>
  </w:style>
  <w:style w:type="paragraph" w:styleId="BalloonText">
    <w:name w:val="Balloon Text"/>
    <w:basedOn w:val="Normal"/>
    <w:link w:val="BalloonTextChar"/>
    <w:uiPriority w:val="99"/>
    <w:semiHidden/>
    <w:unhideWhenUsed/>
    <w:rsid w:val="0089789C"/>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789C"/>
    <w:rPr>
      <w:rFonts w:ascii="Segoe UI" w:eastAsia="Calibri" w:hAnsi="Segoe UI" w:cs="Segoe UI"/>
      <w:color w:val="000000"/>
      <w:sz w:val="18"/>
      <w:szCs w:val="18"/>
    </w:rPr>
  </w:style>
  <w:style w:type="character" w:customStyle="1" w:styleId="NormalWebChar">
    <w:name w:val="Normal (Web) Char"/>
    <w:aliases w:val="ClientStyle1 Char,Style 148 Char,Normal (Web) Char1 Char,Normal (Web) Char Char Char,Normal (Web) Char1 Char Char Char Char,Normal (Web) Char Char Char Char Char Char,Normal (Web) Char Char1 Char Char,ClientStyle2 Char,Style 28 Char"/>
    <w:link w:val="NormalWeb"/>
    <w:uiPriority w:val="99"/>
    <w:locked/>
    <w:rsid w:val="00882752"/>
    <w:rPr>
      <w:rFonts w:ascii="Times New Roman" w:eastAsia="Times New Roman" w:hAnsi="Times New Roman" w:cs="Times New Roman"/>
      <w:sz w:val="24"/>
      <w:szCs w:val="24"/>
    </w:rPr>
  </w:style>
  <w:style w:type="paragraph" w:customStyle="1" w:styleId="xmsonormal">
    <w:name w:val="x_msonormal"/>
    <w:basedOn w:val="Normal"/>
    <w:rsid w:val="00882752"/>
    <w:pPr>
      <w:spacing w:line="240" w:lineRule="auto"/>
      <w:ind w:left="0" w:firstLine="0"/>
    </w:pPr>
    <w:rPr>
      <w:rFonts w:eastAsiaTheme="minorHAnsi"/>
      <w:color w:val="auto"/>
    </w:rPr>
  </w:style>
  <w:style w:type="character" w:customStyle="1" w:styleId="Heading4Char">
    <w:name w:val="Heading 4 Char"/>
    <w:basedOn w:val="DefaultParagraphFont"/>
    <w:link w:val="Heading4"/>
    <w:uiPriority w:val="9"/>
    <w:semiHidden/>
    <w:rsid w:val="00AA24E1"/>
    <w:rPr>
      <w:rFonts w:asciiTheme="majorHAnsi" w:eastAsiaTheme="majorEastAsia" w:hAnsiTheme="majorHAnsi" w:cstheme="majorBidi"/>
      <w:i/>
      <w:iCs/>
      <w:color w:val="2F5496" w:themeColor="accent1" w:themeShade="BF"/>
    </w:rPr>
  </w:style>
  <w:style w:type="character" w:customStyle="1" w:styleId="term">
    <w:name w:val="term"/>
    <w:basedOn w:val="DefaultParagraphFont"/>
    <w:rsid w:val="00AA24E1"/>
  </w:style>
  <w:style w:type="character" w:styleId="FollowedHyperlink">
    <w:name w:val="FollowedHyperlink"/>
    <w:basedOn w:val="DefaultParagraphFont"/>
    <w:uiPriority w:val="99"/>
    <w:semiHidden/>
    <w:unhideWhenUsed/>
    <w:rsid w:val="006157B7"/>
    <w:rPr>
      <w:color w:val="954F72" w:themeColor="followedHyperlink"/>
      <w:u w:val="single"/>
    </w:rPr>
  </w:style>
  <w:style w:type="character" w:styleId="UnresolvedMention">
    <w:name w:val="Unresolved Mention"/>
    <w:basedOn w:val="DefaultParagraphFont"/>
    <w:uiPriority w:val="99"/>
    <w:semiHidden/>
    <w:unhideWhenUsed/>
    <w:rsid w:val="00A50728"/>
    <w:rPr>
      <w:color w:val="605E5C"/>
      <w:shd w:val="clear" w:color="auto" w:fill="E1DFDD"/>
    </w:rPr>
  </w:style>
  <w:style w:type="character" w:customStyle="1" w:styleId="file">
    <w:name w:val="file"/>
    <w:basedOn w:val="DefaultParagraphFont"/>
    <w:rsid w:val="008F79E0"/>
  </w:style>
  <w:style w:type="paragraph" w:styleId="ListParagraph">
    <w:name w:val="List Paragraph"/>
    <w:aliases w:val="Bullet List,FooterText,List Paragraph1,Colorful List Accent 1,Colorful List - Accent 11,Colorful List - Accent 111,MCHIP_list paragraph,Recommendation,Colorful List - Accent 1111,Colorful List - Accent 11111,Bullets,Odstavec se seznamem1"/>
    <w:basedOn w:val="Normal"/>
    <w:link w:val="ListParagraphChar"/>
    <w:uiPriority w:val="34"/>
    <w:qFormat/>
    <w:rsid w:val="001049A5"/>
    <w:pPr>
      <w:ind w:left="720"/>
      <w:contextualSpacing/>
    </w:pPr>
  </w:style>
  <w:style w:type="paragraph" w:styleId="Header">
    <w:name w:val="header"/>
    <w:basedOn w:val="Normal"/>
    <w:link w:val="HeaderChar"/>
    <w:uiPriority w:val="99"/>
    <w:unhideWhenUsed/>
    <w:rsid w:val="003D2DB7"/>
    <w:pPr>
      <w:tabs>
        <w:tab w:val="center" w:pos="4680"/>
        <w:tab w:val="right" w:pos="9360"/>
      </w:tabs>
      <w:spacing w:line="240" w:lineRule="auto"/>
    </w:pPr>
  </w:style>
  <w:style w:type="character" w:customStyle="1" w:styleId="HeaderChar">
    <w:name w:val="Header Char"/>
    <w:basedOn w:val="DefaultParagraphFont"/>
    <w:link w:val="Header"/>
    <w:uiPriority w:val="99"/>
    <w:rsid w:val="003D2DB7"/>
    <w:rPr>
      <w:rFonts w:ascii="Calibri" w:eastAsia="Calibri" w:hAnsi="Calibri" w:cs="Calibri"/>
      <w:color w:val="000000"/>
    </w:rPr>
  </w:style>
  <w:style w:type="paragraph" w:styleId="Footer">
    <w:name w:val="footer"/>
    <w:basedOn w:val="Normal"/>
    <w:link w:val="FooterChar"/>
    <w:uiPriority w:val="99"/>
    <w:unhideWhenUsed/>
    <w:rsid w:val="003D2DB7"/>
    <w:pPr>
      <w:tabs>
        <w:tab w:val="center" w:pos="4680"/>
        <w:tab w:val="right" w:pos="9360"/>
      </w:tabs>
      <w:spacing w:line="240" w:lineRule="auto"/>
    </w:pPr>
  </w:style>
  <w:style w:type="character" w:customStyle="1" w:styleId="FooterChar">
    <w:name w:val="Footer Char"/>
    <w:basedOn w:val="DefaultParagraphFont"/>
    <w:link w:val="Footer"/>
    <w:uiPriority w:val="99"/>
    <w:rsid w:val="003D2DB7"/>
    <w:rPr>
      <w:rFonts w:ascii="Calibri" w:eastAsia="Calibri" w:hAnsi="Calibri" w:cs="Calibri"/>
      <w:color w:val="000000"/>
    </w:rPr>
  </w:style>
  <w:style w:type="character" w:customStyle="1" w:styleId="s10">
    <w:name w:val="s10"/>
    <w:basedOn w:val="DefaultParagraphFont"/>
    <w:rsid w:val="00C86450"/>
  </w:style>
  <w:style w:type="character" w:customStyle="1" w:styleId="s12">
    <w:name w:val="s12"/>
    <w:basedOn w:val="DefaultParagraphFont"/>
    <w:rsid w:val="00C86450"/>
  </w:style>
  <w:style w:type="paragraph" w:customStyle="1" w:styleId="xmsonormal0">
    <w:name w:val="xmsonormal"/>
    <w:basedOn w:val="Normal"/>
    <w:rsid w:val="000D2402"/>
    <w:pPr>
      <w:spacing w:before="100" w:beforeAutospacing="1" w:after="100" w:afterAutospacing="1" w:line="240" w:lineRule="auto"/>
      <w:ind w:left="0" w:firstLine="0"/>
    </w:pPr>
    <w:rPr>
      <w:rFonts w:ascii="Times New Roman" w:eastAsia="Times New Roman" w:hAnsi="Times New Roman" w:cs="Times New Roman"/>
      <w:color w:val="auto"/>
      <w:sz w:val="24"/>
      <w:szCs w:val="24"/>
    </w:rPr>
  </w:style>
  <w:style w:type="character" w:styleId="Emphasis">
    <w:name w:val="Emphasis"/>
    <w:basedOn w:val="DefaultParagraphFont"/>
    <w:uiPriority w:val="20"/>
    <w:qFormat/>
    <w:rsid w:val="00A5475D"/>
    <w:rPr>
      <w:i/>
      <w:iCs/>
    </w:rPr>
  </w:style>
  <w:style w:type="character" w:styleId="Strong">
    <w:name w:val="Strong"/>
    <w:basedOn w:val="DefaultParagraphFont"/>
    <w:uiPriority w:val="22"/>
    <w:qFormat/>
    <w:rsid w:val="00E63435"/>
    <w:rPr>
      <w:b/>
      <w:bCs/>
    </w:rPr>
  </w:style>
  <w:style w:type="character" w:styleId="PlaceholderText">
    <w:name w:val="Placeholder Text"/>
    <w:basedOn w:val="DefaultParagraphFont"/>
    <w:uiPriority w:val="99"/>
    <w:semiHidden/>
    <w:rsid w:val="00F9178E"/>
    <w:rPr>
      <w:color w:val="808080"/>
    </w:rPr>
  </w:style>
  <w:style w:type="paragraph" w:styleId="BodyText">
    <w:name w:val="Body Text"/>
    <w:basedOn w:val="Normal"/>
    <w:link w:val="BodyTextChar"/>
    <w:uiPriority w:val="99"/>
    <w:unhideWhenUsed/>
    <w:rsid w:val="00C77DD8"/>
    <w:pPr>
      <w:spacing w:after="120"/>
    </w:pPr>
  </w:style>
  <w:style w:type="character" w:customStyle="1" w:styleId="BodyTextChar">
    <w:name w:val="Body Text Char"/>
    <w:basedOn w:val="DefaultParagraphFont"/>
    <w:link w:val="BodyText"/>
    <w:uiPriority w:val="99"/>
    <w:rsid w:val="00C77DD8"/>
    <w:rPr>
      <w:rFonts w:ascii="Calibri" w:eastAsia="Calibri" w:hAnsi="Calibri" w:cs="Calibri"/>
      <w:color w:val="000000"/>
    </w:rPr>
  </w:style>
  <w:style w:type="paragraph" w:styleId="FootnoteText">
    <w:name w:val="footnote text"/>
    <w:basedOn w:val="Normal"/>
    <w:link w:val="FootnoteTextChar"/>
    <w:uiPriority w:val="99"/>
    <w:semiHidden/>
    <w:unhideWhenUsed/>
    <w:rsid w:val="00A67AB9"/>
    <w:pPr>
      <w:spacing w:line="240" w:lineRule="auto"/>
    </w:pPr>
    <w:rPr>
      <w:sz w:val="20"/>
      <w:szCs w:val="20"/>
    </w:rPr>
  </w:style>
  <w:style w:type="character" w:customStyle="1" w:styleId="FootnoteTextChar">
    <w:name w:val="Footnote Text Char"/>
    <w:basedOn w:val="DefaultParagraphFont"/>
    <w:link w:val="FootnoteText"/>
    <w:uiPriority w:val="99"/>
    <w:semiHidden/>
    <w:rsid w:val="00A67AB9"/>
    <w:rPr>
      <w:rFonts w:ascii="Calibri" w:eastAsia="Calibri" w:hAnsi="Calibri" w:cs="Calibri"/>
      <w:color w:val="000000"/>
      <w:sz w:val="20"/>
      <w:szCs w:val="20"/>
    </w:rPr>
  </w:style>
  <w:style w:type="character" w:styleId="FootnoteReference">
    <w:name w:val="footnote reference"/>
    <w:basedOn w:val="DefaultParagraphFont"/>
    <w:uiPriority w:val="99"/>
    <w:semiHidden/>
    <w:unhideWhenUsed/>
    <w:rsid w:val="00A67AB9"/>
    <w:rPr>
      <w:vertAlign w:val="superscript"/>
    </w:rPr>
  </w:style>
  <w:style w:type="character" w:customStyle="1" w:styleId="ListParagraphChar">
    <w:name w:val="List Paragraph Char"/>
    <w:aliases w:val="Bullet List Char,FooterText Char,List Paragraph1 Char,Colorful List Accent 1 Char,Colorful List - Accent 11 Char,Colorful List - Accent 111 Char,MCHIP_list paragraph Char,Recommendation Char,Colorful List - Accent 1111 Char"/>
    <w:basedOn w:val="DefaultParagraphFont"/>
    <w:link w:val="ListParagraph"/>
    <w:uiPriority w:val="34"/>
    <w:locked/>
    <w:rsid w:val="00D35479"/>
    <w:rPr>
      <w:rFonts w:ascii="Calibri" w:eastAsia="Calibri" w:hAnsi="Calibri" w:cs="Calibri"/>
      <w:color w:val="000000"/>
    </w:rPr>
  </w:style>
  <w:style w:type="character" w:customStyle="1" w:styleId="hitorg">
    <w:name w:val="hit_org"/>
    <w:basedOn w:val="DefaultParagraphFont"/>
    <w:rsid w:val="00852AD8"/>
  </w:style>
  <w:style w:type="paragraph" w:customStyle="1" w:styleId="paragraph">
    <w:name w:val="paragraph"/>
    <w:basedOn w:val="Normal"/>
    <w:rsid w:val="007F2D15"/>
    <w:pPr>
      <w:spacing w:before="100" w:beforeAutospacing="1" w:after="100" w:afterAutospacing="1" w:line="240" w:lineRule="auto"/>
      <w:ind w:left="0" w:firstLine="0"/>
    </w:pPr>
    <w:rPr>
      <w:rFonts w:ascii="Times New Roman" w:eastAsia="Times New Roman" w:hAnsi="Times New Roman" w:cs="Times New Roman"/>
      <w:color w:val="auto"/>
      <w:sz w:val="24"/>
      <w:szCs w:val="24"/>
      <w14:ligatures w14:val="standardContextual"/>
    </w:rPr>
  </w:style>
  <w:style w:type="character" w:customStyle="1" w:styleId="padding-left-05">
    <w:name w:val="padding-left-05"/>
    <w:basedOn w:val="DefaultParagraphFont"/>
    <w:rsid w:val="00C536FC"/>
  </w:style>
  <w:style w:type="character" w:customStyle="1" w:styleId="Heading2Char">
    <w:name w:val="Heading 2 Char"/>
    <w:basedOn w:val="DefaultParagraphFont"/>
    <w:link w:val="Heading2"/>
    <w:uiPriority w:val="9"/>
    <w:semiHidden/>
    <w:rsid w:val="00A1105C"/>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8F4FB1"/>
    <w:rPr>
      <w:rFonts w:asciiTheme="majorHAnsi" w:eastAsiaTheme="majorEastAsia" w:hAnsiTheme="majorHAnsi" w:cstheme="majorBidi"/>
      <w:color w:val="1F3763" w:themeColor="accent1" w:themeShade="7F"/>
      <w:sz w:val="24"/>
      <w:szCs w:val="24"/>
    </w:rPr>
  </w:style>
  <w:style w:type="numbering" w:styleId="1ai">
    <w:name w:val="Outline List 1"/>
    <w:basedOn w:val="NoList"/>
    <w:uiPriority w:val="99"/>
    <w:semiHidden/>
    <w:unhideWhenUsed/>
    <w:rsid w:val="003055EC"/>
    <w:pPr>
      <w:numPr>
        <w:numId w:val="6"/>
      </w:numPr>
    </w:pPr>
  </w:style>
  <w:style w:type="character" w:customStyle="1" w:styleId="Heading5Char">
    <w:name w:val="Heading 5 Char"/>
    <w:basedOn w:val="DefaultParagraphFont"/>
    <w:link w:val="Heading5"/>
    <w:uiPriority w:val="9"/>
    <w:semiHidden/>
    <w:rsid w:val="003055EC"/>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3055EC"/>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3055EC"/>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3055EC"/>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3055EC"/>
    <w:rPr>
      <w:rFonts w:asciiTheme="majorHAnsi" w:eastAsiaTheme="majorEastAsia" w:hAnsiTheme="majorHAnsi" w:cstheme="majorBidi"/>
      <w:i/>
      <w:iCs/>
      <w:color w:val="272727" w:themeColor="text1" w:themeTint="D8"/>
      <w:sz w:val="21"/>
      <w:szCs w:val="21"/>
    </w:rPr>
  </w:style>
  <w:style w:type="numbering" w:styleId="ArticleSection">
    <w:name w:val="Outline List 3"/>
    <w:basedOn w:val="NoList"/>
    <w:uiPriority w:val="99"/>
    <w:semiHidden/>
    <w:unhideWhenUsed/>
    <w:rsid w:val="003055EC"/>
    <w:pPr>
      <w:numPr>
        <w:numId w:val="7"/>
      </w:numPr>
    </w:pPr>
  </w:style>
  <w:style w:type="paragraph" w:styleId="EndnoteText">
    <w:name w:val="endnote text"/>
    <w:basedOn w:val="Normal"/>
    <w:link w:val="EndnoteTextChar"/>
    <w:uiPriority w:val="99"/>
    <w:semiHidden/>
    <w:unhideWhenUsed/>
    <w:rsid w:val="00EB729C"/>
    <w:pPr>
      <w:spacing w:line="240" w:lineRule="auto"/>
    </w:pPr>
    <w:rPr>
      <w:sz w:val="20"/>
      <w:szCs w:val="20"/>
    </w:rPr>
  </w:style>
  <w:style w:type="character" w:customStyle="1" w:styleId="EndnoteTextChar">
    <w:name w:val="Endnote Text Char"/>
    <w:basedOn w:val="DefaultParagraphFont"/>
    <w:link w:val="EndnoteText"/>
    <w:uiPriority w:val="99"/>
    <w:semiHidden/>
    <w:rsid w:val="00EB729C"/>
    <w:rPr>
      <w:rFonts w:ascii="Calibri" w:eastAsia="Calibri" w:hAnsi="Calibri" w:cs="Calibri"/>
      <w:color w:val="000000"/>
      <w:sz w:val="20"/>
      <w:szCs w:val="20"/>
    </w:rPr>
  </w:style>
  <w:style w:type="character" w:styleId="EndnoteReference">
    <w:name w:val="endnote reference"/>
    <w:basedOn w:val="DefaultParagraphFont"/>
    <w:uiPriority w:val="99"/>
    <w:semiHidden/>
    <w:unhideWhenUsed/>
    <w:rsid w:val="00EB729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130840">
      <w:bodyDiv w:val="1"/>
      <w:marLeft w:val="0"/>
      <w:marRight w:val="0"/>
      <w:marTop w:val="0"/>
      <w:marBottom w:val="0"/>
      <w:divBdr>
        <w:top w:val="none" w:sz="0" w:space="0" w:color="auto"/>
        <w:left w:val="none" w:sz="0" w:space="0" w:color="auto"/>
        <w:bottom w:val="none" w:sz="0" w:space="0" w:color="auto"/>
        <w:right w:val="none" w:sz="0" w:space="0" w:color="auto"/>
      </w:divBdr>
    </w:div>
    <w:div w:id="137959845">
      <w:bodyDiv w:val="1"/>
      <w:marLeft w:val="0"/>
      <w:marRight w:val="0"/>
      <w:marTop w:val="0"/>
      <w:marBottom w:val="0"/>
      <w:divBdr>
        <w:top w:val="none" w:sz="0" w:space="0" w:color="auto"/>
        <w:left w:val="none" w:sz="0" w:space="0" w:color="auto"/>
        <w:bottom w:val="none" w:sz="0" w:space="0" w:color="auto"/>
        <w:right w:val="none" w:sz="0" w:space="0" w:color="auto"/>
      </w:divBdr>
    </w:div>
    <w:div w:id="225378631">
      <w:bodyDiv w:val="1"/>
      <w:marLeft w:val="0"/>
      <w:marRight w:val="0"/>
      <w:marTop w:val="0"/>
      <w:marBottom w:val="0"/>
      <w:divBdr>
        <w:top w:val="none" w:sz="0" w:space="0" w:color="auto"/>
        <w:left w:val="none" w:sz="0" w:space="0" w:color="auto"/>
        <w:bottom w:val="none" w:sz="0" w:space="0" w:color="auto"/>
        <w:right w:val="none" w:sz="0" w:space="0" w:color="auto"/>
      </w:divBdr>
    </w:div>
    <w:div w:id="253173475">
      <w:bodyDiv w:val="1"/>
      <w:marLeft w:val="0"/>
      <w:marRight w:val="0"/>
      <w:marTop w:val="0"/>
      <w:marBottom w:val="0"/>
      <w:divBdr>
        <w:top w:val="none" w:sz="0" w:space="0" w:color="auto"/>
        <w:left w:val="none" w:sz="0" w:space="0" w:color="auto"/>
        <w:bottom w:val="none" w:sz="0" w:space="0" w:color="auto"/>
        <w:right w:val="none" w:sz="0" w:space="0" w:color="auto"/>
      </w:divBdr>
    </w:div>
    <w:div w:id="348025691">
      <w:bodyDiv w:val="1"/>
      <w:marLeft w:val="0"/>
      <w:marRight w:val="0"/>
      <w:marTop w:val="0"/>
      <w:marBottom w:val="0"/>
      <w:divBdr>
        <w:top w:val="none" w:sz="0" w:space="0" w:color="auto"/>
        <w:left w:val="none" w:sz="0" w:space="0" w:color="auto"/>
        <w:bottom w:val="none" w:sz="0" w:space="0" w:color="auto"/>
        <w:right w:val="none" w:sz="0" w:space="0" w:color="auto"/>
      </w:divBdr>
      <w:divsChild>
        <w:div w:id="775446742">
          <w:marLeft w:val="720"/>
          <w:marRight w:val="0"/>
          <w:marTop w:val="120"/>
          <w:marBottom w:val="0"/>
          <w:divBdr>
            <w:top w:val="none" w:sz="0" w:space="0" w:color="auto"/>
            <w:left w:val="none" w:sz="0" w:space="0" w:color="auto"/>
            <w:bottom w:val="none" w:sz="0" w:space="0" w:color="auto"/>
            <w:right w:val="none" w:sz="0" w:space="0" w:color="auto"/>
          </w:divBdr>
        </w:div>
      </w:divsChild>
    </w:div>
    <w:div w:id="351879241">
      <w:bodyDiv w:val="1"/>
      <w:marLeft w:val="0"/>
      <w:marRight w:val="0"/>
      <w:marTop w:val="0"/>
      <w:marBottom w:val="0"/>
      <w:divBdr>
        <w:top w:val="none" w:sz="0" w:space="0" w:color="auto"/>
        <w:left w:val="none" w:sz="0" w:space="0" w:color="auto"/>
        <w:bottom w:val="none" w:sz="0" w:space="0" w:color="auto"/>
        <w:right w:val="none" w:sz="0" w:space="0" w:color="auto"/>
      </w:divBdr>
    </w:div>
    <w:div w:id="359093621">
      <w:bodyDiv w:val="1"/>
      <w:marLeft w:val="0"/>
      <w:marRight w:val="0"/>
      <w:marTop w:val="0"/>
      <w:marBottom w:val="0"/>
      <w:divBdr>
        <w:top w:val="none" w:sz="0" w:space="0" w:color="auto"/>
        <w:left w:val="none" w:sz="0" w:space="0" w:color="auto"/>
        <w:bottom w:val="none" w:sz="0" w:space="0" w:color="auto"/>
        <w:right w:val="none" w:sz="0" w:space="0" w:color="auto"/>
      </w:divBdr>
    </w:div>
    <w:div w:id="431779209">
      <w:bodyDiv w:val="1"/>
      <w:marLeft w:val="0"/>
      <w:marRight w:val="0"/>
      <w:marTop w:val="0"/>
      <w:marBottom w:val="0"/>
      <w:divBdr>
        <w:top w:val="none" w:sz="0" w:space="0" w:color="auto"/>
        <w:left w:val="none" w:sz="0" w:space="0" w:color="auto"/>
        <w:bottom w:val="none" w:sz="0" w:space="0" w:color="auto"/>
        <w:right w:val="none" w:sz="0" w:space="0" w:color="auto"/>
      </w:divBdr>
    </w:div>
    <w:div w:id="490370037">
      <w:bodyDiv w:val="1"/>
      <w:marLeft w:val="0"/>
      <w:marRight w:val="0"/>
      <w:marTop w:val="0"/>
      <w:marBottom w:val="0"/>
      <w:divBdr>
        <w:top w:val="none" w:sz="0" w:space="0" w:color="auto"/>
        <w:left w:val="none" w:sz="0" w:space="0" w:color="auto"/>
        <w:bottom w:val="none" w:sz="0" w:space="0" w:color="auto"/>
        <w:right w:val="none" w:sz="0" w:space="0" w:color="auto"/>
      </w:divBdr>
      <w:divsChild>
        <w:div w:id="1936090013">
          <w:marLeft w:val="360"/>
          <w:marRight w:val="0"/>
          <w:marTop w:val="0"/>
          <w:marBottom w:val="0"/>
          <w:divBdr>
            <w:top w:val="none" w:sz="0" w:space="0" w:color="auto"/>
            <w:left w:val="none" w:sz="0" w:space="0" w:color="auto"/>
            <w:bottom w:val="none" w:sz="0" w:space="0" w:color="auto"/>
            <w:right w:val="none" w:sz="0" w:space="0" w:color="auto"/>
          </w:divBdr>
        </w:div>
      </w:divsChild>
    </w:div>
    <w:div w:id="507333174">
      <w:bodyDiv w:val="1"/>
      <w:marLeft w:val="0"/>
      <w:marRight w:val="0"/>
      <w:marTop w:val="0"/>
      <w:marBottom w:val="0"/>
      <w:divBdr>
        <w:top w:val="none" w:sz="0" w:space="0" w:color="auto"/>
        <w:left w:val="none" w:sz="0" w:space="0" w:color="auto"/>
        <w:bottom w:val="none" w:sz="0" w:space="0" w:color="auto"/>
        <w:right w:val="none" w:sz="0" w:space="0" w:color="auto"/>
      </w:divBdr>
    </w:div>
    <w:div w:id="560869553">
      <w:bodyDiv w:val="1"/>
      <w:marLeft w:val="0"/>
      <w:marRight w:val="0"/>
      <w:marTop w:val="0"/>
      <w:marBottom w:val="0"/>
      <w:divBdr>
        <w:top w:val="none" w:sz="0" w:space="0" w:color="auto"/>
        <w:left w:val="none" w:sz="0" w:space="0" w:color="auto"/>
        <w:bottom w:val="none" w:sz="0" w:space="0" w:color="auto"/>
        <w:right w:val="none" w:sz="0" w:space="0" w:color="auto"/>
      </w:divBdr>
    </w:div>
    <w:div w:id="594556921">
      <w:bodyDiv w:val="1"/>
      <w:marLeft w:val="0"/>
      <w:marRight w:val="0"/>
      <w:marTop w:val="0"/>
      <w:marBottom w:val="0"/>
      <w:divBdr>
        <w:top w:val="none" w:sz="0" w:space="0" w:color="auto"/>
        <w:left w:val="none" w:sz="0" w:space="0" w:color="auto"/>
        <w:bottom w:val="none" w:sz="0" w:space="0" w:color="auto"/>
        <w:right w:val="none" w:sz="0" w:space="0" w:color="auto"/>
      </w:divBdr>
    </w:div>
    <w:div w:id="631600153">
      <w:bodyDiv w:val="1"/>
      <w:marLeft w:val="0"/>
      <w:marRight w:val="0"/>
      <w:marTop w:val="0"/>
      <w:marBottom w:val="0"/>
      <w:divBdr>
        <w:top w:val="none" w:sz="0" w:space="0" w:color="auto"/>
        <w:left w:val="none" w:sz="0" w:space="0" w:color="auto"/>
        <w:bottom w:val="none" w:sz="0" w:space="0" w:color="auto"/>
        <w:right w:val="none" w:sz="0" w:space="0" w:color="auto"/>
      </w:divBdr>
    </w:div>
    <w:div w:id="656886499">
      <w:bodyDiv w:val="1"/>
      <w:marLeft w:val="0"/>
      <w:marRight w:val="0"/>
      <w:marTop w:val="0"/>
      <w:marBottom w:val="0"/>
      <w:divBdr>
        <w:top w:val="none" w:sz="0" w:space="0" w:color="auto"/>
        <w:left w:val="none" w:sz="0" w:space="0" w:color="auto"/>
        <w:bottom w:val="none" w:sz="0" w:space="0" w:color="auto"/>
        <w:right w:val="none" w:sz="0" w:space="0" w:color="auto"/>
      </w:divBdr>
      <w:divsChild>
        <w:div w:id="540245441">
          <w:marLeft w:val="360"/>
          <w:marRight w:val="0"/>
          <w:marTop w:val="120"/>
          <w:marBottom w:val="0"/>
          <w:divBdr>
            <w:top w:val="none" w:sz="0" w:space="0" w:color="auto"/>
            <w:left w:val="none" w:sz="0" w:space="0" w:color="auto"/>
            <w:bottom w:val="none" w:sz="0" w:space="0" w:color="auto"/>
            <w:right w:val="none" w:sz="0" w:space="0" w:color="auto"/>
          </w:divBdr>
        </w:div>
        <w:div w:id="687875788">
          <w:marLeft w:val="360"/>
          <w:marRight w:val="0"/>
          <w:marTop w:val="120"/>
          <w:marBottom w:val="0"/>
          <w:divBdr>
            <w:top w:val="none" w:sz="0" w:space="0" w:color="auto"/>
            <w:left w:val="none" w:sz="0" w:space="0" w:color="auto"/>
            <w:bottom w:val="none" w:sz="0" w:space="0" w:color="auto"/>
            <w:right w:val="none" w:sz="0" w:space="0" w:color="auto"/>
          </w:divBdr>
        </w:div>
        <w:div w:id="1901552281">
          <w:marLeft w:val="360"/>
          <w:marRight w:val="0"/>
          <w:marTop w:val="120"/>
          <w:marBottom w:val="0"/>
          <w:divBdr>
            <w:top w:val="none" w:sz="0" w:space="0" w:color="auto"/>
            <w:left w:val="none" w:sz="0" w:space="0" w:color="auto"/>
            <w:bottom w:val="none" w:sz="0" w:space="0" w:color="auto"/>
            <w:right w:val="none" w:sz="0" w:space="0" w:color="auto"/>
          </w:divBdr>
        </w:div>
      </w:divsChild>
    </w:div>
    <w:div w:id="739791034">
      <w:bodyDiv w:val="1"/>
      <w:marLeft w:val="0"/>
      <w:marRight w:val="0"/>
      <w:marTop w:val="0"/>
      <w:marBottom w:val="0"/>
      <w:divBdr>
        <w:top w:val="none" w:sz="0" w:space="0" w:color="auto"/>
        <w:left w:val="none" w:sz="0" w:space="0" w:color="auto"/>
        <w:bottom w:val="none" w:sz="0" w:space="0" w:color="auto"/>
        <w:right w:val="none" w:sz="0" w:space="0" w:color="auto"/>
      </w:divBdr>
    </w:div>
    <w:div w:id="745305894">
      <w:bodyDiv w:val="1"/>
      <w:marLeft w:val="0"/>
      <w:marRight w:val="0"/>
      <w:marTop w:val="0"/>
      <w:marBottom w:val="0"/>
      <w:divBdr>
        <w:top w:val="none" w:sz="0" w:space="0" w:color="auto"/>
        <w:left w:val="none" w:sz="0" w:space="0" w:color="auto"/>
        <w:bottom w:val="none" w:sz="0" w:space="0" w:color="auto"/>
        <w:right w:val="none" w:sz="0" w:space="0" w:color="auto"/>
      </w:divBdr>
    </w:div>
    <w:div w:id="813177063">
      <w:bodyDiv w:val="1"/>
      <w:marLeft w:val="0"/>
      <w:marRight w:val="0"/>
      <w:marTop w:val="0"/>
      <w:marBottom w:val="0"/>
      <w:divBdr>
        <w:top w:val="none" w:sz="0" w:space="0" w:color="auto"/>
        <w:left w:val="none" w:sz="0" w:space="0" w:color="auto"/>
        <w:bottom w:val="none" w:sz="0" w:space="0" w:color="auto"/>
        <w:right w:val="none" w:sz="0" w:space="0" w:color="auto"/>
      </w:divBdr>
    </w:div>
    <w:div w:id="854608919">
      <w:bodyDiv w:val="1"/>
      <w:marLeft w:val="0"/>
      <w:marRight w:val="0"/>
      <w:marTop w:val="0"/>
      <w:marBottom w:val="0"/>
      <w:divBdr>
        <w:top w:val="none" w:sz="0" w:space="0" w:color="auto"/>
        <w:left w:val="none" w:sz="0" w:space="0" w:color="auto"/>
        <w:bottom w:val="none" w:sz="0" w:space="0" w:color="auto"/>
        <w:right w:val="none" w:sz="0" w:space="0" w:color="auto"/>
      </w:divBdr>
    </w:div>
    <w:div w:id="871302632">
      <w:bodyDiv w:val="1"/>
      <w:marLeft w:val="0"/>
      <w:marRight w:val="0"/>
      <w:marTop w:val="0"/>
      <w:marBottom w:val="0"/>
      <w:divBdr>
        <w:top w:val="none" w:sz="0" w:space="0" w:color="auto"/>
        <w:left w:val="none" w:sz="0" w:space="0" w:color="auto"/>
        <w:bottom w:val="none" w:sz="0" w:space="0" w:color="auto"/>
        <w:right w:val="none" w:sz="0" w:space="0" w:color="auto"/>
      </w:divBdr>
    </w:div>
    <w:div w:id="895043165">
      <w:bodyDiv w:val="1"/>
      <w:marLeft w:val="0"/>
      <w:marRight w:val="0"/>
      <w:marTop w:val="0"/>
      <w:marBottom w:val="0"/>
      <w:divBdr>
        <w:top w:val="none" w:sz="0" w:space="0" w:color="auto"/>
        <w:left w:val="none" w:sz="0" w:space="0" w:color="auto"/>
        <w:bottom w:val="none" w:sz="0" w:space="0" w:color="auto"/>
        <w:right w:val="none" w:sz="0" w:space="0" w:color="auto"/>
      </w:divBdr>
    </w:div>
    <w:div w:id="909076829">
      <w:bodyDiv w:val="1"/>
      <w:marLeft w:val="0"/>
      <w:marRight w:val="0"/>
      <w:marTop w:val="0"/>
      <w:marBottom w:val="0"/>
      <w:divBdr>
        <w:top w:val="none" w:sz="0" w:space="0" w:color="auto"/>
        <w:left w:val="none" w:sz="0" w:space="0" w:color="auto"/>
        <w:bottom w:val="none" w:sz="0" w:space="0" w:color="auto"/>
        <w:right w:val="none" w:sz="0" w:space="0" w:color="auto"/>
      </w:divBdr>
    </w:div>
    <w:div w:id="945700783">
      <w:bodyDiv w:val="1"/>
      <w:marLeft w:val="0"/>
      <w:marRight w:val="0"/>
      <w:marTop w:val="0"/>
      <w:marBottom w:val="0"/>
      <w:divBdr>
        <w:top w:val="none" w:sz="0" w:space="0" w:color="auto"/>
        <w:left w:val="none" w:sz="0" w:space="0" w:color="auto"/>
        <w:bottom w:val="none" w:sz="0" w:space="0" w:color="auto"/>
        <w:right w:val="none" w:sz="0" w:space="0" w:color="auto"/>
      </w:divBdr>
      <w:divsChild>
        <w:div w:id="1211460060">
          <w:marLeft w:val="0"/>
          <w:marRight w:val="0"/>
          <w:marTop w:val="300"/>
          <w:marBottom w:val="0"/>
          <w:divBdr>
            <w:top w:val="none" w:sz="0" w:space="0" w:color="auto"/>
            <w:left w:val="none" w:sz="0" w:space="0" w:color="auto"/>
            <w:bottom w:val="none" w:sz="0" w:space="0" w:color="auto"/>
            <w:right w:val="none" w:sz="0" w:space="0" w:color="auto"/>
          </w:divBdr>
          <w:divsChild>
            <w:div w:id="909189674">
              <w:marLeft w:val="0"/>
              <w:marRight w:val="0"/>
              <w:marTop w:val="0"/>
              <w:marBottom w:val="0"/>
              <w:divBdr>
                <w:top w:val="none" w:sz="0" w:space="0" w:color="auto"/>
                <w:left w:val="none" w:sz="0" w:space="0" w:color="auto"/>
                <w:bottom w:val="none" w:sz="0" w:space="0" w:color="auto"/>
                <w:right w:val="none" w:sz="0" w:space="0" w:color="auto"/>
              </w:divBdr>
            </w:div>
          </w:divsChild>
        </w:div>
        <w:div w:id="2045205021">
          <w:marLeft w:val="0"/>
          <w:marRight w:val="0"/>
          <w:marTop w:val="0"/>
          <w:marBottom w:val="0"/>
          <w:divBdr>
            <w:top w:val="none" w:sz="0" w:space="0" w:color="auto"/>
            <w:left w:val="none" w:sz="0" w:space="0" w:color="auto"/>
            <w:bottom w:val="none" w:sz="0" w:space="0" w:color="auto"/>
            <w:right w:val="none" w:sz="0" w:space="0" w:color="auto"/>
          </w:divBdr>
        </w:div>
        <w:div w:id="2062749470">
          <w:marLeft w:val="0"/>
          <w:marRight w:val="0"/>
          <w:marTop w:val="0"/>
          <w:marBottom w:val="240"/>
          <w:divBdr>
            <w:top w:val="single" w:sz="6" w:space="12" w:color="CCCCCC"/>
            <w:left w:val="single" w:sz="6" w:space="12" w:color="CCCCCC"/>
            <w:bottom w:val="single" w:sz="6" w:space="12" w:color="CCCCCC"/>
            <w:right w:val="single" w:sz="6" w:space="12" w:color="CCCCCC"/>
          </w:divBdr>
          <w:divsChild>
            <w:div w:id="1335373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1325188">
      <w:bodyDiv w:val="1"/>
      <w:marLeft w:val="0"/>
      <w:marRight w:val="0"/>
      <w:marTop w:val="0"/>
      <w:marBottom w:val="0"/>
      <w:divBdr>
        <w:top w:val="none" w:sz="0" w:space="0" w:color="auto"/>
        <w:left w:val="none" w:sz="0" w:space="0" w:color="auto"/>
        <w:bottom w:val="none" w:sz="0" w:space="0" w:color="auto"/>
        <w:right w:val="none" w:sz="0" w:space="0" w:color="auto"/>
      </w:divBdr>
    </w:div>
    <w:div w:id="1015038741">
      <w:bodyDiv w:val="1"/>
      <w:marLeft w:val="0"/>
      <w:marRight w:val="0"/>
      <w:marTop w:val="0"/>
      <w:marBottom w:val="0"/>
      <w:divBdr>
        <w:top w:val="none" w:sz="0" w:space="0" w:color="auto"/>
        <w:left w:val="none" w:sz="0" w:space="0" w:color="auto"/>
        <w:bottom w:val="none" w:sz="0" w:space="0" w:color="auto"/>
        <w:right w:val="none" w:sz="0" w:space="0" w:color="auto"/>
      </w:divBdr>
    </w:div>
    <w:div w:id="1095247477">
      <w:bodyDiv w:val="1"/>
      <w:marLeft w:val="0"/>
      <w:marRight w:val="0"/>
      <w:marTop w:val="0"/>
      <w:marBottom w:val="0"/>
      <w:divBdr>
        <w:top w:val="none" w:sz="0" w:space="0" w:color="auto"/>
        <w:left w:val="none" w:sz="0" w:space="0" w:color="auto"/>
        <w:bottom w:val="none" w:sz="0" w:space="0" w:color="auto"/>
        <w:right w:val="none" w:sz="0" w:space="0" w:color="auto"/>
      </w:divBdr>
    </w:div>
    <w:div w:id="1100834834">
      <w:bodyDiv w:val="1"/>
      <w:marLeft w:val="0"/>
      <w:marRight w:val="0"/>
      <w:marTop w:val="0"/>
      <w:marBottom w:val="0"/>
      <w:divBdr>
        <w:top w:val="none" w:sz="0" w:space="0" w:color="auto"/>
        <w:left w:val="none" w:sz="0" w:space="0" w:color="auto"/>
        <w:bottom w:val="none" w:sz="0" w:space="0" w:color="auto"/>
        <w:right w:val="none" w:sz="0" w:space="0" w:color="auto"/>
      </w:divBdr>
    </w:div>
    <w:div w:id="1108891150">
      <w:bodyDiv w:val="1"/>
      <w:marLeft w:val="0"/>
      <w:marRight w:val="0"/>
      <w:marTop w:val="0"/>
      <w:marBottom w:val="0"/>
      <w:divBdr>
        <w:top w:val="none" w:sz="0" w:space="0" w:color="auto"/>
        <w:left w:val="none" w:sz="0" w:space="0" w:color="auto"/>
        <w:bottom w:val="none" w:sz="0" w:space="0" w:color="auto"/>
        <w:right w:val="none" w:sz="0" w:space="0" w:color="auto"/>
      </w:divBdr>
    </w:div>
    <w:div w:id="1126504289">
      <w:bodyDiv w:val="1"/>
      <w:marLeft w:val="0"/>
      <w:marRight w:val="0"/>
      <w:marTop w:val="0"/>
      <w:marBottom w:val="0"/>
      <w:divBdr>
        <w:top w:val="none" w:sz="0" w:space="0" w:color="auto"/>
        <w:left w:val="none" w:sz="0" w:space="0" w:color="auto"/>
        <w:bottom w:val="none" w:sz="0" w:space="0" w:color="auto"/>
        <w:right w:val="none" w:sz="0" w:space="0" w:color="auto"/>
      </w:divBdr>
    </w:div>
    <w:div w:id="1133526826">
      <w:bodyDiv w:val="1"/>
      <w:marLeft w:val="0"/>
      <w:marRight w:val="0"/>
      <w:marTop w:val="0"/>
      <w:marBottom w:val="0"/>
      <w:divBdr>
        <w:top w:val="none" w:sz="0" w:space="0" w:color="auto"/>
        <w:left w:val="none" w:sz="0" w:space="0" w:color="auto"/>
        <w:bottom w:val="none" w:sz="0" w:space="0" w:color="auto"/>
        <w:right w:val="none" w:sz="0" w:space="0" w:color="auto"/>
      </w:divBdr>
    </w:div>
    <w:div w:id="1134710133">
      <w:bodyDiv w:val="1"/>
      <w:marLeft w:val="0"/>
      <w:marRight w:val="0"/>
      <w:marTop w:val="0"/>
      <w:marBottom w:val="0"/>
      <w:divBdr>
        <w:top w:val="none" w:sz="0" w:space="0" w:color="auto"/>
        <w:left w:val="none" w:sz="0" w:space="0" w:color="auto"/>
        <w:bottom w:val="none" w:sz="0" w:space="0" w:color="auto"/>
        <w:right w:val="none" w:sz="0" w:space="0" w:color="auto"/>
      </w:divBdr>
    </w:div>
    <w:div w:id="1143349777">
      <w:bodyDiv w:val="1"/>
      <w:marLeft w:val="0"/>
      <w:marRight w:val="0"/>
      <w:marTop w:val="0"/>
      <w:marBottom w:val="0"/>
      <w:divBdr>
        <w:top w:val="none" w:sz="0" w:space="0" w:color="auto"/>
        <w:left w:val="none" w:sz="0" w:space="0" w:color="auto"/>
        <w:bottom w:val="none" w:sz="0" w:space="0" w:color="auto"/>
        <w:right w:val="none" w:sz="0" w:space="0" w:color="auto"/>
      </w:divBdr>
    </w:div>
    <w:div w:id="1172531934">
      <w:bodyDiv w:val="1"/>
      <w:marLeft w:val="0"/>
      <w:marRight w:val="0"/>
      <w:marTop w:val="0"/>
      <w:marBottom w:val="0"/>
      <w:divBdr>
        <w:top w:val="none" w:sz="0" w:space="0" w:color="auto"/>
        <w:left w:val="none" w:sz="0" w:space="0" w:color="auto"/>
        <w:bottom w:val="none" w:sz="0" w:space="0" w:color="auto"/>
        <w:right w:val="none" w:sz="0" w:space="0" w:color="auto"/>
      </w:divBdr>
      <w:divsChild>
        <w:div w:id="96173144">
          <w:marLeft w:val="1267"/>
          <w:marRight w:val="0"/>
          <w:marTop w:val="0"/>
          <w:marBottom w:val="120"/>
          <w:divBdr>
            <w:top w:val="none" w:sz="0" w:space="0" w:color="auto"/>
            <w:left w:val="none" w:sz="0" w:space="0" w:color="auto"/>
            <w:bottom w:val="none" w:sz="0" w:space="0" w:color="auto"/>
            <w:right w:val="none" w:sz="0" w:space="0" w:color="auto"/>
          </w:divBdr>
        </w:div>
        <w:div w:id="150298496">
          <w:marLeft w:val="1267"/>
          <w:marRight w:val="0"/>
          <w:marTop w:val="0"/>
          <w:marBottom w:val="120"/>
          <w:divBdr>
            <w:top w:val="none" w:sz="0" w:space="0" w:color="auto"/>
            <w:left w:val="none" w:sz="0" w:space="0" w:color="auto"/>
            <w:bottom w:val="none" w:sz="0" w:space="0" w:color="auto"/>
            <w:right w:val="none" w:sz="0" w:space="0" w:color="auto"/>
          </w:divBdr>
        </w:div>
        <w:div w:id="501899595">
          <w:marLeft w:val="1166"/>
          <w:marRight w:val="0"/>
          <w:marTop w:val="0"/>
          <w:marBottom w:val="120"/>
          <w:divBdr>
            <w:top w:val="none" w:sz="0" w:space="0" w:color="auto"/>
            <w:left w:val="none" w:sz="0" w:space="0" w:color="auto"/>
            <w:bottom w:val="none" w:sz="0" w:space="0" w:color="auto"/>
            <w:right w:val="none" w:sz="0" w:space="0" w:color="auto"/>
          </w:divBdr>
        </w:div>
        <w:div w:id="614294033">
          <w:marLeft w:val="432"/>
          <w:marRight w:val="0"/>
          <w:marTop w:val="0"/>
          <w:marBottom w:val="240"/>
          <w:divBdr>
            <w:top w:val="none" w:sz="0" w:space="0" w:color="auto"/>
            <w:left w:val="none" w:sz="0" w:space="0" w:color="auto"/>
            <w:bottom w:val="none" w:sz="0" w:space="0" w:color="auto"/>
            <w:right w:val="none" w:sz="0" w:space="0" w:color="auto"/>
          </w:divBdr>
        </w:div>
        <w:div w:id="717894274">
          <w:marLeft w:val="1267"/>
          <w:marRight w:val="0"/>
          <w:marTop w:val="0"/>
          <w:marBottom w:val="120"/>
          <w:divBdr>
            <w:top w:val="none" w:sz="0" w:space="0" w:color="auto"/>
            <w:left w:val="none" w:sz="0" w:space="0" w:color="auto"/>
            <w:bottom w:val="none" w:sz="0" w:space="0" w:color="auto"/>
            <w:right w:val="none" w:sz="0" w:space="0" w:color="auto"/>
          </w:divBdr>
        </w:div>
        <w:div w:id="1980067863">
          <w:marLeft w:val="1166"/>
          <w:marRight w:val="0"/>
          <w:marTop w:val="0"/>
          <w:marBottom w:val="360"/>
          <w:divBdr>
            <w:top w:val="none" w:sz="0" w:space="0" w:color="auto"/>
            <w:left w:val="none" w:sz="0" w:space="0" w:color="auto"/>
            <w:bottom w:val="none" w:sz="0" w:space="0" w:color="auto"/>
            <w:right w:val="none" w:sz="0" w:space="0" w:color="auto"/>
          </w:divBdr>
        </w:div>
        <w:div w:id="2093431410">
          <w:marLeft w:val="1267"/>
          <w:marRight w:val="0"/>
          <w:marTop w:val="0"/>
          <w:marBottom w:val="360"/>
          <w:divBdr>
            <w:top w:val="none" w:sz="0" w:space="0" w:color="auto"/>
            <w:left w:val="none" w:sz="0" w:space="0" w:color="auto"/>
            <w:bottom w:val="none" w:sz="0" w:space="0" w:color="auto"/>
            <w:right w:val="none" w:sz="0" w:space="0" w:color="auto"/>
          </w:divBdr>
        </w:div>
        <w:div w:id="2139452587">
          <w:marLeft w:val="432"/>
          <w:marRight w:val="0"/>
          <w:marTop w:val="0"/>
          <w:marBottom w:val="240"/>
          <w:divBdr>
            <w:top w:val="none" w:sz="0" w:space="0" w:color="auto"/>
            <w:left w:val="none" w:sz="0" w:space="0" w:color="auto"/>
            <w:bottom w:val="none" w:sz="0" w:space="0" w:color="auto"/>
            <w:right w:val="none" w:sz="0" w:space="0" w:color="auto"/>
          </w:divBdr>
        </w:div>
      </w:divsChild>
    </w:div>
    <w:div w:id="1216234715">
      <w:bodyDiv w:val="1"/>
      <w:marLeft w:val="0"/>
      <w:marRight w:val="0"/>
      <w:marTop w:val="0"/>
      <w:marBottom w:val="0"/>
      <w:divBdr>
        <w:top w:val="none" w:sz="0" w:space="0" w:color="auto"/>
        <w:left w:val="none" w:sz="0" w:space="0" w:color="auto"/>
        <w:bottom w:val="none" w:sz="0" w:space="0" w:color="auto"/>
        <w:right w:val="none" w:sz="0" w:space="0" w:color="auto"/>
      </w:divBdr>
      <w:divsChild>
        <w:div w:id="614824251">
          <w:marLeft w:val="389"/>
          <w:marRight w:val="0"/>
          <w:marTop w:val="0"/>
          <w:marBottom w:val="160"/>
          <w:divBdr>
            <w:top w:val="none" w:sz="0" w:space="0" w:color="auto"/>
            <w:left w:val="none" w:sz="0" w:space="0" w:color="auto"/>
            <w:bottom w:val="none" w:sz="0" w:space="0" w:color="auto"/>
            <w:right w:val="none" w:sz="0" w:space="0" w:color="auto"/>
          </w:divBdr>
        </w:div>
        <w:div w:id="851839205">
          <w:marLeft w:val="994"/>
          <w:marRight w:val="0"/>
          <w:marTop w:val="0"/>
          <w:marBottom w:val="160"/>
          <w:divBdr>
            <w:top w:val="none" w:sz="0" w:space="0" w:color="auto"/>
            <w:left w:val="none" w:sz="0" w:space="0" w:color="auto"/>
            <w:bottom w:val="none" w:sz="0" w:space="0" w:color="auto"/>
            <w:right w:val="none" w:sz="0" w:space="0" w:color="auto"/>
          </w:divBdr>
        </w:div>
        <w:div w:id="1116022070">
          <w:marLeft w:val="994"/>
          <w:marRight w:val="0"/>
          <w:marTop w:val="0"/>
          <w:marBottom w:val="160"/>
          <w:divBdr>
            <w:top w:val="none" w:sz="0" w:space="0" w:color="auto"/>
            <w:left w:val="none" w:sz="0" w:space="0" w:color="auto"/>
            <w:bottom w:val="none" w:sz="0" w:space="0" w:color="auto"/>
            <w:right w:val="none" w:sz="0" w:space="0" w:color="auto"/>
          </w:divBdr>
        </w:div>
        <w:div w:id="1266966194">
          <w:marLeft w:val="389"/>
          <w:marRight w:val="0"/>
          <w:marTop w:val="0"/>
          <w:marBottom w:val="160"/>
          <w:divBdr>
            <w:top w:val="none" w:sz="0" w:space="0" w:color="auto"/>
            <w:left w:val="none" w:sz="0" w:space="0" w:color="auto"/>
            <w:bottom w:val="none" w:sz="0" w:space="0" w:color="auto"/>
            <w:right w:val="none" w:sz="0" w:space="0" w:color="auto"/>
          </w:divBdr>
        </w:div>
        <w:div w:id="1378971491">
          <w:marLeft w:val="389"/>
          <w:marRight w:val="0"/>
          <w:marTop w:val="0"/>
          <w:marBottom w:val="160"/>
          <w:divBdr>
            <w:top w:val="none" w:sz="0" w:space="0" w:color="auto"/>
            <w:left w:val="none" w:sz="0" w:space="0" w:color="auto"/>
            <w:bottom w:val="none" w:sz="0" w:space="0" w:color="auto"/>
            <w:right w:val="none" w:sz="0" w:space="0" w:color="auto"/>
          </w:divBdr>
        </w:div>
        <w:div w:id="1418864739">
          <w:marLeft w:val="389"/>
          <w:marRight w:val="0"/>
          <w:marTop w:val="0"/>
          <w:marBottom w:val="160"/>
          <w:divBdr>
            <w:top w:val="none" w:sz="0" w:space="0" w:color="auto"/>
            <w:left w:val="none" w:sz="0" w:space="0" w:color="auto"/>
            <w:bottom w:val="none" w:sz="0" w:space="0" w:color="auto"/>
            <w:right w:val="none" w:sz="0" w:space="0" w:color="auto"/>
          </w:divBdr>
        </w:div>
        <w:div w:id="2083790622">
          <w:marLeft w:val="389"/>
          <w:marRight w:val="0"/>
          <w:marTop w:val="0"/>
          <w:marBottom w:val="160"/>
          <w:divBdr>
            <w:top w:val="none" w:sz="0" w:space="0" w:color="auto"/>
            <w:left w:val="none" w:sz="0" w:space="0" w:color="auto"/>
            <w:bottom w:val="none" w:sz="0" w:space="0" w:color="auto"/>
            <w:right w:val="none" w:sz="0" w:space="0" w:color="auto"/>
          </w:divBdr>
        </w:div>
      </w:divsChild>
    </w:div>
    <w:div w:id="1254127852">
      <w:bodyDiv w:val="1"/>
      <w:marLeft w:val="0"/>
      <w:marRight w:val="0"/>
      <w:marTop w:val="0"/>
      <w:marBottom w:val="0"/>
      <w:divBdr>
        <w:top w:val="none" w:sz="0" w:space="0" w:color="auto"/>
        <w:left w:val="none" w:sz="0" w:space="0" w:color="auto"/>
        <w:bottom w:val="none" w:sz="0" w:space="0" w:color="auto"/>
        <w:right w:val="none" w:sz="0" w:space="0" w:color="auto"/>
      </w:divBdr>
    </w:div>
    <w:div w:id="1289122414">
      <w:bodyDiv w:val="1"/>
      <w:marLeft w:val="0"/>
      <w:marRight w:val="0"/>
      <w:marTop w:val="0"/>
      <w:marBottom w:val="0"/>
      <w:divBdr>
        <w:top w:val="none" w:sz="0" w:space="0" w:color="auto"/>
        <w:left w:val="none" w:sz="0" w:space="0" w:color="auto"/>
        <w:bottom w:val="none" w:sz="0" w:space="0" w:color="auto"/>
        <w:right w:val="none" w:sz="0" w:space="0" w:color="auto"/>
      </w:divBdr>
    </w:div>
    <w:div w:id="1327825990">
      <w:bodyDiv w:val="1"/>
      <w:marLeft w:val="0"/>
      <w:marRight w:val="0"/>
      <w:marTop w:val="0"/>
      <w:marBottom w:val="0"/>
      <w:divBdr>
        <w:top w:val="none" w:sz="0" w:space="0" w:color="auto"/>
        <w:left w:val="none" w:sz="0" w:space="0" w:color="auto"/>
        <w:bottom w:val="none" w:sz="0" w:space="0" w:color="auto"/>
        <w:right w:val="none" w:sz="0" w:space="0" w:color="auto"/>
      </w:divBdr>
    </w:div>
    <w:div w:id="1425106948">
      <w:bodyDiv w:val="1"/>
      <w:marLeft w:val="0"/>
      <w:marRight w:val="0"/>
      <w:marTop w:val="0"/>
      <w:marBottom w:val="0"/>
      <w:divBdr>
        <w:top w:val="none" w:sz="0" w:space="0" w:color="auto"/>
        <w:left w:val="none" w:sz="0" w:space="0" w:color="auto"/>
        <w:bottom w:val="none" w:sz="0" w:space="0" w:color="auto"/>
        <w:right w:val="none" w:sz="0" w:space="0" w:color="auto"/>
      </w:divBdr>
    </w:div>
    <w:div w:id="1435400361">
      <w:bodyDiv w:val="1"/>
      <w:marLeft w:val="0"/>
      <w:marRight w:val="0"/>
      <w:marTop w:val="0"/>
      <w:marBottom w:val="0"/>
      <w:divBdr>
        <w:top w:val="none" w:sz="0" w:space="0" w:color="auto"/>
        <w:left w:val="none" w:sz="0" w:space="0" w:color="auto"/>
        <w:bottom w:val="none" w:sz="0" w:space="0" w:color="auto"/>
        <w:right w:val="none" w:sz="0" w:space="0" w:color="auto"/>
      </w:divBdr>
    </w:div>
    <w:div w:id="1438673939">
      <w:bodyDiv w:val="1"/>
      <w:marLeft w:val="0"/>
      <w:marRight w:val="0"/>
      <w:marTop w:val="0"/>
      <w:marBottom w:val="0"/>
      <w:divBdr>
        <w:top w:val="none" w:sz="0" w:space="0" w:color="auto"/>
        <w:left w:val="none" w:sz="0" w:space="0" w:color="auto"/>
        <w:bottom w:val="none" w:sz="0" w:space="0" w:color="auto"/>
        <w:right w:val="none" w:sz="0" w:space="0" w:color="auto"/>
      </w:divBdr>
    </w:div>
    <w:div w:id="1469322791">
      <w:bodyDiv w:val="1"/>
      <w:marLeft w:val="0"/>
      <w:marRight w:val="0"/>
      <w:marTop w:val="0"/>
      <w:marBottom w:val="0"/>
      <w:divBdr>
        <w:top w:val="none" w:sz="0" w:space="0" w:color="auto"/>
        <w:left w:val="none" w:sz="0" w:space="0" w:color="auto"/>
        <w:bottom w:val="none" w:sz="0" w:space="0" w:color="auto"/>
        <w:right w:val="none" w:sz="0" w:space="0" w:color="auto"/>
      </w:divBdr>
    </w:div>
    <w:div w:id="1514147844">
      <w:bodyDiv w:val="1"/>
      <w:marLeft w:val="0"/>
      <w:marRight w:val="0"/>
      <w:marTop w:val="0"/>
      <w:marBottom w:val="0"/>
      <w:divBdr>
        <w:top w:val="none" w:sz="0" w:space="0" w:color="auto"/>
        <w:left w:val="none" w:sz="0" w:space="0" w:color="auto"/>
        <w:bottom w:val="none" w:sz="0" w:space="0" w:color="auto"/>
        <w:right w:val="none" w:sz="0" w:space="0" w:color="auto"/>
      </w:divBdr>
    </w:div>
    <w:div w:id="1520389891">
      <w:bodyDiv w:val="1"/>
      <w:marLeft w:val="0"/>
      <w:marRight w:val="0"/>
      <w:marTop w:val="0"/>
      <w:marBottom w:val="0"/>
      <w:divBdr>
        <w:top w:val="none" w:sz="0" w:space="0" w:color="auto"/>
        <w:left w:val="none" w:sz="0" w:space="0" w:color="auto"/>
        <w:bottom w:val="none" w:sz="0" w:space="0" w:color="auto"/>
        <w:right w:val="none" w:sz="0" w:space="0" w:color="auto"/>
      </w:divBdr>
    </w:div>
    <w:div w:id="1559585261">
      <w:bodyDiv w:val="1"/>
      <w:marLeft w:val="0"/>
      <w:marRight w:val="0"/>
      <w:marTop w:val="0"/>
      <w:marBottom w:val="0"/>
      <w:divBdr>
        <w:top w:val="none" w:sz="0" w:space="0" w:color="auto"/>
        <w:left w:val="none" w:sz="0" w:space="0" w:color="auto"/>
        <w:bottom w:val="none" w:sz="0" w:space="0" w:color="auto"/>
        <w:right w:val="none" w:sz="0" w:space="0" w:color="auto"/>
      </w:divBdr>
    </w:div>
    <w:div w:id="1603686419">
      <w:bodyDiv w:val="1"/>
      <w:marLeft w:val="0"/>
      <w:marRight w:val="0"/>
      <w:marTop w:val="0"/>
      <w:marBottom w:val="0"/>
      <w:divBdr>
        <w:top w:val="none" w:sz="0" w:space="0" w:color="auto"/>
        <w:left w:val="none" w:sz="0" w:space="0" w:color="auto"/>
        <w:bottom w:val="none" w:sz="0" w:space="0" w:color="auto"/>
        <w:right w:val="none" w:sz="0" w:space="0" w:color="auto"/>
      </w:divBdr>
    </w:div>
    <w:div w:id="1740857480">
      <w:bodyDiv w:val="1"/>
      <w:marLeft w:val="0"/>
      <w:marRight w:val="0"/>
      <w:marTop w:val="0"/>
      <w:marBottom w:val="0"/>
      <w:divBdr>
        <w:top w:val="none" w:sz="0" w:space="0" w:color="auto"/>
        <w:left w:val="none" w:sz="0" w:space="0" w:color="auto"/>
        <w:bottom w:val="none" w:sz="0" w:space="0" w:color="auto"/>
        <w:right w:val="none" w:sz="0" w:space="0" w:color="auto"/>
      </w:divBdr>
      <w:divsChild>
        <w:div w:id="139810468">
          <w:marLeft w:val="1267"/>
          <w:marRight w:val="0"/>
          <w:marTop w:val="0"/>
          <w:marBottom w:val="360"/>
          <w:divBdr>
            <w:top w:val="none" w:sz="0" w:space="0" w:color="auto"/>
            <w:left w:val="none" w:sz="0" w:space="0" w:color="auto"/>
            <w:bottom w:val="none" w:sz="0" w:space="0" w:color="auto"/>
            <w:right w:val="none" w:sz="0" w:space="0" w:color="auto"/>
          </w:divBdr>
        </w:div>
        <w:div w:id="220867185">
          <w:marLeft w:val="1267"/>
          <w:marRight w:val="0"/>
          <w:marTop w:val="0"/>
          <w:marBottom w:val="120"/>
          <w:divBdr>
            <w:top w:val="none" w:sz="0" w:space="0" w:color="auto"/>
            <w:left w:val="none" w:sz="0" w:space="0" w:color="auto"/>
            <w:bottom w:val="none" w:sz="0" w:space="0" w:color="auto"/>
            <w:right w:val="none" w:sz="0" w:space="0" w:color="auto"/>
          </w:divBdr>
        </w:div>
        <w:div w:id="223683357">
          <w:marLeft w:val="1267"/>
          <w:marRight w:val="0"/>
          <w:marTop w:val="0"/>
          <w:marBottom w:val="120"/>
          <w:divBdr>
            <w:top w:val="none" w:sz="0" w:space="0" w:color="auto"/>
            <w:left w:val="none" w:sz="0" w:space="0" w:color="auto"/>
            <w:bottom w:val="none" w:sz="0" w:space="0" w:color="auto"/>
            <w:right w:val="none" w:sz="0" w:space="0" w:color="auto"/>
          </w:divBdr>
        </w:div>
        <w:div w:id="663514760">
          <w:marLeft w:val="432"/>
          <w:marRight w:val="0"/>
          <w:marTop w:val="0"/>
          <w:marBottom w:val="240"/>
          <w:divBdr>
            <w:top w:val="none" w:sz="0" w:space="0" w:color="auto"/>
            <w:left w:val="none" w:sz="0" w:space="0" w:color="auto"/>
            <w:bottom w:val="none" w:sz="0" w:space="0" w:color="auto"/>
            <w:right w:val="none" w:sz="0" w:space="0" w:color="auto"/>
          </w:divBdr>
        </w:div>
        <w:div w:id="962031978">
          <w:marLeft w:val="1166"/>
          <w:marRight w:val="0"/>
          <w:marTop w:val="0"/>
          <w:marBottom w:val="360"/>
          <w:divBdr>
            <w:top w:val="none" w:sz="0" w:space="0" w:color="auto"/>
            <w:left w:val="none" w:sz="0" w:space="0" w:color="auto"/>
            <w:bottom w:val="none" w:sz="0" w:space="0" w:color="auto"/>
            <w:right w:val="none" w:sz="0" w:space="0" w:color="auto"/>
          </w:divBdr>
        </w:div>
        <w:div w:id="1043215920">
          <w:marLeft w:val="432"/>
          <w:marRight w:val="0"/>
          <w:marTop w:val="0"/>
          <w:marBottom w:val="240"/>
          <w:divBdr>
            <w:top w:val="none" w:sz="0" w:space="0" w:color="auto"/>
            <w:left w:val="none" w:sz="0" w:space="0" w:color="auto"/>
            <w:bottom w:val="none" w:sz="0" w:space="0" w:color="auto"/>
            <w:right w:val="none" w:sz="0" w:space="0" w:color="auto"/>
          </w:divBdr>
        </w:div>
        <w:div w:id="1102802375">
          <w:marLeft w:val="1166"/>
          <w:marRight w:val="0"/>
          <w:marTop w:val="0"/>
          <w:marBottom w:val="120"/>
          <w:divBdr>
            <w:top w:val="none" w:sz="0" w:space="0" w:color="auto"/>
            <w:left w:val="none" w:sz="0" w:space="0" w:color="auto"/>
            <w:bottom w:val="none" w:sz="0" w:space="0" w:color="auto"/>
            <w:right w:val="none" w:sz="0" w:space="0" w:color="auto"/>
          </w:divBdr>
        </w:div>
        <w:div w:id="1193350004">
          <w:marLeft w:val="432"/>
          <w:marRight w:val="0"/>
          <w:marTop w:val="0"/>
          <w:marBottom w:val="240"/>
          <w:divBdr>
            <w:top w:val="none" w:sz="0" w:space="0" w:color="auto"/>
            <w:left w:val="none" w:sz="0" w:space="0" w:color="auto"/>
            <w:bottom w:val="none" w:sz="0" w:space="0" w:color="auto"/>
            <w:right w:val="none" w:sz="0" w:space="0" w:color="auto"/>
          </w:divBdr>
        </w:div>
        <w:div w:id="1362824799">
          <w:marLeft w:val="432"/>
          <w:marRight w:val="0"/>
          <w:marTop w:val="0"/>
          <w:marBottom w:val="0"/>
          <w:divBdr>
            <w:top w:val="none" w:sz="0" w:space="0" w:color="auto"/>
            <w:left w:val="none" w:sz="0" w:space="0" w:color="auto"/>
            <w:bottom w:val="none" w:sz="0" w:space="0" w:color="auto"/>
            <w:right w:val="none" w:sz="0" w:space="0" w:color="auto"/>
          </w:divBdr>
        </w:div>
        <w:div w:id="1424063356">
          <w:marLeft w:val="1166"/>
          <w:marRight w:val="0"/>
          <w:marTop w:val="0"/>
          <w:marBottom w:val="120"/>
          <w:divBdr>
            <w:top w:val="none" w:sz="0" w:space="0" w:color="auto"/>
            <w:left w:val="none" w:sz="0" w:space="0" w:color="auto"/>
            <w:bottom w:val="none" w:sz="0" w:space="0" w:color="auto"/>
            <w:right w:val="none" w:sz="0" w:space="0" w:color="auto"/>
          </w:divBdr>
        </w:div>
        <w:div w:id="1727410642">
          <w:marLeft w:val="1267"/>
          <w:marRight w:val="0"/>
          <w:marTop w:val="0"/>
          <w:marBottom w:val="120"/>
          <w:divBdr>
            <w:top w:val="none" w:sz="0" w:space="0" w:color="auto"/>
            <w:left w:val="none" w:sz="0" w:space="0" w:color="auto"/>
            <w:bottom w:val="none" w:sz="0" w:space="0" w:color="auto"/>
            <w:right w:val="none" w:sz="0" w:space="0" w:color="auto"/>
          </w:divBdr>
        </w:div>
        <w:div w:id="1831942870">
          <w:marLeft w:val="1166"/>
          <w:marRight w:val="0"/>
          <w:marTop w:val="0"/>
          <w:marBottom w:val="120"/>
          <w:divBdr>
            <w:top w:val="none" w:sz="0" w:space="0" w:color="auto"/>
            <w:left w:val="none" w:sz="0" w:space="0" w:color="auto"/>
            <w:bottom w:val="none" w:sz="0" w:space="0" w:color="auto"/>
            <w:right w:val="none" w:sz="0" w:space="0" w:color="auto"/>
          </w:divBdr>
        </w:div>
        <w:div w:id="2140953120">
          <w:marLeft w:val="1166"/>
          <w:marRight w:val="0"/>
          <w:marTop w:val="0"/>
          <w:marBottom w:val="360"/>
          <w:divBdr>
            <w:top w:val="none" w:sz="0" w:space="0" w:color="auto"/>
            <w:left w:val="none" w:sz="0" w:space="0" w:color="auto"/>
            <w:bottom w:val="none" w:sz="0" w:space="0" w:color="auto"/>
            <w:right w:val="none" w:sz="0" w:space="0" w:color="auto"/>
          </w:divBdr>
        </w:div>
      </w:divsChild>
    </w:div>
    <w:div w:id="1746995021">
      <w:bodyDiv w:val="1"/>
      <w:marLeft w:val="0"/>
      <w:marRight w:val="0"/>
      <w:marTop w:val="0"/>
      <w:marBottom w:val="0"/>
      <w:divBdr>
        <w:top w:val="none" w:sz="0" w:space="0" w:color="auto"/>
        <w:left w:val="none" w:sz="0" w:space="0" w:color="auto"/>
        <w:bottom w:val="none" w:sz="0" w:space="0" w:color="auto"/>
        <w:right w:val="none" w:sz="0" w:space="0" w:color="auto"/>
      </w:divBdr>
    </w:div>
    <w:div w:id="1777945822">
      <w:bodyDiv w:val="1"/>
      <w:marLeft w:val="0"/>
      <w:marRight w:val="0"/>
      <w:marTop w:val="0"/>
      <w:marBottom w:val="0"/>
      <w:divBdr>
        <w:top w:val="none" w:sz="0" w:space="0" w:color="auto"/>
        <w:left w:val="none" w:sz="0" w:space="0" w:color="auto"/>
        <w:bottom w:val="none" w:sz="0" w:space="0" w:color="auto"/>
        <w:right w:val="none" w:sz="0" w:space="0" w:color="auto"/>
      </w:divBdr>
    </w:div>
    <w:div w:id="1812214997">
      <w:bodyDiv w:val="1"/>
      <w:marLeft w:val="0"/>
      <w:marRight w:val="0"/>
      <w:marTop w:val="0"/>
      <w:marBottom w:val="0"/>
      <w:divBdr>
        <w:top w:val="none" w:sz="0" w:space="0" w:color="auto"/>
        <w:left w:val="none" w:sz="0" w:space="0" w:color="auto"/>
        <w:bottom w:val="none" w:sz="0" w:space="0" w:color="auto"/>
        <w:right w:val="none" w:sz="0" w:space="0" w:color="auto"/>
      </w:divBdr>
    </w:div>
    <w:div w:id="1836874381">
      <w:bodyDiv w:val="1"/>
      <w:marLeft w:val="0"/>
      <w:marRight w:val="0"/>
      <w:marTop w:val="0"/>
      <w:marBottom w:val="0"/>
      <w:divBdr>
        <w:top w:val="none" w:sz="0" w:space="0" w:color="auto"/>
        <w:left w:val="none" w:sz="0" w:space="0" w:color="auto"/>
        <w:bottom w:val="none" w:sz="0" w:space="0" w:color="auto"/>
        <w:right w:val="none" w:sz="0" w:space="0" w:color="auto"/>
      </w:divBdr>
    </w:div>
    <w:div w:id="1884823469">
      <w:bodyDiv w:val="1"/>
      <w:marLeft w:val="0"/>
      <w:marRight w:val="0"/>
      <w:marTop w:val="0"/>
      <w:marBottom w:val="0"/>
      <w:divBdr>
        <w:top w:val="none" w:sz="0" w:space="0" w:color="auto"/>
        <w:left w:val="none" w:sz="0" w:space="0" w:color="auto"/>
        <w:bottom w:val="none" w:sz="0" w:space="0" w:color="auto"/>
        <w:right w:val="none" w:sz="0" w:space="0" w:color="auto"/>
      </w:divBdr>
    </w:div>
    <w:div w:id="1895309782">
      <w:bodyDiv w:val="1"/>
      <w:marLeft w:val="0"/>
      <w:marRight w:val="0"/>
      <w:marTop w:val="0"/>
      <w:marBottom w:val="0"/>
      <w:divBdr>
        <w:top w:val="none" w:sz="0" w:space="0" w:color="auto"/>
        <w:left w:val="none" w:sz="0" w:space="0" w:color="auto"/>
        <w:bottom w:val="none" w:sz="0" w:space="0" w:color="auto"/>
        <w:right w:val="none" w:sz="0" w:space="0" w:color="auto"/>
      </w:divBdr>
    </w:div>
    <w:div w:id="1903755350">
      <w:bodyDiv w:val="1"/>
      <w:marLeft w:val="0"/>
      <w:marRight w:val="0"/>
      <w:marTop w:val="0"/>
      <w:marBottom w:val="0"/>
      <w:divBdr>
        <w:top w:val="none" w:sz="0" w:space="0" w:color="auto"/>
        <w:left w:val="none" w:sz="0" w:space="0" w:color="auto"/>
        <w:bottom w:val="none" w:sz="0" w:space="0" w:color="auto"/>
        <w:right w:val="none" w:sz="0" w:space="0" w:color="auto"/>
      </w:divBdr>
    </w:div>
    <w:div w:id="1992053558">
      <w:bodyDiv w:val="1"/>
      <w:marLeft w:val="0"/>
      <w:marRight w:val="0"/>
      <w:marTop w:val="0"/>
      <w:marBottom w:val="0"/>
      <w:divBdr>
        <w:top w:val="none" w:sz="0" w:space="0" w:color="auto"/>
        <w:left w:val="none" w:sz="0" w:space="0" w:color="auto"/>
        <w:bottom w:val="none" w:sz="0" w:space="0" w:color="auto"/>
        <w:right w:val="none" w:sz="0" w:space="0" w:color="auto"/>
      </w:divBdr>
    </w:div>
    <w:div w:id="2057121382">
      <w:bodyDiv w:val="1"/>
      <w:marLeft w:val="0"/>
      <w:marRight w:val="0"/>
      <w:marTop w:val="0"/>
      <w:marBottom w:val="0"/>
      <w:divBdr>
        <w:top w:val="none" w:sz="0" w:space="0" w:color="auto"/>
        <w:left w:val="none" w:sz="0" w:space="0" w:color="auto"/>
        <w:bottom w:val="none" w:sz="0" w:space="0" w:color="auto"/>
        <w:right w:val="none" w:sz="0" w:space="0" w:color="auto"/>
      </w:divBdr>
    </w:div>
    <w:div w:id="2067756004">
      <w:bodyDiv w:val="1"/>
      <w:marLeft w:val="0"/>
      <w:marRight w:val="0"/>
      <w:marTop w:val="0"/>
      <w:marBottom w:val="0"/>
      <w:divBdr>
        <w:top w:val="none" w:sz="0" w:space="0" w:color="auto"/>
        <w:left w:val="none" w:sz="0" w:space="0" w:color="auto"/>
        <w:bottom w:val="none" w:sz="0" w:space="0" w:color="auto"/>
        <w:right w:val="none" w:sz="0" w:space="0" w:color="auto"/>
      </w:divBdr>
    </w:div>
    <w:div w:id="2074693858">
      <w:bodyDiv w:val="1"/>
      <w:marLeft w:val="0"/>
      <w:marRight w:val="0"/>
      <w:marTop w:val="0"/>
      <w:marBottom w:val="0"/>
      <w:divBdr>
        <w:top w:val="none" w:sz="0" w:space="0" w:color="auto"/>
        <w:left w:val="none" w:sz="0" w:space="0" w:color="auto"/>
        <w:bottom w:val="none" w:sz="0" w:space="0" w:color="auto"/>
        <w:right w:val="none" w:sz="0" w:space="0" w:color="auto"/>
      </w:divBdr>
      <w:divsChild>
        <w:div w:id="257250220">
          <w:marLeft w:val="432"/>
          <w:marRight w:val="0"/>
          <w:marTop w:val="120"/>
          <w:marBottom w:val="360"/>
          <w:divBdr>
            <w:top w:val="none" w:sz="0" w:space="0" w:color="auto"/>
            <w:left w:val="none" w:sz="0" w:space="0" w:color="auto"/>
            <w:bottom w:val="none" w:sz="0" w:space="0" w:color="auto"/>
            <w:right w:val="none" w:sz="0" w:space="0" w:color="auto"/>
          </w:divBdr>
        </w:div>
        <w:div w:id="564990944">
          <w:marLeft w:val="432"/>
          <w:marRight w:val="0"/>
          <w:marTop w:val="120"/>
          <w:marBottom w:val="360"/>
          <w:divBdr>
            <w:top w:val="none" w:sz="0" w:space="0" w:color="auto"/>
            <w:left w:val="none" w:sz="0" w:space="0" w:color="auto"/>
            <w:bottom w:val="none" w:sz="0" w:space="0" w:color="auto"/>
            <w:right w:val="none" w:sz="0" w:space="0" w:color="auto"/>
          </w:divBdr>
        </w:div>
        <w:div w:id="646209982">
          <w:marLeft w:val="432"/>
          <w:marRight w:val="0"/>
          <w:marTop w:val="120"/>
          <w:marBottom w:val="360"/>
          <w:divBdr>
            <w:top w:val="none" w:sz="0" w:space="0" w:color="auto"/>
            <w:left w:val="none" w:sz="0" w:space="0" w:color="auto"/>
            <w:bottom w:val="none" w:sz="0" w:space="0" w:color="auto"/>
            <w:right w:val="none" w:sz="0" w:space="0" w:color="auto"/>
          </w:divBdr>
        </w:div>
        <w:div w:id="1211529466">
          <w:marLeft w:val="432"/>
          <w:marRight w:val="0"/>
          <w:marTop w:val="120"/>
          <w:marBottom w:val="36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emf"/><Relationship Id="rId18" Type="http://schemas.openxmlformats.org/officeDocument/2006/relationships/image" Target="media/image3.emf"/><Relationship Id="rId26" Type="http://schemas.microsoft.com/office/2020/10/relationships/intelligence" Target="intelligence2.xml"/><Relationship Id="rId3" Type="http://schemas.openxmlformats.org/officeDocument/2006/relationships/customXml" Target="../customXml/item3.xml"/><Relationship Id="rId21" Type="http://schemas.openxmlformats.org/officeDocument/2006/relationships/package" Target="embeddings/Microsoft_Excel_Worksheet2.xlsx"/><Relationship Id="rId7" Type="http://schemas.openxmlformats.org/officeDocument/2006/relationships/settings" Target="settings.xml"/><Relationship Id="rId12" Type="http://schemas.openxmlformats.org/officeDocument/2006/relationships/hyperlink" Target="https://lifescievents.com/event/protagonist/" TargetMode="External"/><Relationship Id="rId17" Type="http://schemas.openxmlformats.org/officeDocument/2006/relationships/hyperlink" Target="mailto:virginiaamann@ententeinc.com"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cdavis@lifesciadvisors.com" TargetMode="External"/><Relationship Id="rId20" Type="http://schemas.openxmlformats.org/officeDocument/2006/relationships/image" Target="media/image4.emf"/><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protagonist-inc.com/" TargetMode="External"/><Relationship Id="rId23" Type="http://schemas.openxmlformats.org/officeDocument/2006/relationships/package" Target="embeddings/Microsoft_Excel_Worksheet3.xlsx"/><Relationship Id="rId10" Type="http://schemas.openxmlformats.org/officeDocument/2006/relationships/endnotes" Target="endnotes.xml"/><Relationship Id="rId19" Type="http://schemas.openxmlformats.org/officeDocument/2006/relationships/package" Target="embeddings/Microsoft_Excel_Worksheet1.xlsx"/><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package" Target="embeddings/Microsoft_Excel_Worksheet.xlsx"/><Relationship Id="rId22" Type="http://schemas.openxmlformats.org/officeDocument/2006/relationships/image" Target="media/image5.emf"/></Relationships>
</file>

<file path=word/_rels/footnotes.xml.rels><?xml version="1.0" encoding="UTF-8" standalone="yes"?>
<Relationships xmlns="http://schemas.openxmlformats.org/package/2006/relationships"><Relationship Id="rId3" Type="http://schemas.openxmlformats.org/officeDocument/2006/relationships/hyperlink" Target="https://clinicaltrials.gov/study/NCT05210790" TargetMode="External"/><Relationship Id="rId2" Type="http://schemas.openxmlformats.org/officeDocument/2006/relationships/hyperlink" Target="https://classic.clinicaltrials.gov/ct2/show/NCT06095102?term=JNJ-77242113&amp;draw=2" TargetMode="External"/><Relationship Id="rId1" Type="http://schemas.openxmlformats.org/officeDocument/2006/relationships/hyperlink" Target="https://classic.clinicaltrials.gov/ct2/show/NCT06095115?term=JNJ-77242113&amp;draw=2" TargetMode="External"/><Relationship Id="rId6" Type="http://schemas.openxmlformats.org/officeDocument/2006/relationships/hyperlink" Target="https://clinicaltrials.gov/study/NCT06220604?term=ICONIC%20ADVANCE&amp;rank=1" TargetMode="External"/><Relationship Id="rId5" Type="http://schemas.openxmlformats.org/officeDocument/2006/relationships/hyperlink" Target="https://clinicaltrials.gov/study/NCT06143878?term=JNJ-77242113&amp;rank=8" TargetMode="External"/><Relationship Id="rId4" Type="http://schemas.openxmlformats.org/officeDocument/2006/relationships/hyperlink" Target="https://clinicaltrials.gov/study/NCT06049017?term=JNJ-77242113&amp;rank=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576fa15a-65fa-4de1-8b6f-9a501cee27cf">
      <UserInfo>
        <DisplayName>Dinesh Patel</DisplayName>
        <AccountId>644</AccountId>
        <AccountType/>
      </UserInfo>
    </SharedWithUser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2B34363AA2DCE3499B680E0353C2D322" ma:contentTypeVersion="14" ma:contentTypeDescription="Create a new document." ma:contentTypeScope="" ma:versionID="77daf872127741efbc16ac0658f48b94">
  <xsd:schema xmlns:xsd="http://www.w3.org/2001/XMLSchema" xmlns:xs="http://www.w3.org/2001/XMLSchema" xmlns:p="http://schemas.microsoft.com/office/2006/metadata/properties" xmlns:ns2="bcb5d8f4-8305-4ac5-aab0-cce680df3632" xmlns:ns3="576fa15a-65fa-4de1-8b6f-9a501cee27cf" targetNamespace="http://schemas.microsoft.com/office/2006/metadata/properties" ma:root="true" ma:fieldsID="8e66f561e8acb543180e6a7bf55c2980" ns2:_="" ns3:_="">
    <xsd:import namespace="bcb5d8f4-8305-4ac5-aab0-cce680df3632"/>
    <xsd:import namespace="576fa15a-65fa-4de1-8b6f-9a501cee27c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b5d8f4-8305-4ac5-aab0-cce680df363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76fa15a-65fa-4de1-8b6f-9a501cee27cf"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1ADE0D4-21F0-4BC7-84AB-206DEB0C81F8}">
  <ds:schemaRefs>
    <ds:schemaRef ds:uri="http://schemas.microsoft.com/office/2006/metadata/properties"/>
    <ds:schemaRef ds:uri="http://schemas.microsoft.com/office/infopath/2007/PartnerControls"/>
    <ds:schemaRef ds:uri="576fa15a-65fa-4de1-8b6f-9a501cee27cf"/>
  </ds:schemaRefs>
</ds:datastoreItem>
</file>

<file path=customXml/itemProps2.xml><?xml version="1.0" encoding="utf-8"?>
<ds:datastoreItem xmlns:ds="http://schemas.openxmlformats.org/officeDocument/2006/customXml" ds:itemID="{6A3760D0-07AB-408C-AF87-447F1A417FD4}">
  <ds:schemaRefs>
    <ds:schemaRef ds:uri="http://schemas.openxmlformats.org/officeDocument/2006/bibliography"/>
  </ds:schemaRefs>
</ds:datastoreItem>
</file>

<file path=customXml/itemProps3.xml><?xml version="1.0" encoding="utf-8"?>
<ds:datastoreItem xmlns:ds="http://schemas.openxmlformats.org/officeDocument/2006/customXml" ds:itemID="{4277B8BD-AE18-4B08-9C17-0764489A7E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b5d8f4-8305-4ac5-aab0-cce680df3632"/>
    <ds:schemaRef ds:uri="576fa15a-65fa-4de1-8b6f-9a501cee27c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1950CF9-6708-43E6-B951-FED539E709F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7</Pages>
  <Words>2110</Words>
  <Characters>12027</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Whitney Taylor</dc:creator>
  <cp:keywords/>
  <dc:description/>
  <cp:lastModifiedBy>Asif Ali</cp:lastModifiedBy>
  <cp:revision>28</cp:revision>
  <cp:lastPrinted>2025-02-10T17:38:00Z</cp:lastPrinted>
  <dcterms:created xsi:type="dcterms:W3CDTF">2025-02-20T18:51:00Z</dcterms:created>
  <dcterms:modified xsi:type="dcterms:W3CDTF">2025-02-20T21:49:00Z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ea8ce42-0a38-4038-af78-0463c9adb574_Enabled">
    <vt:lpwstr>true</vt:lpwstr>
  </property>
  <property fmtid="{D5CDD505-2E9C-101B-9397-08002B2CF9AE}" pid="3" name="MSIP_Label_cea8ce42-0a38-4038-af78-0463c9adb574_SetDate">
    <vt:lpwstr>2021-04-26T23:54:11Z</vt:lpwstr>
  </property>
  <property fmtid="{D5CDD505-2E9C-101B-9397-08002B2CF9AE}" pid="4" name="MSIP_Label_cea8ce42-0a38-4038-af78-0463c9adb574_Method">
    <vt:lpwstr>Standard</vt:lpwstr>
  </property>
  <property fmtid="{D5CDD505-2E9C-101B-9397-08002B2CF9AE}" pid="5" name="MSIP_Label_cea8ce42-0a38-4038-af78-0463c9adb574_Name">
    <vt:lpwstr>cea8ce42-0a38-4038-af78-0463c9adb574</vt:lpwstr>
  </property>
  <property fmtid="{D5CDD505-2E9C-101B-9397-08002B2CF9AE}" pid="6" name="MSIP_Label_cea8ce42-0a38-4038-af78-0463c9adb574_SiteId">
    <vt:lpwstr>5d25c963-07db-4627-9db3-720b2ff89865</vt:lpwstr>
  </property>
  <property fmtid="{D5CDD505-2E9C-101B-9397-08002B2CF9AE}" pid="7" name="MSIP_Label_cea8ce42-0a38-4038-af78-0463c9adb574_ActionId">
    <vt:lpwstr>43df6701-78ab-4bf5-8de2-a77eaa394f5d</vt:lpwstr>
  </property>
  <property fmtid="{D5CDD505-2E9C-101B-9397-08002B2CF9AE}" pid="8" name="MSIP_Label_cea8ce42-0a38-4038-af78-0463c9adb574_ContentBits">
    <vt:lpwstr>0</vt:lpwstr>
  </property>
  <property fmtid="{D5CDD505-2E9C-101B-9397-08002B2CF9AE}" pid="9" name="ContentTypeId">
    <vt:lpwstr>0x0101002B34363AA2DCE3499B680E0353C2D322</vt:lpwstr>
  </property>
</Properties>
</file>