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1C4291F" w14:textId="416B6E78" w:rsidR="00A54B7D" w:rsidRPr="00CC5E6A" w:rsidRDefault="002C0C2A" w:rsidP="006817B7">
      <w:pPr>
        <w:ind w:firstLine="0"/>
        <w:jc w:val="center"/>
        <w:rPr>
          <w:b/>
          <w:bCs/>
        </w:rPr>
      </w:pPr>
      <w:r>
        <w:rPr>
          <w:rFonts w:eastAsia="Arial"/>
          <w:noProof/>
          <w:color w:val="000000"/>
          <w:lang w:eastAsia="en-CA"/>
        </w:rPr>
        <w:drawing>
          <wp:inline distT="0" distB="0" distL="0" distR="0" wp14:anchorId="7DBE05E0" wp14:editId="0D71878D">
            <wp:extent cx="2657657" cy="766763"/>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680851" cy="773455"/>
                    </a:xfrm>
                    <a:prstGeom prst="rect">
                      <a:avLst/>
                    </a:prstGeom>
                    <a:noFill/>
                    <a:ln>
                      <a:noFill/>
                    </a:ln>
                  </pic:spPr>
                </pic:pic>
              </a:graphicData>
            </a:graphic>
          </wp:inline>
        </w:drawing>
      </w:r>
    </w:p>
    <w:p w14:paraId="5D6A33D8" w14:textId="77777777" w:rsidR="00A54B7D" w:rsidRPr="00CC5E6A" w:rsidRDefault="00A54B7D" w:rsidP="00A54B7D">
      <w:pPr>
        <w:rPr>
          <w:b/>
          <w:bCs/>
        </w:rPr>
      </w:pPr>
    </w:p>
    <w:p w14:paraId="5DC21F97" w14:textId="1991CAC8" w:rsidR="00DD6624" w:rsidRDefault="00977484" w:rsidP="00A54B7D">
      <w:pPr>
        <w:jc w:val="center"/>
        <w:rPr>
          <w:b/>
          <w:bCs/>
          <w:sz w:val="28"/>
          <w:szCs w:val="28"/>
        </w:rPr>
      </w:pPr>
      <w:r w:rsidRPr="00977484">
        <w:rPr>
          <w:b/>
          <w:bCs/>
          <w:sz w:val="28"/>
          <w:szCs w:val="28"/>
        </w:rPr>
        <w:t>Quantum Biopharma Announces that the Safety Review Committee Recommends Commencing Dosing of Second Cohort in the Phase 1 Multiple Ascending Dose Clinical Trial for Lucid-21-302 (Lucid-MS)</w:t>
      </w:r>
    </w:p>
    <w:p w14:paraId="3A5DC3E7" w14:textId="77777777" w:rsidR="00977484" w:rsidRDefault="00977484" w:rsidP="00A54B7D">
      <w:pPr>
        <w:jc w:val="center"/>
        <w:rPr>
          <w:b/>
          <w:bCs/>
          <w:sz w:val="28"/>
          <w:szCs w:val="28"/>
        </w:rPr>
      </w:pPr>
    </w:p>
    <w:p w14:paraId="11DDAC2F" w14:textId="77777777" w:rsidR="00977484" w:rsidRPr="00CC5E6A" w:rsidRDefault="00977484" w:rsidP="00A54B7D">
      <w:pPr>
        <w:jc w:val="center"/>
        <w:rPr>
          <w:b/>
          <w:szCs w:val="22"/>
        </w:rPr>
      </w:pPr>
    </w:p>
    <w:p w14:paraId="29B5E006" w14:textId="46FBD5D0" w:rsidR="00977484" w:rsidRDefault="00A54B7D" w:rsidP="00977484">
      <w:pPr>
        <w:ind w:firstLine="0"/>
      </w:pPr>
      <w:r w:rsidRPr="004D05D9">
        <w:rPr>
          <w:b/>
        </w:rPr>
        <w:t>Toronto, O</w:t>
      </w:r>
      <w:r w:rsidR="0060570E">
        <w:rPr>
          <w:b/>
        </w:rPr>
        <w:t>ntario</w:t>
      </w:r>
      <w:r w:rsidRPr="004D05D9">
        <w:rPr>
          <w:b/>
        </w:rPr>
        <w:t xml:space="preserve"> </w:t>
      </w:r>
      <w:r w:rsidRPr="007A7386">
        <w:rPr>
          <w:b/>
        </w:rPr>
        <w:t xml:space="preserve">– </w:t>
      </w:r>
      <w:r w:rsidR="006817B7">
        <w:rPr>
          <w:b/>
        </w:rPr>
        <w:t xml:space="preserve">December </w:t>
      </w:r>
      <w:r w:rsidR="00814CFE">
        <w:rPr>
          <w:b/>
        </w:rPr>
        <w:t>10</w:t>
      </w:r>
      <w:r w:rsidR="006817B7">
        <w:rPr>
          <w:b/>
        </w:rPr>
        <w:t>, 2024</w:t>
      </w:r>
      <w:r w:rsidRPr="004D05D9">
        <w:t xml:space="preserve"> – </w:t>
      </w:r>
      <w:r w:rsidR="00DF62CC" w:rsidRPr="004D05D9">
        <w:t>Quantum</w:t>
      </w:r>
      <w:r w:rsidR="00DF62CC" w:rsidRPr="00DF62CC">
        <w:t xml:space="preserve"> BioPharma Ltd. (NASDAQ: QNTM) (CSE: QNTM) (FRA: 0K91) (</w:t>
      </w:r>
      <w:r w:rsidR="001D5114">
        <w:t>“</w:t>
      </w:r>
      <w:r w:rsidR="00DF62CC" w:rsidRPr="00DF62CC">
        <w:rPr>
          <w:b/>
        </w:rPr>
        <w:t>Quantum BioPharma</w:t>
      </w:r>
      <w:r w:rsidR="001D5114">
        <w:t>”</w:t>
      </w:r>
      <w:r w:rsidR="00DF62CC" w:rsidRPr="00DF62CC">
        <w:t xml:space="preserve"> or the </w:t>
      </w:r>
      <w:r w:rsidR="001D5114">
        <w:t>“</w:t>
      </w:r>
      <w:r w:rsidR="00DF62CC" w:rsidRPr="00DF62CC">
        <w:rPr>
          <w:b/>
        </w:rPr>
        <w:t>Company</w:t>
      </w:r>
      <w:r w:rsidR="001D5114">
        <w:t>”</w:t>
      </w:r>
      <w:r w:rsidR="00DF62CC" w:rsidRPr="00DF62CC">
        <w:t>)</w:t>
      </w:r>
      <w:r w:rsidR="00DF62CC" w:rsidRPr="00DF62CC">
        <w:rPr>
          <w:lang w:val="en-CA"/>
        </w:rPr>
        <w:t xml:space="preserve">, </w:t>
      </w:r>
      <w:r w:rsidR="00977484" w:rsidRPr="00977484">
        <w:t>a biopharmaceutical company dedicated to building a portfolio of innovative assets and biotech solutions, today announces through its subsidiary, HUGE Biopharma Australia Pty Ltd., that the safety review committee recommends commencing dosing of the second cohort in its trial entitled “A Phase 1, Randomised, Double-Blind, Placebo-Controlled, Multiple Ascending Dose Study to Evaluate the Safety and Pharmacokinetics of Lucid-21-302 in Healthy Adult Participants.” The safety review committee made this recommendation after reviewing safety and pharmacokinetic data from participants in the first cohort.</w:t>
      </w:r>
    </w:p>
    <w:p w14:paraId="6FFD6F9C" w14:textId="77777777" w:rsidR="00977484" w:rsidRPr="00977484" w:rsidRDefault="00977484" w:rsidP="00977484">
      <w:pPr>
        <w:ind w:firstLine="0"/>
      </w:pPr>
    </w:p>
    <w:p w14:paraId="41601587" w14:textId="77777777" w:rsidR="00977484" w:rsidRPr="00977484" w:rsidRDefault="00977484" w:rsidP="00977484">
      <w:pPr>
        <w:ind w:firstLine="0"/>
      </w:pPr>
      <w:r w:rsidRPr="00977484">
        <w:t>“Our clinical development team is delighted at the progress in this trial,” said Dr. Andrzej Chruscinski, Vice-President, Scientific and Clinical Affairs at Quantum Biopharma. “We are thrilled that the safety review committee recommended to move forward with dosing of the next cohort, which is expected to commence in the next few days.”</w:t>
      </w:r>
    </w:p>
    <w:p w14:paraId="50371D05" w14:textId="1E26C399" w:rsidR="00C458C9" w:rsidRPr="00D43EE7" w:rsidRDefault="00C458C9" w:rsidP="00977484">
      <w:pPr>
        <w:ind w:firstLine="0"/>
      </w:pPr>
    </w:p>
    <w:p w14:paraId="5F7297AA" w14:textId="0BAE309D" w:rsidR="00F21191" w:rsidRPr="00CC5E6A" w:rsidRDefault="00AF00A5" w:rsidP="003E6C99">
      <w:pPr>
        <w:ind w:firstLine="0"/>
        <w:jc w:val="left"/>
        <w:rPr>
          <w:b/>
          <w:bCs/>
        </w:rPr>
      </w:pPr>
      <w:r w:rsidRPr="00CC5E6A">
        <w:rPr>
          <w:b/>
          <w:bCs/>
        </w:rPr>
        <w:t xml:space="preserve">About </w:t>
      </w:r>
      <w:r w:rsidR="00856B40">
        <w:rPr>
          <w:b/>
          <w:bCs/>
        </w:rPr>
        <w:t xml:space="preserve">Quantum BioPharma </w:t>
      </w:r>
      <w:r w:rsidR="0092005E">
        <w:rPr>
          <w:b/>
          <w:bCs/>
        </w:rPr>
        <w:t>Ltd.</w:t>
      </w:r>
    </w:p>
    <w:p w14:paraId="395FEB71" w14:textId="77777777" w:rsidR="00633173" w:rsidRDefault="00633173" w:rsidP="00F420DA">
      <w:pPr>
        <w:ind w:firstLine="0"/>
        <w:rPr>
          <w:bCs/>
        </w:rPr>
      </w:pPr>
    </w:p>
    <w:p w14:paraId="5AF2BA1B" w14:textId="3141082C" w:rsidR="00F420DA" w:rsidRPr="00F420DA" w:rsidRDefault="00F420DA" w:rsidP="00F420DA">
      <w:pPr>
        <w:ind w:firstLine="0"/>
        <w:rPr>
          <w:bCs/>
        </w:rPr>
      </w:pPr>
      <w:r w:rsidRPr="00F420DA">
        <w:rPr>
          <w:bCs/>
        </w:rPr>
        <w:t>Quantum BioPharma is a biopharmaceutical company dedicated to building a portfolio of innovative assets and biotech solutions for the treatment of challenging neurodegenerative and metabolic disorders and alcohol misuse disorders with drug candidates in different stages of development. Through its wholly owned subsidiary, Lucid Psycheceuticals Inc. (</w:t>
      </w:r>
      <w:r w:rsidR="001D5114">
        <w:rPr>
          <w:bCs/>
        </w:rPr>
        <w:t>“</w:t>
      </w:r>
      <w:r w:rsidRPr="00F420DA">
        <w:rPr>
          <w:b/>
          <w:bCs/>
        </w:rPr>
        <w:t>Lucid</w:t>
      </w:r>
      <w:r w:rsidR="001D5114">
        <w:rPr>
          <w:bCs/>
        </w:rPr>
        <w:t>”</w:t>
      </w:r>
      <w:r w:rsidRPr="00F420DA">
        <w:rPr>
          <w:bCs/>
        </w:rPr>
        <w:t xml:space="preserve">), Quantum BioPharma is focused on the research and development of its lead compound, Lucid-MS. Lucid-MS is a patented new chemical entity shown to prevent and reverse myelin degradation, the underlying mechanism of multiple sclerosis, in preclinical models. Quantum BioPharma invented </w:t>
      </w:r>
      <w:r w:rsidR="0097067B">
        <w:rPr>
          <w:bCs/>
        </w:rPr>
        <w:t>UNBUZZD</w:t>
      </w:r>
      <w:r w:rsidRPr="00F420DA">
        <w:rPr>
          <w:bCs/>
        </w:rPr>
        <w:t>™ and spun out its OTC version to a company, Celly Nutrition Corp. (</w:t>
      </w:r>
      <w:r w:rsidR="001D5114">
        <w:rPr>
          <w:bCs/>
        </w:rPr>
        <w:t>“</w:t>
      </w:r>
      <w:r w:rsidRPr="00F420DA">
        <w:rPr>
          <w:b/>
          <w:bCs/>
        </w:rPr>
        <w:t>Celly Nutrition</w:t>
      </w:r>
      <w:r w:rsidR="001D5114">
        <w:rPr>
          <w:bCs/>
        </w:rPr>
        <w:t>”</w:t>
      </w:r>
      <w:r w:rsidRPr="00F420DA">
        <w:rPr>
          <w:bCs/>
        </w:rPr>
        <w:t xml:space="preserve">), led by industry veterans. Quantum BioPharma retains ownership of 25.71% (as of </w:t>
      </w:r>
      <w:r w:rsidR="006857D9">
        <w:rPr>
          <w:bCs/>
        </w:rPr>
        <w:t>June</w:t>
      </w:r>
      <w:r w:rsidRPr="00F420DA">
        <w:rPr>
          <w:bCs/>
        </w:rPr>
        <w:t xml:space="preserve"> 3</w:t>
      </w:r>
      <w:r w:rsidR="006857D9">
        <w:rPr>
          <w:bCs/>
        </w:rPr>
        <w:t>0</w:t>
      </w:r>
      <w:r w:rsidRPr="00F420DA">
        <w:rPr>
          <w:bCs/>
        </w:rPr>
        <w:t xml:space="preserve">, 2024) of Celly Nutrition at </w:t>
      </w:r>
      <w:hyperlink r:id="rId12">
        <w:r w:rsidR="004C6285">
          <w:rPr>
            <w:rStyle w:val="Hyperlink"/>
            <w:bCs/>
          </w:rPr>
          <w:t>www.unbuzzd.com</w:t>
        </w:r>
      </w:hyperlink>
      <w:r w:rsidRPr="00F420DA">
        <w:rPr>
          <w:bCs/>
        </w:rPr>
        <w:t>. The agreement with Celly Nutrition also includes royalty payments of 7% of sales from unbuzzd ™ until payments to Quantum BioPharma total $250 million. Once $250 million is reached, the royalty drops to 3% in perpetuity. Additionally, Quantum BioPharma retains a large tax loss carry forward of approximately C$130 million and could be utilized in the future to offset tax payable obligations against future profits. Quantum BioPharma retains 100% of the rights to develop similar product or alternative formulations specifically for pharmaceutical and medical uses. Quantum BioPharma maintains a portfolio of strategic investments through its wholly owned subsidiary, FSD Strategic Investments Inc., which represents loans secured by residential or commercial property.</w:t>
      </w:r>
    </w:p>
    <w:p w14:paraId="154681E5" w14:textId="77777777" w:rsidR="00F21191" w:rsidRPr="00CC5E6A" w:rsidRDefault="00F21191" w:rsidP="00F21191">
      <w:pPr>
        <w:ind w:firstLine="0"/>
      </w:pPr>
    </w:p>
    <w:p w14:paraId="4CF1FCCA" w14:textId="7D7D72EC" w:rsidR="00F21191" w:rsidRPr="00CC5E6A" w:rsidRDefault="00AF00A5" w:rsidP="00F21191">
      <w:pPr>
        <w:ind w:firstLine="0"/>
        <w:rPr>
          <w:b/>
          <w:bCs/>
        </w:rPr>
      </w:pPr>
      <w:r w:rsidRPr="00CC5E6A">
        <w:rPr>
          <w:b/>
          <w:bCs/>
        </w:rPr>
        <w:t>Forward-Looking Information</w:t>
      </w:r>
    </w:p>
    <w:p w14:paraId="7A7BBFF9" w14:textId="77777777" w:rsidR="00F21191" w:rsidRPr="00CC5E6A" w:rsidRDefault="00F21191" w:rsidP="00F21191">
      <w:pPr>
        <w:ind w:firstLine="0"/>
      </w:pPr>
    </w:p>
    <w:p w14:paraId="2AED7186" w14:textId="433B31F2" w:rsidR="0043378E" w:rsidRDefault="0043378E" w:rsidP="0043378E">
      <w:pPr>
        <w:ind w:firstLine="0"/>
        <w:rPr>
          <w:i/>
          <w:iCs/>
          <w:lang w:val="en-CA"/>
        </w:rPr>
      </w:pPr>
      <w:r w:rsidRPr="0043378E">
        <w:rPr>
          <w:i/>
          <w:iCs/>
          <w:lang w:val="en-CA"/>
        </w:rPr>
        <w:t xml:space="preserve">Certain information in this news release constitutes forward-looking statements under applicable securities laws. Any statements that are contained in this news release that are not statements of historical fact may be deemed to be forward-looking statements. Forward-looking statements are often identified by terms such as "may", "should", "anticipate", "expect", "potential", "believe", "intend" or the negative of these terms and similar expressions. Forward-looking statements in this news release include statements relating to: the stated terms, use of proceeds, and timeline of the Offering; </w:t>
      </w:r>
      <w:r>
        <w:rPr>
          <w:i/>
          <w:iCs/>
          <w:lang w:val="en-CA"/>
        </w:rPr>
        <w:t xml:space="preserve">and </w:t>
      </w:r>
      <w:r w:rsidRPr="0043378E">
        <w:rPr>
          <w:i/>
          <w:iCs/>
          <w:lang w:val="en-CA"/>
        </w:rPr>
        <w:t>the Company's issuance of the Debentures, Warrants (and the underlying Warrant Shares if exercised), and potential issuance of Shares (if the Debentures are converted).</w:t>
      </w:r>
    </w:p>
    <w:p w14:paraId="317A6FCB" w14:textId="77777777" w:rsidR="0043378E" w:rsidRPr="0043378E" w:rsidRDefault="0043378E" w:rsidP="0043378E">
      <w:pPr>
        <w:ind w:firstLine="0"/>
        <w:rPr>
          <w:i/>
          <w:iCs/>
          <w:lang w:val="en-CA"/>
        </w:rPr>
      </w:pPr>
    </w:p>
    <w:p w14:paraId="7228F23A" w14:textId="78EFF3A8" w:rsidR="0043378E" w:rsidRPr="0043378E" w:rsidRDefault="0043378E" w:rsidP="0043378E">
      <w:pPr>
        <w:ind w:firstLine="0"/>
        <w:rPr>
          <w:i/>
          <w:iCs/>
          <w:lang w:val="en-CA"/>
        </w:rPr>
      </w:pPr>
      <w:r w:rsidRPr="0043378E">
        <w:rPr>
          <w:i/>
          <w:iCs/>
          <w:lang w:val="en-CA"/>
        </w:rPr>
        <w:t xml:space="preserve">Forward-looking information in this press release are based on certain assumptions and expected future events, including but not limited to: the Company has the ability to carry out the Offering as stated; </w:t>
      </w:r>
      <w:r>
        <w:rPr>
          <w:i/>
          <w:iCs/>
          <w:lang w:val="en-CA"/>
        </w:rPr>
        <w:t xml:space="preserve">and </w:t>
      </w:r>
      <w:r w:rsidRPr="0043378E">
        <w:rPr>
          <w:i/>
          <w:iCs/>
          <w:lang w:val="en-CA"/>
        </w:rPr>
        <w:t>the Company has the ability to issue the Debentures, Warrants (and the underlying Warrant Shares if exercised), and Shares (if the Debentures are converted).</w:t>
      </w:r>
    </w:p>
    <w:p w14:paraId="08528BDC" w14:textId="77777777" w:rsidR="0043378E" w:rsidRDefault="0043378E" w:rsidP="0043378E">
      <w:pPr>
        <w:ind w:firstLine="0"/>
        <w:rPr>
          <w:i/>
          <w:iCs/>
          <w:lang w:val="en-CA"/>
        </w:rPr>
      </w:pPr>
    </w:p>
    <w:p w14:paraId="7397988B" w14:textId="09B39445" w:rsidR="0043378E" w:rsidRDefault="0043378E" w:rsidP="0043378E">
      <w:pPr>
        <w:ind w:firstLine="0"/>
        <w:rPr>
          <w:i/>
          <w:iCs/>
          <w:lang w:val="en-CA"/>
        </w:rPr>
      </w:pPr>
      <w:r w:rsidRPr="0043378E">
        <w:rPr>
          <w:i/>
          <w:iCs/>
          <w:lang w:val="en-CA"/>
        </w:rPr>
        <w:t xml:space="preserve">These statements involve known and unknown risks, uncertainties and other factors, which may cause actual results, performance or achievements to differ materially from those expressed or implied by such statements, including but not limited to: the Company's inability to carry out the Offering as stated; </w:t>
      </w:r>
      <w:r>
        <w:rPr>
          <w:i/>
          <w:iCs/>
          <w:lang w:val="en-CA"/>
        </w:rPr>
        <w:t xml:space="preserve">and </w:t>
      </w:r>
      <w:r w:rsidRPr="0043378E">
        <w:rPr>
          <w:i/>
          <w:iCs/>
          <w:lang w:val="en-CA"/>
        </w:rPr>
        <w:t xml:space="preserve">the Company's inability to issue the Debentures, Warrants (and the underlying Warrant Shares if exercised), and Shares (if the Debentures are converted), as well </w:t>
      </w:r>
      <w:r w:rsidR="00055B26">
        <w:rPr>
          <w:i/>
          <w:iCs/>
          <w:lang w:val="en-CA"/>
        </w:rPr>
        <w:t>t</w:t>
      </w:r>
      <w:r w:rsidRPr="00E22F5C">
        <w:rPr>
          <w:i/>
          <w:iCs/>
          <w:lang w:val="en-CA"/>
        </w:rPr>
        <w:t xml:space="preserve">he reader is urged to refer to additional information relating to Quantum BioPharma, including its annual information form, can be located on the SEDAR+ website at www.sedarplus.ca and on the EDGAR section of the United States Securities and Exchange Commission’s website at </w:t>
      </w:r>
      <w:hyperlink r:id="rId13" w:history="1">
        <w:r w:rsidRPr="00E22F5C">
          <w:rPr>
            <w:rStyle w:val="Hyperlink"/>
            <w:i/>
            <w:iCs/>
            <w:lang w:val="en-CA"/>
          </w:rPr>
          <w:t>www.sec.gov</w:t>
        </w:r>
      </w:hyperlink>
      <w:r w:rsidRPr="00E22F5C">
        <w:rPr>
          <w:i/>
          <w:iCs/>
          <w:lang w:val="en-CA"/>
        </w:rPr>
        <w:t xml:space="preserve"> for a more complete discussion of such risk factors and their potential effects</w:t>
      </w:r>
      <w:r w:rsidR="00055B26">
        <w:rPr>
          <w:i/>
          <w:iCs/>
          <w:lang w:val="en-CA"/>
        </w:rPr>
        <w:t>.</w:t>
      </w:r>
    </w:p>
    <w:p w14:paraId="3F38F903" w14:textId="77777777" w:rsidR="0043378E" w:rsidRPr="0043378E" w:rsidRDefault="0043378E" w:rsidP="0043378E">
      <w:pPr>
        <w:ind w:firstLine="0"/>
        <w:rPr>
          <w:i/>
          <w:iCs/>
          <w:lang w:val="en-CA"/>
        </w:rPr>
      </w:pPr>
    </w:p>
    <w:p w14:paraId="10D2EF03" w14:textId="77777777" w:rsidR="0043378E" w:rsidRDefault="0043378E" w:rsidP="0043378E">
      <w:pPr>
        <w:ind w:firstLine="0"/>
        <w:rPr>
          <w:i/>
          <w:iCs/>
          <w:lang w:val="en-CA"/>
        </w:rPr>
      </w:pPr>
      <w:r w:rsidRPr="0043378E">
        <w:rPr>
          <w:i/>
          <w:iCs/>
          <w:lang w:val="en-CA"/>
        </w:rPr>
        <w:t>Readers are cautioned that the foregoing list is not exhaustive. Readers are further cautioned not to place undue reliance on forward-looking statements, as there can be no assurance that the plans, intentions or expectations upon which they are placed will occur. Such information, although considered reasonable by management at the time of preparation, may prove to be incorrect and actual results may differ materially from those anticipated.</w:t>
      </w:r>
    </w:p>
    <w:p w14:paraId="7A795099" w14:textId="77777777" w:rsidR="00055B26" w:rsidRPr="0043378E" w:rsidRDefault="00055B26" w:rsidP="0043378E">
      <w:pPr>
        <w:ind w:firstLine="0"/>
        <w:rPr>
          <w:i/>
          <w:iCs/>
          <w:lang w:val="en-CA"/>
        </w:rPr>
      </w:pPr>
    </w:p>
    <w:p w14:paraId="0727F3CD" w14:textId="77777777" w:rsidR="0043378E" w:rsidRPr="0043378E" w:rsidRDefault="0043378E" w:rsidP="0043378E">
      <w:pPr>
        <w:ind w:firstLine="0"/>
        <w:rPr>
          <w:i/>
          <w:iCs/>
          <w:lang w:val="en-CA"/>
        </w:rPr>
      </w:pPr>
      <w:r w:rsidRPr="0043378E">
        <w:rPr>
          <w:i/>
          <w:iCs/>
          <w:lang w:val="en-CA"/>
        </w:rPr>
        <w:t>Forward-looking statements contained in this press release are expressly qualified by this cautionary statement and reflect the Company's expectations as of the date hereof and are subject to change thereafter. The Company undertakes no obligation to update or revise any forward-looking statements, whether as a result of new information, estimates or opinions, future events or results or otherwise or to explain any material difference between subsequent actual events and such forward- looking information, except as required by applicable law.</w:t>
      </w:r>
    </w:p>
    <w:p w14:paraId="5CEC31C8" w14:textId="77777777" w:rsidR="0043378E" w:rsidRDefault="0043378E" w:rsidP="00E22F5C">
      <w:pPr>
        <w:ind w:firstLine="0"/>
        <w:rPr>
          <w:i/>
          <w:iCs/>
          <w:lang w:val="en-CA"/>
        </w:rPr>
      </w:pPr>
    </w:p>
    <w:p w14:paraId="3CBCB72E" w14:textId="58CC5B74" w:rsidR="00F21191" w:rsidRPr="00CC5E6A" w:rsidRDefault="00AF00A5" w:rsidP="00F21191">
      <w:pPr>
        <w:ind w:firstLine="0"/>
        <w:rPr>
          <w:b/>
          <w:bCs/>
        </w:rPr>
      </w:pPr>
      <w:r w:rsidRPr="00CC5E6A">
        <w:rPr>
          <w:b/>
          <w:bCs/>
        </w:rPr>
        <w:t>Contacts:</w:t>
      </w:r>
    </w:p>
    <w:p w14:paraId="2ECC41CB" w14:textId="77777777" w:rsidR="00F21191" w:rsidRPr="00CC5E6A" w:rsidRDefault="00F21191" w:rsidP="00F21191">
      <w:pPr>
        <w:ind w:firstLine="0"/>
      </w:pPr>
    </w:p>
    <w:p w14:paraId="6D04D9AB" w14:textId="56C1E4D2" w:rsidR="00F21191" w:rsidRPr="00CC5E6A" w:rsidRDefault="009D2830" w:rsidP="00F21191">
      <w:pPr>
        <w:ind w:firstLine="0"/>
      </w:pPr>
      <w:r>
        <w:t>Quantum BioPharma Ltd.</w:t>
      </w:r>
    </w:p>
    <w:p w14:paraId="6E1F558D" w14:textId="4E4A5382" w:rsidR="00F21191" w:rsidRPr="00CC5E6A" w:rsidRDefault="00AF00A5" w:rsidP="00F21191">
      <w:pPr>
        <w:ind w:firstLine="0"/>
      </w:pPr>
      <w:r w:rsidRPr="00CC5E6A">
        <w:t>Zeeshan Saeed, Founder, CEO and Executive Co-Chairman of the Board</w:t>
      </w:r>
    </w:p>
    <w:p w14:paraId="4321F9BC" w14:textId="7ED09A6C" w:rsidR="00F21191" w:rsidRPr="00CC5E6A" w:rsidRDefault="00AF00A5" w:rsidP="00F21191">
      <w:pPr>
        <w:ind w:firstLine="0"/>
      </w:pPr>
      <w:r w:rsidRPr="00CC5E6A">
        <w:t xml:space="preserve">Email: </w:t>
      </w:r>
      <w:hyperlink r:id="rId14" w:history="1">
        <w:r w:rsidR="00156EBD" w:rsidRPr="001A4655">
          <w:rPr>
            <w:rStyle w:val="Hyperlink"/>
          </w:rPr>
          <w:t>Zsaeed@quantumbiopharma.com</w:t>
        </w:r>
      </w:hyperlink>
      <w:r w:rsidR="002B032C">
        <w:t xml:space="preserve"> </w:t>
      </w:r>
    </w:p>
    <w:p w14:paraId="0976705A" w14:textId="77777777" w:rsidR="00F21191" w:rsidRPr="00CC5E6A" w:rsidRDefault="00AF00A5" w:rsidP="00F21191">
      <w:pPr>
        <w:ind w:firstLine="0"/>
      </w:pPr>
      <w:r w:rsidRPr="00CC5E6A">
        <w:t>Telephone: (416) 854-8884</w:t>
      </w:r>
    </w:p>
    <w:p w14:paraId="1FC0D203" w14:textId="77777777" w:rsidR="00F21191" w:rsidRPr="00CC5E6A" w:rsidRDefault="00F21191" w:rsidP="00F21191">
      <w:pPr>
        <w:ind w:firstLine="0"/>
      </w:pPr>
    </w:p>
    <w:p w14:paraId="43458219" w14:textId="77777777" w:rsidR="00F21191" w:rsidRPr="00CC5E6A" w:rsidRDefault="00AF00A5" w:rsidP="00F21191">
      <w:pPr>
        <w:ind w:firstLine="0"/>
      </w:pPr>
      <w:r w:rsidRPr="00CC5E6A">
        <w:t>Investor Relations</w:t>
      </w:r>
    </w:p>
    <w:p w14:paraId="5C9CDE15" w14:textId="4BB82C63" w:rsidR="00F21191" w:rsidRPr="00CC5E6A" w:rsidRDefault="00AF00A5" w:rsidP="00F21191">
      <w:pPr>
        <w:ind w:firstLine="0"/>
      </w:pPr>
      <w:r w:rsidRPr="00CC5E6A">
        <w:t xml:space="preserve">Email: </w:t>
      </w:r>
      <w:hyperlink r:id="rId15" w:history="1">
        <w:r w:rsidR="00156EBD" w:rsidRPr="001A4655">
          <w:rPr>
            <w:rStyle w:val="Hyperlink"/>
          </w:rPr>
          <w:t>ir@quantumbiopharma.com</w:t>
        </w:r>
      </w:hyperlink>
      <w:r w:rsidRPr="00CC5E6A">
        <w:t xml:space="preserve">, </w:t>
      </w:r>
      <w:hyperlink r:id="rId16" w:history="1">
        <w:r w:rsidR="00156EBD" w:rsidRPr="001A4655">
          <w:rPr>
            <w:rStyle w:val="Hyperlink"/>
          </w:rPr>
          <w:t>info@quantumbiopharma.com</w:t>
        </w:r>
      </w:hyperlink>
      <w:r w:rsidR="002B032C">
        <w:t xml:space="preserve"> </w:t>
      </w:r>
    </w:p>
    <w:p w14:paraId="0900C624" w14:textId="23085185" w:rsidR="00F21191" w:rsidRDefault="00AF00A5" w:rsidP="00F21191">
      <w:pPr>
        <w:ind w:firstLine="0"/>
      </w:pPr>
      <w:r w:rsidRPr="00CC5E6A">
        <w:t xml:space="preserve">Website: </w:t>
      </w:r>
      <w:hyperlink r:id="rId17" w:history="1">
        <w:r w:rsidR="003C2FA8" w:rsidRPr="001A4655">
          <w:rPr>
            <w:rStyle w:val="Hyperlink"/>
          </w:rPr>
          <w:t>www.quantumbiopharma.com</w:t>
        </w:r>
      </w:hyperlink>
      <w:r w:rsidR="002B032C">
        <w:t xml:space="preserve"> </w:t>
      </w:r>
    </w:p>
    <w:sectPr w:rsidR="00F21191">
      <w:footerReference w:type="even" r:id="rId18"/>
      <w:footerReference w:type="firs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FD8C4" w14:textId="77777777" w:rsidR="00EC2816" w:rsidRDefault="00EC2816">
      <w:r>
        <w:separator/>
      </w:r>
    </w:p>
  </w:endnote>
  <w:endnote w:type="continuationSeparator" w:id="0">
    <w:p w14:paraId="24A58AAD" w14:textId="77777777" w:rsidR="00EC2816" w:rsidRDefault="00EC2816">
      <w:r>
        <w:continuationSeparator/>
      </w:r>
    </w:p>
  </w:endnote>
  <w:endnote w:type="continuationNotice" w:id="1">
    <w:p w14:paraId="29044193" w14:textId="77777777" w:rsidR="00EC2816" w:rsidRDefault="00EC2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8BB36BF" w14:textId="77777777" w:rsidR="00E1758C" w:rsidRDefault="00AF00A5" w:rsidP="00E1758C">
    <w:pPr>
      <w:pStyle w:val="DocID"/>
    </w:pPr>
    <w:r w:rsidRPr="00E1758C">
      <w:t>154834281.1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6E3AF9" w14:textId="77777777" w:rsidR="00E1758C" w:rsidRDefault="00AF00A5" w:rsidP="00E1758C">
    <w:pPr>
      <w:pStyle w:val="DocID"/>
    </w:pPr>
    <w:r w:rsidRPr="00E1758C">
      <w:t>154834281.1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196AE1" w14:textId="77777777" w:rsidR="00EC2816" w:rsidRDefault="00EC2816">
      <w:r>
        <w:separator/>
      </w:r>
    </w:p>
  </w:footnote>
  <w:footnote w:type="continuationSeparator" w:id="0">
    <w:p w14:paraId="6E015D87" w14:textId="77777777" w:rsidR="00EC2816" w:rsidRDefault="00EC2816">
      <w:r>
        <w:continuationSeparator/>
      </w:r>
    </w:p>
  </w:footnote>
  <w:footnote w:type="continuationNotice" w:id="1">
    <w:p w14:paraId="2735C730" w14:textId="77777777" w:rsidR="00EC2816" w:rsidRDefault="00EC281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FFB67A9"/>
    <w:multiLevelType w:val="multilevel"/>
    <w:tmpl w:val="2D30D7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D2F6DB2"/>
    <w:multiLevelType w:val="hybridMultilevel"/>
    <w:tmpl w:val="066CA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6029312">
    <w:abstractNumId w:val="0"/>
  </w:num>
  <w:num w:numId="2" w16cid:durableId="18883689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1191"/>
    <w:rsid w:val="000027BB"/>
    <w:rsid w:val="0000295C"/>
    <w:rsid w:val="00002BD6"/>
    <w:rsid w:val="00003D0D"/>
    <w:rsid w:val="00004107"/>
    <w:rsid w:val="00004A8F"/>
    <w:rsid w:val="00011D85"/>
    <w:rsid w:val="00012EA2"/>
    <w:rsid w:val="000133E2"/>
    <w:rsid w:val="00016D9E"/>
    <w:rsid w:val="000178B2"/>
    <w:rsid w:val="0002180C"/>
    <w:rsid w:val="0002279A"/>
    <w:rsid w:val="00022A51"/>
    <w:rsid w:val="000255D3"/>
    <w:rsid w:val="00025918"/>
    <w:rsid w:val="00025C2C"/>
    <w:rsid w:val="00031F7C"/>
    <w:rsid w:val="0003248F"/>
    <w:rsid w:val="00032D80"/>
    <w:rsid w:val="00033158"/>
    <w:rsid w:val="000334B1"/>
    <w:rsid w:val="00037838"/>
    <w:rsid w:val="00041DDB"/>
    <w:rsid w:val="00044E10"/>
    <w:rsid w:val="00047159"/>
    <w:rsid w:val="000509C2"/>
    <w:rsid w:val="000516D0"/>
    <w:rsid w:val="000525A8"/>
    <w:rsid w:val="00052C05"/>
    <w:rsid w:val="00053F21"/>
    <w:rsid w:val="0005565B"/>
    <w:rsid w:val="000557E7"/>
    <w:rsid w:val="00055B26"/>
    <w:rsid w:val="000564E7"/>
    <w:rsid w:val="0005720F"/>
    <w:rsid w:val="00057C2D"/>
    <w:rsid w:val="0006301A"/>
    <w:rsid w:val="0006352F"/>
    <w:rsid w:val="00063564"/>
    <w:rsid w:val="00064A0B"/>
    <w:rsid w:val="00065851"/>
    <w:rsid w:val="000701FB"/>
    <w:rsid w:val="000702E1"/>
    <w:rsid w:val="00070F06"/>
    <w:rsid w:val="0007131A"/>
    <w:rsid w:val="000716C8"/>
    <w:rsid w:val="00071E19"/>
    <w:rsid w:val="000731D5"/>
    <w:rsid w:val="00073E5D"/>
    <w:rsid w:val="00074ACC"/>
    <w:rsid w:val="00075323"/>
    <w:rsid w:val="00075701"/>
    <w:rsid w:val="000767EA"/>
    <w:rsid w:val="00076E07"/>
    <w:rsid w:val="0008089D"/>
    <w:rsid w:val="0008157A"/>
    <w:rsid w:val="0008172B"/>
    <w:rsid w:val="0008184D"/>
    <w:rsid w:val="00084081"/>
    <w:rsid w:val="00085C96"/>
    <w:rsid w:val="000879B9"/>
    <w:rsid w:val="00090A18"/>
    <w:rsid w:val="00093959"/>
    <w:rsid w:val="000A0A33"/>
    <w:rsid w:val="000A0FF0"/>
    <w:rsid w:val="000A1581"/>
    <w:rsid w:val="000A1FC6"/>
    <w:rsid w:val="000A2DB1"/>
    <w:rsid w:val="000A424F"/>
    <w:rsid w:val="000A43D2"/>
    <w:rsid w:val="000A4B77"/>
    <w:rsid w:val="000A4B96"/>
    <w:rsid w:val="000A6B22"/>
    <w:rsid w:val="000A7445"/>
    <w:rsid w:val="000B2BE1"/>
    <w:rsid w:val="000B39BD"/>
    <w:rsid w:val="000C0218"/>
    <w:rsid w:val="000C0CFB"/>
    <w:rsid w:val="000C115B"/>
    <w:rsid w:val="000C117F"/>
    <w:rsid w:val="000C2051"/>
    <w:rsid w:val="000C79AB"/>
    <w:rsid w:val="000D0C03"/>
    <w:rsid w:val="000D30F7"/>
    <w:rsid w:val="000D314D"/>
    <w:rsid w:val="000D38FA"/>
    <w:rsid w:val="000D39A9"/>
    <w:rsid w:val="000D52FA"/>
    <w:rsid w:val="000E0A40"/>
    <w:rsid w:val="000E46C5"/>
    <w:rsid w:val="000E4BBC"/>
    <w:rsid w:val="000F5A7B"/>
    <w:rsid w:val="00100CB2"/>
    <w:rsid w:val="00102777"/>
    <w:rsid w:val="00102E4A"/>
    <w:rsid w:val="00103430"/>
    <w:rsid w:val="00104DFA"/>
    <w:rsid w:val="001051C0"/>
    <w:rsid w:val="001057A5"/>
    <w:rsid w:val="00106F69"/>
    <w:rsid w:val="00107F3B"/>
    <w:rsid w:val="00110367"/>
    <w:rsid w:val="00120C11"/>
    <w:rsid w:val="00121A9A"/>
    <w:rsid w:val="001223C3"/>
    <w:rsid w:val="00123BAC"/>
    <w:rsid w:val="00124269"/>
    <w:rsid w:val="001264CB"/>
    <w:rsid w:val="001268EB"/>
    <w:rsid w:val="00127F3F"/>
    <w:rsid w:val="00130B0D"/>
    <w:rsid w:val="00130DDF"/>
    <w:rsid w:val="001315D0"/>
    <w:rsid w:val="00132430"/>
    <w:rsid w:val="001348AF"/>
    <w:rsid w:val="0013565F"/>
    <w:rsid w:val="00136B28"/>
    <w:rsid w:val="00136BB1"/>
    <w:rsid w:val="00140940"/>
    <w:rsid w:val="00141492"/>
    <w:rsid w:val="0014176E"/>
    <w:rsid w:val="00142C84"/>
    <w:rsid w:val="00142F19"/>
    <w:rsid w:val="0014542A"/>
    <w:rsid w:val="001532EE"/>
    <w:rsid w:val="00154575"/>
    <w:rsid w:val="00155851"/>
    <w:rsid w:val="00155A98"/>
    <w:rsid w:val="00155DC9"/>
    <w:rsid w:val="00156EBD"/>
    <w:rsid w:val="00162759"/>
    <w:rsid w:val="00162C20"/>
    <w:rsid w:val="0016445A"/>
    <w:rsid w:val="001662CA"/>
    <w:rsid w:val="001666BF"/>
    <w:rsid w:val="00166D6A"/>
    <w:rsid w:val="00172E29"/>
    <w:rsid w:val="00173241"/>
    <w:rsid w:val="00175C2F"/>
    <w:rsid w:val="00176680"/>
    <w:rsid w:val="001771CE"/>
    <w:rsid w:val="00180EAD"/>
    <w:rsid w:val="0018106A"/>
    <w:rsid w:val="001830CB"/>
    <w:rsid w:val="001925C5"/>
    <w:rsid w:val="001934F2"/>
    <w:rsid w:val="0019408D"/>
    <w:rsid w:val="001940E3"/>
    <w:rsid w:val="00194C40"/>
    <w:rsid w:val="00194ECA"/>
    <w:rsid w:val="00195124"/>
    <w:rsid w:val="00195E3A"/>
    <w:rsid w:val="0019619A"/>
    <w:rsid w:val="00197EC2"/>
    <w:rsid w:val="001A01D5"/>
    <w:rsid w:val="001A070A"/>
    <w:rsid w:val="001A1A19"/>
    <w:rsid w:val="001A1A86"/>
    <w:rsid w:val="001A215F"/>
    <w:rsid w:val="001A31FD"/>
    <w:rsid w:val="001A3C27"/>
    <w:rsid w:val="001A492D"/>
    <w:rsid w:val="001A4FF0"/>
    <w:rsid w:val="001B3018"/>
    <w:rsid w:val="001B42F6"/>
    <w:rsid w:val="001B4BEB"/>
    <w:rsid w:val="001B5FAD"/>
    <w:rsid w:val="001B776B"/>
    <w:rsid w:val="001B7E7A"/>
    <w:rsid w:val="001C1C33"/>
    <w:rsid w:val="001C2AF0"/>
    <w:rsid w:val="001C319F"/>
    <w:rsid w:val="001C3B7B"/>
    <w:rsid w:val="001C5EEB"/>
    <w:rsid w:val="001C60C6"/>
    <w:rsid w:val="001C632A"/>
    <w:rsid w:val="001C66E4"/>
    <w:rsid w:val="001D134B"/>
    <w:rsid w:val="001D1A62"/>
    <w:rsid w:val="001D33A1"/>
    <w:rsid w:val="001D5114"/>
    <w:rsid w:val="001D5FEF"/>
    <w:rsid w:val="001D7674"/>
    <w:rsid w:val="001E048E"/>
    <w:rsid w:val="001E0C67"/>
    <w:rsid w:val="001E4C07"/>
    <w:rsid w:val="001E7A4B"/>
    <w:rsid w:val="001F0FCA"/>
    <w:rsid w:val="001F1E1C"/>
    <w:rsid w:val="001F3049"/>
    <w:rsid w:val="001F393A"/>
    <w:rsid w:val="001F460D"/>
    <w:rsid w:val="001F56C6"/>
    <w:rsid w:val="001F5B6D"/>
    <w:rsid w:val="001F7975"/>
    <w:rsid w:val="00201872"/>
    <w:rsid w:val="00201E65"/>
    <w:rsid w:val="00202144"/>
    <w:rsid w:val="00202784"/>
    <w:rsid w:val="00203BD5"/>
    <w:rsid w:val="00204300"/>
    <w:rsid w:val="002048D0"/>
    <w:rsid w:val="00205A52"/>
    <w:rsid w:val="00206039"/>
    <w:rsid w:val="00207360"/>
    <w:rsid w:val="002106D9"/>
    <w:rsid w:val="002110CB"/>
    <w:rsid w:val="00211C1B"/>
    <w:rsid w:val="0021441F"/>
    <w:rsid w:val="00223FF3"/>
    <w:rsid w:val="00225973"/>
    <w:rsid w:val="00226CCE"/>
    <w:rsid w:val="0023046E"/>
    <w:rsid w:val="0023129B"/>
    <w:rsid w:val="00231D6C"/>
    <w:rsid w:val="00232B77"/>
    <w:rsid w:val="00232BCF"/>
    <w:rsid w:val="002417BB"/>
    <w:rsid w:val="002428CA"/>
    <w:rsid w:val="00242C40"/>
    <w:rsid w:val="00242EC0"/>
    <w:rsid w:val="002434AD"/>
    <w:rsid w:val="00246ED9"/>
    <w:rsid w:val="0024719C"/>
    <w:rsid w:val="00251CAF"/>
    <w:rsid w:val="002538AE"/>
    <w:rsid w:val="00253A73"/>
    <w:rsid w:val="002549A3"/>
    <w:rsid w:val="002555E6"/>
    <w:rsid w:val="00255E30"/>
    <w:rsid w:val="0025781D"/>
    <w:rsid w:val="00257AE3"/>
    <w:rsid w:val="0026041D"/>
    <w:rsid w:val="00267D96"/>
    <w:rsid w:val="002713C2"/>
    <w:rsid w:val="0027144A"/>
    <w:rsid w:val="00271617"/>
    <w:rsid w:val="002717B3"/>
    <w:rsid w:val="002720DC"/>
    <w:rsid w:val="00273E08"/>
    <w:rsid w:val="00274923"/>
    <w:rsid w:val="00276A1D"/>
    <w:rsid w:val="00280136"/>
    <w:rsid w:val="0028321D"/>
    <w:rsid w:val="00283E00"/>
    <w:rsid w:val="00284362"/>
    <w:rsid w:val="00287656"/>
    <w:rsid w:val="00287E0F"/>
    <w:rsid w:val="00292165"/>
    <w:rsid w:val="002924FC"/>
    <w:rsid w:val="00293E24"/>
    <w:rsid w:val="00293E54"/>
    <w:rsid w:val="0029656B"/>
    <w:rsid w:val="002A05FE"/>
    <w:rsid w:val="002A1552"/>
    <w:rsid w:val="002A1F03"/>
    <w:rsid w:val="002A3A5F"/>
    <w:rsid w:val="002A3BC0"/>
    <w:rsid w:val="002A48F7"/>
    <w:rsid w:val="002A7F61"/>
    <w:rsid w:val="002B032C"/>
    <w:rsid w:val="002B5BD8"/>
    <w:rsid w:val="002B7CBE"/>
    <w:rsid w:val="002C038F"/>
    <w:rsid w:val="002C0BF9"/>
    <w:rsid w:val="002C0C2A"/>
    <w:rsid w:val="002C25B9"/>
    <w:rsid w:val="002C423C"/>
    <w:rsid w:val="002C5718"/>
    <w:rsid w:val="002C59AE"/>
    <w:rsid w:val="002C6587"/>
    <w:rsid w:val="002C78BD"/>
    <w:rsid w:val="002D0CAF"/>
    <w:rsid w:val="002D2500"/>
    <w:rsid w:val="002D25D6"/>
    <w:rsid w:val="002D28DA"/>
    <w:rsid w:val="002D2A8E"/>
    <w:rsid w:val="002D5C4B"/>
    <w:rsid w:val="002D5E74"/>
    <w:rsid w:val="002D627E"/>
    <w:rsid w:val="002D7121"/>
    <w:rsid w:val="002D7E52"/>
    <w:rsid w:val="002E0295"/>
    <w:rsid w:val="002E0C4D"/>
    <w:rsid w:val="002E1CE0"/>
    <w:rsid w:val="002E342A"/>
    <w:rsid w:val="002E5330"/>
    <w:rsid w:val="002E6829"/>
    <w:rsid w:val="002F01E1"/>
    <w:rsid w:val="002F1E40"/>
    <w:rsid w:val="002F269C"/>
    <w:rsid w:val="002F2D27"/>
    <w:rsid w:val="002F39E9"/>
    <w:rsid w:val="002F4A5E"/>
    <w:rsid w:val="002F77A2"/>
    <w:rsid w:val="003013B6"/>
    <w:rsid w:val="00301550"/>
    <w:rsid w:val="0030211F"/>
    <w:rsid w:val="00305028"/>
    <w:rsid w:val="00306E0C"/>
    <w:rsid w:val="003072EB"/>
    <w:rsid w:val="00310147"/>
    <w:rsid w:val="0031016C"/>
    <w:rsid w:val="00314244"/>
    <w:rsid w:val="00314ADE"/>
    <w:rsid w:val="00316AE8"/>
    <w:rsid w:val="00316CF0"/>
    <w:rsid w:val="00317D2F"/>
    <w:rsid w:val="003204EA"/>
    <w:rsid w:val="003226E3"/>
    <w:rsid w:val="00322795"/>
    <w:rsid w:val="00322F25"/>
    <w:rsid w:val="00323470"/>
    <w:rsid w:val="003235D1"/>
    <w:rsid w:val="00324A16"/>
    <w:rsid w:val="003264B3"/>
    <w:rsid w:val="00326D7B"/>
    <w:rsid w:val="00332CAE"/>
    <w:rsid w:val="00332DFA"/>
    <w:rsid w:val="00333082"/>
    <w:rsid w:val="00335151"/>
    <w:rsid w:val="003375D6"/>
    <w:rsid w:val="0034270D"/>
    <w:rsid w:val="00342B1F"/>
    <w:rsid w:val="00343F48"/>
    <w:rsid w:val="00347353"/>
    <w:rsid w:val="00347725"/>
    <w:rsid w:val="00353895"/>
    <w:rsid w:val="00355E45"/>
    <w:rsid w:val="00362934"/>
    <w:rsid w:val="003653D6"/>
    <w:rsid w:val="00366E92"/>
    <w:rsid w:val="0036725A"/>
    <w:rsid w:val="003711AE"/>
    <w:rsid w:val="00373D83"/>
    <w:rsid w:val="00376997"/>
    <w:rsid w:val="00376C88"/>
    <w:rsid w:val="00380B1F"/>
    <w:rsid w:val="00381056"/>
    <w:rsid w:val="0038245C"/>
    <w:rsid w:val="003834B2"/>
    <w:rsid w:val="00383CB2"/>
    <w:rsid w:val="003860DC"/>
    <w:rsid w:val="0038692D"/>
    <w:rsid w:val="00390F68"/>
    <w:rsid w:val="003922C9"/>
    <w:rsid w:val="00393199"/>
    <w:rsid w:val="00393500"/>
    <w:rsid w:val="0039587D"/>
    <w:rsid w:val="00395BDD"/>
    <w:rsid w:val="00396A3B"/>
    <w:rsid w:val="00396E90"/>
    <w:rsid w:val="00397CD8"/>
    <w:rsid w:val="003A0CC1"/>
    <w:rsid w:val="003A2135"/>
    <w:rsid w:val="003A2A47"/>
    <w:rsid w:val="003A3695"/>
    <w:rsid w:val="003A52AF"/>
    <w:rsid w:val="003B080D"/>
    <w:rsid w:val="003B386B"/>
    <w:rsid w:val="003B503D"/>
    <w:rsid w:val="003B50A2"/>
    <w:rsid w:val="003B588A"/>
    <w:rsid w:val="003B63A2"/>
    <w:rsid w:val="003C0151"/>
    <w:rsid w:val="003C14B5"/>
    <w:rsid w:val="003C18FC"/>
    <w:rsid w:val="003C2008"/>
    <w:rsid w:val="003C2FA8"/>
    <w:rsid w:val="003C3E6B"/>
    <w:rsid w:val="003C515F"/>
    <w:rsid w:val="003C7F70"/>
    <w:rsid w:val="003D0EFF"/>
    <w:rsid w:val="003D2538"/>
    <w:rsid w:val="003D281F"/>
    <w:rsid w:val="003D36DA"/>
    <w:rsid w:val="003D5655"/>
    <w:rsid w:val="003D68EA"/>
    <w:rsid w:val="003E073A"/>
    <w:rsid w:val="003E167C"/>
    <w:rsid w:val="003E2A82"/>
    <w:rsid w:val="003E2A9D"/>
    <w:rsid w:val="003E2B2F"/>
    <w:rsid w:val="003E41A7"/>
    <w:rsid w:val="003E4519"/>
    <w:rsid w:val="003E56B4"/>
    <w:rsid w:val="003E6C99"/>
    <w:rsid w:val="003F209E"/>
    <w:rsid w:val="003F2535"/>
    <w:rsid w:val="003F4601"/>
    <w:rsid w:val="003F4C07"/>
    <w:rsid w:val="003F53C7"/>
    <w:rsid w:val="004000D1"/>
    <w:rsid w:val="00401A01"/>
    <w:rsid w:val="00401FC8"/>
    <w:rsid w:val="00402AC3"/>
    <w:rsid w:val="0040367C"/>
    <w:rsid w:val="00404149"/>
    <w:rsid w:val="00405ADE"/>
    <w:rsid w:val="00405C51"/>
    <w:rsid w:val="00406004"/>
    <w:rsid w:val="004068CD"/>
    <w:rsid w:val="004074DA"/>
    <w:rsid w:val="004077DB"/>
    <w:rsid w:val="00412E21"/>
    <w:rsid w:val="00413DD9"/>
    <w:rsid w:val="0041496C"/>
    <w:rsid w:val="00415035"/>
    <w:rsid w:val="00415885"/>
    <w:rsid w:val="00415ACB"/>
    <w:rsid w:val="00420F72"/>
    <w:rsid w:val="004210DE"/>
    <w:rsid w:val="004226BB"/>
    <w:rsid w:val="0042748A"/>
    <w:rsid w:val="00433148"/>
    <w:rsid w:val="004331A8"/>
    <w:rsid w:val="0043378E"/>
    <w:rsid w:val="00434785"/>
    <w:rsid w:val="00434ADC"/>
    <w:rsid w:val="004442D8"/>
    <w:rsid w:val="00444976"/>
    <w:rsid w:val="004464EB"/>
    <w:rsid w:val="00447D14"/>
    <w:rsid w:val="00450508"/>
    <w:rsid w:val="00451B7A"/>
    <w:rsid w:val="004525FA"/>
    <w:rsid w:val="00453126"/>
    <w:rsid w:val="00462621"/>
    <w:rsid w:val="00464D9E"/>
    <w:rsid w:val="004677CD"/>
    <w:rsid w:val="004727AE"/>
    <w:rsid w:val="00474A28"/>
    <w:rsid w:val="00474F0A"/>
    <w:rsid w:val="00476B4E"/>
    <w:rsid w:val="0048072A"/>
    <w:rsid w:val="00481844"/>
    <w:rsid w:val="00486664"/>
    <w:rsid w:val="004908E0"/>
    <w:rsid w:val="00490F86"/>
    <w:rsid w:val="004913B0"/>
    <w:rsid w:val="00491602"/>
    <w:rsid w:val="00493978"/>
    <w:rsid w:val="004A09A0"/>
    <w:rsid w:val="004A2236"/>
    <w:rsid w:val="004A2C6A"/>
    <w:rsid w:val="004A7496"/>
    <w:rsid w:val="004B0D10"/>
    <w:rsid w:val="004B0E41"/>
    <w:rsid w:val="004B181D"/>
    <w:rsid w:val="004B2146"/>
    <w:rsid w:val="004B2C4E"/>
    <w:rsid w:val="004B4121"/>
    <w:rsid w:val="004B43BE"/>
    <w:rsid w:val="004B46CB"/>
    <w:rsid w:val="004B48AC"/>
    <w:rsid w:val="004B5C49"/>
    <w:rsid w:val="004B67DE"/>
    <w:rsid w:val="004C1E67"/>
    <w:rsid w:val="004C408F"/>
    <w:rsid w:val="004C4530"/>
    <w:rsid w:val="004C6285"/>
    <w:rsid w:val="004C7DE2"/>
    <w:rsid w:val="004D05D9"/>
    <w:rsid w:val="004D1363"/>
    <w:rsid w:val="004D150E"/>
    <w:rsid w:val="004D32C1"/>
    <w:rsid w:val="004D50B8"/>
    <w:rsid w:val="004D5711"/>
    <w:rsid w:val="004D5DD5"/>
    <w:rsid w:val="004D639C"/>
    <w:rsid w:val="004D68E2"/>
    <w:rsid w:val="004D7C1D"/>
    <w:rsid w:val="004E053F"/>
    <w:rsid w:val="004E11AD"/>
    <w:rsid w:val="004E1617"/>
    <w:rsid w:val="004E1EAA"/>
    <w:rsid w:val="004E24B6"/>
    <w:rsid w:val="004E31E2"/>
    <w:rsid w:val="004E579E"/>
    <w:rsid w:val="004F0306"/>
    <w:rsid w:val="004F0519"/>
    <w:rsid w:val="004F06C4"/>
    <w:rsid w:val="004F0F3D"/>
    <w:rsid w:val="004F4FBD"/>
    <w:rsid w:val="0050122E"/>
    <w:rsid w:val="0050150B"/>
    <w:rsid w:val="00505461"/>
    <w:rsid w:val="00506A8D"/>
    <w:rsid w:val="0050746A"/>
    <w:rsid w:val="005079CC"/>
    <w:rsid w:val="00511C17"/>
    <w:rsid w:val="005127F8"/>
    <w:rsid w:val="00512E37"/>
    <w:rsid w:val="0051679E"/>
    <w:rsid w:val="00521869"/>
    <w:rsid w:val="00523AD0"/>
    <w:rsid w:val="00524220"/>
    <w:rsid w:val="005254AC"/>
    <w:rsid w:val="00525B11"/>
    <w:rsid w:val="00525C24"/>
    <w:rsid w:val="0052687B"/>
    <w:rsid w:val="00530D8F"/>
    <w:rsid w:val="00533DDA"/>
    <w:rsid w:val="0053413B"/>
    <w:rsid w:val="00534225"/>
    <w:rsid w:val="00535041"/>
    <w:rsid w:val="00540755"/>
    <w:rsid w:val="00542E9A"/>
    <w:rsid w:val="00543E06"/>
    <w:rsid w:val="00545113"/>
    <w:rsid w:val="0054540B"/>
    <w:rsid w:val="00547A4F"/>
    <w:rsid w:val="00551B93"/>
    <w:rsid w:val="00551D26"/>
    <w:rsid w:val="00555305"/>
    <w:rsid w:val="005560B3"/>
    <w:rsid w:val="00556FEA"/>
    <w:rsid w:val="00557C56"/>
    <w:rsid w:val="00560BC8"/>
    <w:rsid w:val="00563A33"/>
    <w:rsid w:val="00563E5F"/>
    <w:rsid w:val="00564040"/>
    <w:rsid w:val="0056417E"/>
    <w:rsid w:val="00565366"/>
    <w:rsid w:val="0056672C"/>
    <w:rsid w:val="00566F5C"/>
    <w:rsid w:val="00576234"/>
    <w:rsid w:val="005804E9"/>
    <w:rsid w:val="0058235F"/>
    <w:rsid w:val="00584AA4"/>
    <w:rsid w:val="00585E27"/>
    <w:rsid w:val="00586699"/>
    <w:rsid w:val="00586CDF"/>
    <w:rsid w:val="00587881"/>
    <w:rsid w:val="005907BC"/>
    <w:rsid w:val="005918EC"/>
    <w:rsid w:val="00591F13"/>
    <w:rsid w:val="00593122"/>
    <w:rsid w:val="0059529D"/>
    <w:rsid w:val="00595DA1"/>
    <w:rsid w:val="00595F40"/>
    <w:rsid w:val="005964EB"/>
    <w:rsid w:val="00596ABC"/>
    <w:rsid w:val="005979CA"/>
    <w:rsid w:val="005A06F7"/>
    <w:rsid w:val="005A1235"/>
    <w:rsid w:val="005A3776"/>
    <w:rsid w:val="005A5250"/>
    <w:rsid w:val="005A704E"/>
    <w:rsid w:val="005A7C0B"/>
    <w:rsid w:val="005B0096"/>
    <w:rsid w:val="005B22EF"/>
    <w:rsid w:val="005B29B2"/>
    <w:rsid w:val="005B3B37"/>
    <w:rsid w:val="005B7FE3"/>
    <w:rsid w:val="005C0143"/>
    <w:rsid w:val="005C28D8"/>
    <w:rsid w:val="005C54D3"/>
    <w:rsid w:val="005C71CC"/>
    <w:rsid w:val="005D0D15"/>
    <w:rsid w:val="005D0DCA"/>
    <w:rsid w:val="005D0E77"/>
    <w:rsid w:val="005D130E"/>
    <w:rsid w:val="005D1DD9"/>
    <w:rsid w:val="005D31D1"/>
    <w:rsid w:val="005D3779"/>
    <w:rsid w:val="005D4023"/>
    <w:rsid w:val="005D4BBD"/>
    <w:rsid w:val="005D51BE"/>
    <w:rsid w:val="005D5FE7"/>
    <w:rsid w:val="005D6E58"/>
    <w:rsid w:val="005D75BC"/>
    <w:rsid w:val="005E04B5"/>
    <w:rsid w:val="005E0DE9"/>
    <w:rsid w:val="005E3925"/>
    <w:rsid w:val="005E45C0"/>
    <w:rsid w:val="005E6FDE"/>
    <w:rsid w:val="005E7378"/>
    <w:rsid w:val="005F3928"/>
    <w:rsid w:val="005F6C0A"/>
    <w:rsid w:val="006011A0"/>
    <w:rsid w:val="0060187D"/>
    <w:rsid w:val="00601DDB"/>
    <w:rsid w:val="00602D50"/>
    <w:rsid w:val="00603B39"/>
    <w:rsid w:val="0060570E"/>
    <w:rsid w:val="00610BAA"/>
    <w:rsid w:val="00610D02"/>
    <w:rsid w:val="0061318A"/>
    <w:rsid w:val="00615699"/>
    <w:rsid w:val="006168C7"/>
    <w:rsid w:val="00620B2B"/>
    <w:rsid w:val="00621164"/>
    <w:rsid w:val="006225CC"/>
    <w:rsid w:val="0062326E"/>
    <w:rsid w:val="00630A40"/>
    <w:rsid w:val="0063174E"/>
    <w:rsid w:val="0063249D"/>
    <w:rsid w:val="00632836"/>
    <w:rsid w:val="00632994"/>
    <w:rsid w:val="00633173"/>
    <w:rsid w:val="00636A35"/>
    <w:rsid w:val="00636B93"/>
    <w:rsid w:val="006405E3"/>
    <w:rsid w:val="00641FCD"/>
    <w:rsid w:val="00642861"/>
    <w:rsid w:val="006428DC"/>
    <w:rsid w:val="006433F9"/>
    <w:rsid w:val="00644EBD"/>
    <w:rsid w:val="00645CF2"/>
    <w:rsid w:val="00647FAC"/>
    <w:rsid w:val="0065037C"/>
    <w:rsid w:val="00654993"/>
    <w:rsid w:val="006552B6"/>
    <w:rsid w:val="0065599A"/>
    <w:rsid w:val="00656A76"/>
    <w:rsid w:val="00657543"/>
    <w:rsid w:val="006629AB"/>
    <w:rsid w:val="00662DDF"/>
    <w:rsid w:val="0066437D"/>
    <w:rsid w:val="006675AC"/>
    <w:rsid w:val="00670108"/>
    <w:rsid w:val="00671042"/>
    <w:rsid w:val="006711B8"/>
    <w:rsid w:val="006714E4"/>
    <w:rsid w:val="00672BD7"/>
    <w:rsid w:val="006735FC"/>
    <w:rsid w:val="00674907"/>
    <w:rsid w:val="00674DB8"/>
    <w:rsid w:val="00675C3A"/>
    <w:rsid w:val="0067724B"/>
    <w:rsid w:val="00677AC8"/>
    <w:rsid w:val="00677DEE"/>
    <w:rsid w:val="006816CE"/>
    <w:rsid w:val="006817B7"/>
    <w:rsid w:val="006820E4"/>
    <w:rsid w:val="00682107"/>
    <w:rsid w:val="006824CE"/>
    <w:rsid w:val="00682ACA"/>
    <w:rsid w:val="00683D50"/>
    <w:rsid w:val="00684546"/>
    <w:rsid w:val="006857D9"/>
    <w:rsid w:val="00690249"/>
    <w:rsid w:val="00690B7C"/>
    <w:rsid w:val="0069163F"/>
    <w:rsid w:val="00692257"/>
    <w:rsid w:val="006926B3"/>
    <w:rsid w:val="00692B60"/>
    <w:rsid w:val="006935D2"/>
    <w:rsid w:val="00695079"/>
    <w:rsid w:val="0069509D"/>
    <w:rsid w:val="00697BC9"/>
    <w:rsid w:val="006A1D99"/>
    <w:rsid w:val="006A24E5"/>
    <w:rsid w:val="006A42F0"/>
    <w:rsid w:val="006A494F"/>
    <w:rsid w:val="006A49B0"/>
    <w:rsid w:val="006B0911"/>
    <w:rsid w:val="006B0E78"/>
    <w:rsid w:val="006B1C08"/>
    <w:rsid w:val="006B3238"/>
    <w:rsid w:val="006B69CA"/>
    <w:rsid w:val="006C0224"/>
    <w:rsid w:val="006C2013"/>
    <w:rsid w:val="006C307F"/>
    <w:rsid w:val="006C6D76"/>
    <w:rsid w:val="006C6E21"/>
    <w:rsid w:val="006D059A"/>
    <w:rsid w:val="006D4C95"/>
    <w:rsid w:val="006D4FA6"/>
    <w:rsid w:val="006D7D2D"/>
    <w:rsid w:val="006E0A77"/>
    <w:rsid w:val="006E2476"/>
    <w:rsid w:val="006E2E3A"/>
    <w:rsid w:val="006E6BA6"/>
    <w:rsid w:val="006F1858"/>
    <w:rsid w:val="006F2E46"/>
    <w:rsid w:val="006F301F"/>
    <w:rsid w:val="006F39C8"/>
    <w:rsid w:val="007004DD"/>
    <w:rsid w:val="0070168B"/>
    <w:rsid w:val="00701855"/>
    <w:rsid w:val="007050DC"/>
    <w:rsid w:val="00706D76"/>
    <w:rsid w:val="00706E9A"/>
    <w:rsid w:val="00707B88"/>
    <w:rsid w:val="00707FBD"/>
    <w:rsid w:val="00710ECA"/>
    <w:rsid w:val="00713607"/>
    <w:rsid w:val="00720478"/>
    <w:rsid w:val="0072061E"/>
    <w:rsid w:val="00722721"/>
    <w:rsid w:val="00723B11"/>
    <w:rsid w:val="00723C5D"/>
    <w:rsid w:val="0072448A"/>
    <w:rsid w:val="00724ECA"/>
    <w:rsid w:val="00726838"/>
    <w:rsid w:val="00726C20"/>
    <w:rsid w:val="00730B27"/>
    <w:rsid w:val="00731B6F"/>
    <w:rsid w:val="00732E52"/>
    <w:rsid w:val="00733227"/>
    <w:rsid w:val="0073423C"/>
    <w:rsid w:val="00734B0A"/>
    <w:rsid w:val="00735041"/>
    <w:rsid w:val="00735CA2"/>
    <w:rsid w:val="00736BD1"/>
    <w:rsid w:val="0073725D"/>
    <w:rsid w:val="00737663"/>
    <w:rsid w:val="00737950"/>
    <w:rsid w:val="00743C37"/>
    <w:rsid w:val="00744CCC"/>
    <w:rsid w:val="00747971"/>
    <w:rsid w:val="00751A34"/>
    <w:rsid w:val="00751C56"/>
    <w:rsid w:val="00755D94"/>
    <w:rsid w:val="00755DB4"/>
    <w:rsid w:val="00761DD2"/>
    <w:rsid w:val="007628BF"/>
    <w:rsid w:val="00762EBF"/>
    <w:rsid w:val="00763F8A"/>
    <w:rsid w:val="00764A43"/>
    <w:rsid w:val="00766A5A"/>
    <w:rsid w:val="00770333"/>
    <w:rsid w:val="00770A3A"/>
    <w:rsid w:val="00770FD5"/>
    <w:rsid w:val="00771E0A"/>
    <w:rsid w:val="00772298"/>
    <w:rsid w:val="007727DA"/>
    <w:rsid w:val="00772AA5"/>
    <w:rsid w:val="00774FE4"/>
    <w:rsid w:val="0077588B"/>
    <w:rsid w:val="007765DC"/>
    <w:rsid w:val="007778A8"/>
    <w:rsid w:val="00781618"/>
    <w:rsid w:val="0078247C"/>
    <w:rsid w:val="00785376"/>
    <w:rsid w:val="007853C7"/>
    <w:rsid w:val="0078567F"/>
    <w:rsid w:val="00786D8B"/>
    <w:rsid w:val="00787986"/>
    <w:rsid w:val="00790316"/>
    <w:rsid w:val="00790FFC"/>
    <w:rsid w:val="007927E6"/>
    <w:rsid w:val="00793F76"/>
    <w:rsid w:val="0079438B"/>
    <w:rsid w:val="007947CB"/>
    <w:rsid w:val="007951AB"/>
    <w:rsid w:val="00795410"/>
    <w:rsid w:val="007961D3"/>
    <w:rsid w:val="00796F35"/>
    <w:rsid w:val="00797B3B"/>
    <w:rsid w:val="007A0115"/>
    <w:rsid w:val="007A07FA"/>
    <w:rsid w:val="007A089A"/>
    <w:rsid w:val="007A18D0"/>
    <w:rsid w:val="007A38B6"/>
    <w:rsid w:val="007A48CC"/>
    <w:rsid w:val="007A599C"/>
    <w:rsid w:val="007A7386"/>
    <w:rsid w:val="007B191A"/>
    <w:rsid w:val="007B1C23"/>
    <w:rsid w:val="007B304A"/>
    <w:rsid w:val="007B312D"/>
    <w:rsid w:val="007B3964"/>
    <w:rsid w:val="007B39C5"/>
    <w:rsid w:val="007B6B7E"/>
    <w:rsid w:val="007C21D9"/>
    <w:rsid w:val="007C29E9"/>
    <w:rsid w:val="007C3457"/>
    <w:rsid w:val="007C3E40"/>
    <w:rsid w:val="007C6226"/>
    <w:rsid w:val="007C6713"/>
    <w:rsid w:val="007C6E02"/>
    <w:rsid w:val="007D4DBF"/>
    <w:rsid w:val="007D5397"/>
    <w:rsid w:val="007D5A6C"/>
    <w:rsid w:val="007E15D9"/>
    <w:rsid w:val="007E53B4"/>
    <w:rsid w:val="007E7605"/>
    <w:rsid w:val="007E7B71"/>
    <w:rsid w:val="007F0FF2"/>
    <w:rsid w:val="007F1B94"/>
    <w:rsid w:val="007F20D7"/>
    <w:rsid w:val="007F337F"/>
    <w:rsid w:val="007F37ED"/>
    <w:rsid w:val="007F4CF2"/>
    <w:rsid w:val="007F4EAF"/>
    <w:rsid w:val="007F6EDA"/>
    <w:rsid w:val="0080340C"/>
    <w:rsid w:val="0080342A"/>
    <w:rsid w:val="008046DE"/>
    <w:rsid w:val="00806171"/>
    <w:rsid w:val="00806831"/>
    <w:rsid w:val="00807600"/>
    <w:rsid w:val="0081290C"/>
    <w:rsid w:val="00812AC0"/>
    <w:rsid w:val="00814CFE"/>
    <w:rsid w:val="008173A7"/>
    <w:rsid w:val="008214A8"/>
    <w:rsid w:val="00823211"/>
    <w:rsid w:val="00825980"/>
    <w:rsid w:val="008266E6"/>
    <w:rsid w:val="00830DB6"/>
    <w:rsid w:val="008348D3"/>
    <w:rsid w:val="008350D0"/>
    <w:rsid w:val="0083672F"/>
    <w:rsid w:val="0083684E"/>
    <w:rsid w:val="00847849"/>
    <w:rsid w:val="0085126C"/>
    <w:rsid w:val="00852B3F"/>
    <w:rsid w:val="008546CA"/>
    <w:rsid w:val="00855B61"/>
    <w:rsid w:val="008568F6"/>
    <w:rsid w:val="00856B40"/>
    <w:rsid w:val="0085716B"/>
    <w:rsid w:val="008578F7"/>
    <w:rsid w:val="00860995"/>
    <w:rsid w:val="00861264"/>
    <w:rsid w:val="00863D80"/>
    <w:rsid w:val="00866EFB"/>
    <w:rsid w:val="0086741E"/>
    <w:rsid w:val="0087003D"/>
    <w:rsid w:val="00870EE9"/>
    <w:rsid w:val="00872113"/>
    <w:rsid w:val="00872D9F"/>
    <w:rsid w:val="0087412A"/>
    <w:rsid w:val="00875E25"/>
    <w:rsid w:val="00876457"/>
    <w:rsid w:val="0088039B"/>
    <w:rsid w:val="00883CF3"/>
    <w:rsid w:val="00885912"/>
    <w:rsid w:val="00886EB0"/>
    <w:rsid w:val="008870E1"/>
    <w:rsid w:val="00887E34"/>
    <w:rsid w:val="00890BD2"/>
    <w:rsid w:val="008913ED"/>
    <w:rsid w:val="00891C1C"/>
    <w:rsid w:val="00893054"/>
    <w:rsid w:val="00893B8E"/>
    <w:rsid w:val="00896424"/>
    <w:rsid w:val="00896648"/>
    <w:rsid w:val="00896A52"/>
    <w:rsid w:val="00897D10"/>
    <w:rsid w:val="008A0AEE"/>
    <w:rsid w:val="008A105D"/>
    <w:rsid w:val="008A266A"/>
    <w:rsid w:val="008A48DD"/>
    <w:rsid w:val="008A5DEA"/>
    <w:rsid w:val="008A6F87"/>
    <w:rsid w:val="008B0156"/>
    <w:rsid w:val="008B08DA"/>
    <w:rsid w:val="008B1962"/>
    <w:rsid w:val="008B34B8"/>
    <w:rsid w:val="008B55D4"/>
    <w:rsid w:val="008B6436"/>
    <w:rsid w:val="008B6CDE"/>
    <w:rsid w:val="008B735E"/>
    <w:rsid w:val="008C0539"/>
    <w:rsid w:val="008C05D0"/>
    <w:rsid w:val="008C1B51"/>
    <w:rsid w:val="008C1FFC"/>
    <w:rsid w:val="008C6DC1"/>
    <w:rsid w:val="008D441A"/>
    <w:rsid w:val="008D644F"/>
    <w:rsid w:val="008D6DD7"/>
    <w:rsid w:val="008D79C6"/>
    <w:rsid w:val="008E0121"/>
    <w:rsid w:val="008E0FC6"/>
    <w:rsid w:val="008E2F7E"/>
    <w:rsid w:val="008E4490"/>
    <w:rsid w:val="008E489E"/>
    <w:rsid w:val="008F0175"/>
    <w:rsid w:val="008F0533"/>
    <w:rsid w:val="008F1935"/>
    <w:rsid w:val="008F19BE"/>
    <w:rsid w:val="008F2AC5"/>
    <w:rsid w:val="008F3831"/>
    <w:rsid w:val="008F7409"/>
    <w:rsid w:val="008F7F2D"/>
    <w:rsid w:val="00900A17"/>
    <w:rsid w:val="00901BCF"/>
    <w:rsid w:val="009022FC"/>
    <w:rsid w:val="00905030"/>
    <w:rsid w:val="00905082"/>
    <w:rsid w:val="00905865"/>
    <w:rsid w:val="009059DD"/>
    <w:rsid w:val="00905D81"/>
    <w:rsid w:val="00907570"/>
    <w:rsid w:val="00913DD1"/>
    <w:rsid w:val="00914D62"/>
    <w:rsid w:val="009152D8"/>
    <w:rsid w:val="0092005E"/>
    <w:rsid w:val="00921B86"/>
    <w:rsid w:val="00921F6E"/>
    <w:rsid w:val="009247F2"/>
    <w:rsid w:val="00926BCA"/>
    <w:rsid w:val="00926F81"/>
    <w:rsid w:val="00932A45"/>
    <w:rsid w:val="00933553"/>
    <w:rsid w:val="00937C25"/>
    <w:rsid w:val="00937DC5"/>
    <w:rsid w:val="00941459"/>
    <w:rsid w:val="00941D35"/>
    <w:rsid w:val="009426D4"/>
    <w:rsid w:val="00942EF0"/>
    <w:rsid w:val="00943045"/>
    <w:rsid w:val="00943121"/>
    <w:rsid w:val="009473E1"/>
    <w:rsid w:val="00950039"/>
    <w:rsid w:val="00950A04"/>
    <w:rsid w:val="00951099"/>
    <w:rsid w:val="00953815"/>
    <w:rsid w:val="0095387A"/>
    <w:rsid w:val="00953DFA"/>
    <w:rsid w:val="00954B30"/>
    <w:rsid w:val="009552B5"/>
    <w:rsid w:val="0095761F"/>
    <w:rsid w:val="009577FD"/>
    <w:rsid w:val="00957C2E"/>
    <w:rsid w:val="00960428"/>
    <w:rsid w:val="00961A12"/>
    <w:rsid w:val="00961A63"/>
    <w:rsid w:val="00962B49"/>
    <w:rsid w:val="009649DB"/>
    <w:rsid w:val="009665C7"/>
    <w:rsid w:val="00967D4D"/>
    <w:rsid w:val="0097067B"/>
    <w:rsid w:val="009726BD"/>
    <w:rsid w:val="009755F9"/>
    <w:rsid w:val="00975BE5"/>
    <w:rsid w:val="00976B5F"/>
    <w:rsid w:val="00976E53"/>
    <w:rsid w:val="00977484"/>
    <w:rsid w:val="009817B2"/>
    <w:rsid w:val="00984A17"/>
    <w:rsid w:val="00987752"/>
    <w:rsid w:val="00990010"/>
    <w:rsid w:val="00990957"/>
    <w:rsid w:val="00992F1E"/>
    <w:rsid w:val="009937C0"/>
    <w:rsid w:val="009967C8"/>
    <w:rsid w:val="00996970"/>
    <w:rsid w:val="009970E5"/>
    <w:rsid w:val="0099764A"/>
    <w:rsid w:val="00997A28"/>
    <w:rsid w:val="009A07A2"/>
    <w:rsid w:val="009A108C"/>
    <w:rsid w:val="009A1601"/>
    <w:rsid w:val="009A30B6"/>
    <w:rsid w:val="009A424F"/>
    <w:rsid w:val="009A4331"/>
    <w:rsid w:val="009A5254"/>
    <w:rsid w:val="009A5316"/>
    <w:rsid w:val="009A68DC"/>
    <w:rsid w:val="009A7460"/>
    <w:rsid w:val="009A7CB1"/>
    <w:rsid w:val="009B1DFC"/>
    <w:rsid w:val="009B2553"/>
    <w:rsid w:val="009B5A4D"/>
    <w:rsid w:val="009B60EC"/>
    <w:rsid w:val="009C1A14"/>
    <w:rsid w:val="009C1FF9"/>
    <w:rsid w:val="009C26E6"/>
    <w:rsid w:val="009C3168"/>
    <w:rsid w:val="009C4584"/>
    <w:rsid w:val="009C7B01"/>
    <w:rsid w:val="009D09F5"/>
    <w:rsid w:val="009D217A"/>
    <w:rsid w:val="009D2803"/>
    <w:rsid w:val="009D2830"/>
    <w:rsid w:val="009D3485"/>
    <w:rsid w:val="009D3688"/>
    <w:rsid w:val="009D793C"/>
    <w:rsid w:val="009D7E77"/>
    <w:rsid w:val="009E1E53"/>
    <w:rsid w:val="009E1FE1"/>
    <w:rsid w:val="009E34FE"/>
    <w:rsid w:val="009E48A8"/>
    <w:rsid w:val="009E500B"/>
    <w:rsid w:val="009E64A6"/>
    <w:rsid w:val="009F0528"/>
    <w:rsid w:val="009F0863"/>
    <w:rsid w:val="009F1149"/>
    <w:rsid w:val="009F2475"/>
    <w:rsid w:val="009F709F"/>
    <w:rsid w:val="00A0305B"/>
    <w:rsid w:val="00A03392"/>
    <w:rsid w:val="00A035C0"/>
    <w:rsid w:val="00A049D9"/>
    <w:rsid w:val="00A062D3"/>
    <w:rsid w:val="00A10EFE"/>
    <w:rsid w:val="00A126D3"/>
    <w:rsid w:val="00A1627B"/>
    <w:rsid w:val="00A2262C"/>
    <w:rsid w:val="00A24266"/>
    <w:rsid w:val="00A26633"/>
    <w:rsid w:val="00A27361"/>
    <w:rsid w:val="00A321A7"/>
    <w:rsid w:val="00A32392"/>
    <w:rsid w:val="00A32723"/>
    <w:rsid w:val="00A3631D"/>
    <w:rsid w:val="00A40FB9"/>
    <w:rsid w:val="00A410FC"/>
    <w:rsid w:val="00A412AA"/>
    <w:rsid w:val="00A42D2E"/>
    <w:rsid w:val="00A43A14"/>
    <w:rsid w:val="00A45B8D"/>
    <w:rsid w:val="00A4663A"/>
    <w:rsid w:val="00A47717"/>
    <w:rsid w:val="00A50531"/>
    <w:rsid w:val="00A5152A"/>
    <w:rsid w:val="00A51FF8"/>
    <w:rsid w:val="00A52D5C"/>
    <w:rsid w:val="00A53BF3"/>
    <w:rsid w:val="00A54B7D"/>
    <w:rsid w:val="00A5653C"/>
    <w:rsid w:val="00A5659C"/>
    <w:rsid w:val="00A618C8"/>
    <w:rsid w:val="00A668DA"/>
    <w:rsid w:val="00A66917"/>
    <w:rsid w:val="00A70118"/>
    <w:rsid w:val="00A75BDB"/>
    <w:rsid w:val="00A80393"/>
    <w:rsid w:val="00A8070A"/>
    <w:rsid w:val="00A83857"/>
    <w:rsid w:val="00A90136"/>
    <w:rsid w:val="00A9115B"/>
    <w:rsid w:val="00A92AD1"/>
    <w:rsid w:val="00A92F71"/>
    <w:rsid w:val="00A9400F"/>
    <w:rsid w:val="00A95942"/>
    <w:rsid w:val="00A979D4"/>
    <w:rsid w:val="00AA26FC"/>
    <w:rsid w:val="00AA34D1"/>
    <w:rsid w:val="00AA4D64"/>
    <w:rsid w:val="00AA7441"/>
    <w:rsid w:val="00AB1687"/>
    <w:rsid w:val="00AB1BF2"/>
    <w:rsid w:val="00AB31FD"/>
    <w:rsid w:val="00AB34AC"/>
    <w:rsid w:val="00AB3FBA"/>
    <w:rsid w:val="00AB6400"/>
    <w:rsid w:val="00AB799A"/>
    <w:rsid w:val="00AC036A"/>
    <w:rsid w:val="00AC0E5A"/>
    <w:rsid w:val="00AC18B8"/>
    <w:rsid w:val="00AC1F9E"/>
    <w:rsid w:val="00AC3A62"/>
    <w:rsid w:val="00AC40CC"/>
    <w:rsid w:val="00AC487F"/>
    <w:rsid w:val="00AC4892"/>
    <w:rsid w:val="00AC53F9"/>
    <w:rsid w:val="00AC6DAF"/>
    <w:rsid w:val="00AC772C"/>
    <w:rsid w:val="00AD121E"/>
    <w:rsid w:val="00AD20F4"/>
    <w:rsid w:val="00AD35F0"/>
    <w:rsid w:val="00AD4F05"/>
    <w:rsid w:val="00AD729D"/>
    <w:rsid w:val="00AE1013"/>
    <w:rsid w:val="00AE1A6D"/>
    <w:rsid w:val="00AE1ABE"/>
    <w:rsid w:val="00AE1CBE"/>
    <w:rsid w:val="00AE20F0"/>
    <w:rsid w:val="00AE6BD2"/>
    <w:rsid w:val="00AE72D9"/>
    <w:rsid w:val="00AE7BD7"/>
    <w:rsid w:val="00AE7D1D"/>
    <w:rsid w:val="00AF00A5"/>
    <w:rsid w:val="00AF134A"/>
    <w:rsid w:val="00AF1FE5"/>
    <w:rsid w:val="00AF73EE"/>
    <w:rsid w:val="00AF73FB"/>
    <w:rsid w:val="00B014F7"/>
    <w:rsid w:val="00B02639"/>
    <w:rsid w:val="00B03E59"/>
    <w:rsid w:val="00B05268"/>
    <w:rsid w:val="00B06AB1"/>
    <w:rsid w:val="00B07B3F"/>
    <w:rsid w:val="00B102A9"/>
    <w:rsid w:val="00B11A82"/>
    <w:rsid w:val="00B12108"/>
    <w:rsid w:val="00B13530"/>
    <w:rsid w:val="00B15568"/>
    <w:rsid w:val="00B15EAF"/>
    <w:rsid w:val="00B167CB"/>
    <w:rsid w:val="00B200ED"/>
    <w:rsid w:val="00B2139A"/>
    <w:rsid w:val="00B21687"/>
    <w:rsid w:val="00B23BEF"/>
    <w:rsid w:val="00B2437B"/>
    <w:rsid w:val="00B25618"/>
    <w:rsid w:val="00B25879"/>
    <w:rsid w:val="00B27011"/>
    <w:rsid w:val="00B3127B"/>
    <w:rsid w:val="00B31DAC"/>
    <w:rsid w:val="00B32B17"/>
    <w:rsid w:val="00B33360"/>
    <w:rsid w:val="00B34EDB"/>
    <w:rsid w:val="00B40C24"/>
    <w:rsid w:val="00B40D8D"/>
    <w:rsid w:val="00B40F96"/>
    <w:rsid w:val="00B41C97"/>
    <w:rsid w:val="00B42F2B"/>
    <w:rsid w:val="00B430A5"/>
    <w:rsid w:val="00B461DB"/>
    <w:rsid w:val="00B46C93"/>
    <w:rsid w:val="00B47E25"/>
    <w:rsid w:val="00B50DC6"/>
    <w:rsid w:val="00B52EFB"/>
    <w:rsid w:val="00B55318"/>
    <w:rsid w:val="00B57FD1"/>
    <w:rsid w:val="00B60A6D"/>
    <w:rsid w:val="00B60CC8"/>
    <w:rsid w:val="00B62CE1"/>
    <w:rsid w:val="00B633EC"/>
    <w:rsid w:val="00B64805"/>
    <w:rsid w:val="00B6566D"/>
    <w:rsid w:val="00B657F9"/>
    <w:rsid w:val="00B66662"/>
    <w:rsid w:val="00B67732"/>
    <w:rsid w:val="00B7162B"/>
    <w:rsid w:val="00B734D6"/>
    <w:rsid w:val="00B747B4"/>
    <w:rsid w:val="00B748FF"/>
    <w:rsid w:val="00B74A81"/>
    <w:rsid w:val="00B75C2D"/>
    <w:rsid w:val="00B811DB"/>
    <w:rsid w:val="00B816AF"/>
    <w:rsid w:val="00B818FA"/>
    <w:rsid w:val="00B824DA"/>
    <w:rsid w:val="00B8326D"/>
    <w:rsid w:val="00B85BB2"/>
    <w:rsid w:val="00B86393"/>
    <w:rsid w:val="00B87605"/>
    <w:rsid w:val="00B922B7"/>
    <w:rsid w:val="00B97FAC"/>
    <w:rsid w:val="00BA0E4D"/>
    <w:rsid w:val="00BA22E3"/>
    <w:rsid w:val="00BA2C23"/>
    <w:rsid w:val="00BA59B3"/>
    <w:rsid w:val="00BA5B4E"/>
    <w:rsid w:val="00BA799C"/>
    <w:rsid w:val="00BA7ABF"/>
    <w:rsid w:val="00BA7DE0"/>
    <w:rsid w:val="00BB05AE"/>
    <w:rsid w:val="00BB3D8B"/>
    <w:rsid w:val="00BB4601"/>
    <w:rsid w:val="00BC271A"/>
    <w:rsid w:val="00BC2906"/>
    <w:rsid w:val="00BC3CC9"/>
    <w:rsid w:val="00BC46D9"/>
    <w:rsid w:val="00BC5DF5"/>
    <w:rsid w:val="00BC7758"/>
    <w:rsid w:val="00BD2803"/>
    <w:rsid w:val="00BD2E57"/>
    <w:rsid w:val="00BD3D14"/>
    <w:rsid w:val="00BD44E6"/>
    <w:rsid w:val="00BD5246"/>
    <w:rsid w:val="00BD5F4E"/>
    <w:rsid w:val="00BD66BF"/>
    <w:rsid w:val="00BD7C0A"/>
    <w:rsid w:val="00BE2A02"/>
    <w:rsid w:val="00BE2EF7"/>
    <w:rsid w:val="00BF2251"/>
    <w:rsid w:val="00BF3A2E"/>
    <w:rsid w:val="00BF3F7E"/>
    <w:rsid w:val="00BF48B6"/>
    <w:rsid w:val="00BF4D8B"/>
    <w:rsid w:val="00BF695B"/>
    <w:rsid w:val="00C00265"/>
    <w:rsid w:val="00C01B29"/>
    <w:rsid w:val="00C01E4C"/>
    <w:rsid w:val="00C0514B"/>
    <w:rsid w:val="00C0744E"/>
    <w:rsid w:val="00C1300E"/>
    <w:rsid w:val="00C17178"/>
    <w:rsid w:val="00C17713"/>
    <w:rsid w:val="00C21F39"/>
    <w:rsid w:val="00C24386"/>
    <w:rsid w:val="00C24E8A"/>
    <w:rsid w:val="00C26379"/>
    <w:rsid w:val="00C2727F"/>
    <w:rsid w:val="00C30907"/>
    <w:rsid w:val="00C31081"/>
    <w:rsid w:val="00C3210A"/>
    <w:rsid w:val="00C327FE"/>
    <w:rsid w:val="00C338F3"/>
    <w:rsid w:val="00C352BA"/>
    <w:rsid w:val="00C35E83"/>
    <w:rsid w:val="00C37BD4"/>
    <w:rsid w:val="00C413AF"/>
    <w:rsid w:val="00C42510"/>
    <w:rsid w:val="00C430C9"/>
    <w:rsid w:val="00C43717"/>
    <w:rsid w:val="00C4502C"/>
    <w:rsid w:val="00C458C9"/>
    <w:rsid w:val="00C460E8"/>
    <w:rsid w:val="00C46DC0"/>
    <w:rsid w:val="00C50539"/>
    <w:rsid w:val="00C51790"/>
    <w:rsid w:val="00C5256E"/>
    <w:rsid w:val="00C567EA"/>
    <w:rsid w:val="00C60A36"/>
    <w:rsid w:val="00C60C5D"/>
    <w:rsid w:val="00C6263E"/>
    <w:rsid w:val="00C70BF7"/>
    <w:rsid w:val="00C75D35"/>
    <w:rsid w:val="00C7655E"/>
    <w:rsid w:val="00C76AF7"/>
    <w:rsid w:val="00C76D88"/>
    <w:rsid w:val="00C83229"/>
    <w:rsid w:val="00C839EE"/>
    <w:rsid w:val="00C8479A"/>
    <w:rsid w:val="00C85C31"/>
    <w:rsid w:val="00C866A8"/>
    <w:rsid w:val="00C87046"/>
    <w:rsid w:val="00C8750B"/>
    <w:rsid w:val="00C87991"/>
    <w:rsid w:val="00C91336"/>
    <w:rsid w:val="00C91C97"/>
    <w:rsid w:val="00C944D5"/>
    <w:rsid w:val="00C94865"/>
    <w:rsid w:val="00C94CCF"/>
    <w:rsid w:val="00C961E3"/>
    <w:rsid w:val="00C96DF1"/>
    <w:rsid w:val="00C977FD"/>
    <w:rsid w:val="00CA11AC"/>
    <w:rsid w:val="00CA1A81"/>
    <w:rsid w:val="00CA29FB"/>
    <w:rsid w:val="00CA458F"/>
    <w:rsid w:val="00CA6C11"/>
    <w:rsid w:val="00CA770C"/>
    <w:rsid w:val="00CA7C60"/>
    <w:rsid w:val="00CB0287"/>
    <w:rsid w:val="00CB0D8D"/>
    <w:rsid w:val="00CB366F"/>
    <w:rsid w:val="00CB74D6"/>
    <w:rsid w:val="00CB767A"/>
    <w:rsid w:val="00CC112D"/>
    <w:rsid w:val="00CC2F3D"/>
    <w:rsid w:val="00CC2FD2"/>
    <w:rsid w:val="00CC5E6A"/>
    <w:rsid w:val="00CC6B62"/>
    <w:rsid w:val="00CC7614"/>
    <w:rsid w:val="00CD2C1C"/>
    <w:rsid w:val="00CD4A31"/>
    <w:rsid w:val="00CD74FD"/>
    <w:rsid w:val="00CE35EB"/>
    <w:rsid w:val="00CE5F64"/>
    <w:rsid w:val="00CE70EA"/>
    <w:rsid w:val="00CF0545"/>
    <w:rsid w:val="00CF4303"/>
    <w:rsid w:val="00CF6CBA"/>
    <w:rsid w:val="00D00565"/>
    <w:rsid w:val="00D01F46"/>
    <w:rsid w:val="00D0408E"/>
    <w:rsid w:val="00D04502"/>
    <w:rsid w:val="00D048E6"/>
    <w:rsid w:val="00D06DA8"/>
    <w:rsid w:val="00D06F9C"/>
    <w:rsid w:val="00D07A63"/>
    <w:rsid w:val="00D104B9"/>
    <w:rsid w:val="00D11CF8"/>
    <w:rsid w:val="00D15633"/>
    <w:rsid w:val="00D15954"/>
    <w:rsid w:val="00D1613D"/>
    <w:rsid w:val="00D1736E"/>
    <w:rsid w:val="00D17506"/>
    <w:rsid w:val="00D27188"/>
    <w:rsid w:val="00D3264B"/>
    <w:rsid w:val="00D33D78"/>
    <w:rsid w:val="00D33F02"/>
    <w:rsid w:val="00D410F7"/>
    <w:rsid w:val="00D422D0"/>
    <w:rsid w:val="00D432E4"/>
    <w:rsid w:val="00D43EE7"/>
    <w:rsid w:val="00D441EB"/>
    <w:rsid w:val="00D51E26"/>
    <w:rsid w:val="00D545A4"/>
    <w:rsid w:val="00D55DED"/>
    <w:rsid w:val="00D56852"/>
    <w:rsid w:val="00D629D1"/>
    <w:rsid w:val="00D63413"/>
    <w:rsid w:val="00D6368C"/>
    <w:rsid w:val="00D6518A"/>
    <w:rsid w:val="00D7195A"/>
    <w:rsid w:val="00D7291E"/>
    <w:rsid w:val="00D7451C"/>
    <w:rsid w:val="00D75CAD"/>
    <w:rsid w:val="00D75D51"/>
    <w:rsid w:val="00D76623"/>
    <w:rsid w:val="00D76D95"/>
    <w:rsid w:val="00D80C37"/>
    <w:rsid w:val="00D8153B"/>
    <w:rsid w:val="00D82F0C"/>
    <w:rsid w:val="00D84157"/>
    <w:rsid w:val="00D85159"/>
    <w:rsid w:val="00D85682"/>
    <w:rsid w:val="00D860B1"/>
    <w:rsid w:val="00D8615E"/>
    <w:rsid w:val="00D90AC8"/>
    <w:rsid w:val="00D93249"/>
    <w:rsid w:val="00DA28EF"/>
    <w:rsid w:val="00DA3394"/>
    <w:rsid w:val="00DA5A3D"/>
    <w:rsid w:val="00DA6430"/>
    <w:rsid w:val="00DA6DF6"/>
    <w:rsid w:val="00DA756B"/>
    <w:rsid w:val="00DB0F5E"/>
    <w:rsid w:val="00DB507D"/>
    <w:rsid w:val="00DB61CD"/>
    <w:rsid w:val="00DB7278"/>
    <w:rsid w:val="00DC0FD6"/>
    <w:rsid w:val="00DC2528"/>
    <w:rsid w:val="00DC70B1"/>
    <w:rsid w:val="00DD0A65"/>
    <w:rsid w:val="00DD464E"/>
    <w:rsid w:val="00DD5315"/>
    <w:rsid w:val="00DD6624"/>
    <w:rsid w:val="00DD783B"/>
    <w:rsid w:val="00DD7F73"/>
    <w:rsid w:val="00DE11CD"/>
    <w:rsid w:val="00DE1220"/>
    <w:rsid w:val="00DE24C9"/>
    <w:rsid w:val="00DE363F"/>
    <w:rsid w:val="00DE5EBC"/>
    <w:rsid w:val="00DE693B"/>
    <w:rsid w:val="00DE7917"/>
    <w:rsid w:val="00DF072D"/>
    <w:rsid w:val="00DF450E"/>
    <w:rsid w:val="00DF5D1B"/>
    <w:rsid w:val="00DF5E12"/>
    <w:rsid w:val="00DF62CC"/>
    <w:rsid w:val="00DF7DB5"/>
    <w:rsid w:val="00E00CAB"/>
    <w:rsid w:val="00E01A12"/>
    <w:rsid w:val="00E01A42"/>
    <w:rsid w:val="00E01D0D"/>
    <w:rsid w:val="00E033B1"/>
    <w:rsid w:val="00E04EE3"/>
    <w:rsid w:val="00E108D0"/>
    <w:rsid w:val="00E1178E"/>
    <w:rsid w:val="00E14A5B"/>
    <w:rsid w:val="00E14C89"/>
    <w:rsid w:val="00E1758C"/>
    <w:rsid w:val="00E207C6"/>
    <w:rsid w:val="00E212A3"/>
    <w:rsid w:val="00E22F5C"/>
    <w:rsid w:val="00E233AC"/>
    <w:rsid w:val="00E25163"/>
    <w:rsid w:val="00E27E74"/>
    <w:rsid w:val="00E27F2F"/>
    <w:rsid w:val="00E317A5"/>
    <w:rsid w:val="00E32B9B"/>
    <w:rsid w:val="00E32E05"/>
    <w:rsid w:val="00E32F32"/>
    <w:rsid w:val="00E36999"/>
    <w:rsid w:val="00E3722E"/>
    <w:rsid w:val="00E37C7D"/>
    <w:rsid w:val="00E41BBA"/>
    <w:rsid w:val="00E43030"/>
    <w:rsid w:val="00E4352F"/>
    <w:rsid w:val="00E43828"/>
    <w:rsid w:val="00E46A61"/>
    <w:rsid w:val="00E47A99"/>
    <w:rsid w:val="00E47FC5"/>
    <w:rsid w:val="00E5019B"/>
    <w:rsid w:val="00E509DA"/>
    <w:rsid w:val="00E5193D"/>
    <w:rsid w:val="00E52FA7"/>
    <w:rsid w:val="00E5382E"/>
    <w:rsid w:val="00E54D02"/>
    <w:rsid w:val="00E579BF"/>
    <w:rsid w:val="00E57AA9"/>
    <w:rsid w:val="00E6239F"/>
    <w:rsid w:val="00E625E1"/>
    <w:rsid w:val="00E62FF1"/>
    <w:rsid w:val="00E650C7"/>
    <w:rsid w:val="00E717FF"/>
    <w:rsid w:val="00E72A10"/>
    <w:rsid w:val="00E73EEC"/>
    <w:rsid w:val="00E74C70"/>
    <w:rsid w:val="00E75564"/>
    <w:rsid w:val="00E7723B"/>
    <w:rsid w:val="00E832F3"/>
    <w:rsid w:val="00E840D4"/>
    <w:rsid w:val="00E8673B"/>
    <w:rsid w:val="00E872CC"/>
    <w:rsid w:val="00E9163B"/>
    <w:rsid w:val="00E92E8F"/>
    <w:rsid w:val="00E95260"/>
    <w:rsid w:val="00E96338"/>
    <w:rsid w:val="00E96CF7"/>
    <w:rsid w:val="00E9799D"/>
    <w:rsid w:val="00EA4865"/>
    <w:rsid w:val="00EA6C82"/>
    <w:rsid w:val="00EA789A"/>
    <w:rsid w:val="00EA78E8"/>
    <w:rsid w:val="00EB09FB"/>
    <w:rsid w:val="00EB2469"/>
    <w:rsid w:val="00EB298C"/>
    <w:rsid w:val="00EB3735"/>
    <w:rsid w:val="00EB39D5"/>
    <w:rsid w:val="00EB4F0F"/>
    <w:rsid w:val="00EB5864"/>
    <w:rsid w:val="00EB69E9"/>
    <w:rsid w:val="00EC1AE4"/>
    <w:rsid w:val="00EC251F"/>
    <w:rsid w:val="00EC27C8"/>
    <w:rsid w:val="00EC2816"/>
    <w:rsid w:val="00EC68BD"/>
    <w:rsid w:val="00EC748D"/>
    <w:rsid w:val="00ED0CAC"/>
    <w:rsid w:val="00ED19EB"/>
    <w:rsid w:val="00ED2C46"/>
    <w:rsid w:val="00ED38A9"/>
    <w:rsid w:val="00ED3E2B"/>
    <w:rsid w:val="00ED4011"/>
    <w:rsid w:val="00EE362D"/>
    <w:rsid w:val="00EE574C"/>
    <w:rsid w:val="00EF1B73"/>
    <w:rsid w:val="00EF2A8C"/>
    <w:rsid w:val="00EF3661"/>
    <w:rsid w:val="00EF5F9B"/>
    <w:rsid w:val="00EF65DF"/>
    <w:rsid w:val="00F02E5F"/>
    <w:rsid w:val="00F035E0"/>
    <w:rsid w:val="00F037AA"/>
    <w:rsid w:val="00F042BB"/>
    <w:rsid w:val="00F06BE7"/>
    <w:rsid w:val="00F06EF0"/>
    <w:rsid w:val="00F10AF1"/>
    <w:rsid w:val="00F10CA5"/>
    <w:rsid w:val="00F10D1F"/>
    <w:rsid w:val="00F10EF3"/>
    <w:rsid w:val="00F11931"/>
    <w:rsid w:val="00F11EB3"/>
    <w:rsid w:val="00F12CE4"/>
    <w:rsid w:val="00F14FDE"/>
    <w:rsid w:val="00F15035"/>
    <w:rsid w:val="00F15873"/>
    <w:rsid w:val="00F16D35"/>
    <w:rsid w:val="00F21191"/>
    <w:rsid w:val="00F22027"/>
    <w:rsid w:val="00F23555"/>
    <w:rsid w:val="00F23B54"/>
    <w:rsid w:val="00F23C5D"/>
    <w:rsid w:val="00F241AA"/>
    <w:rsid w:val="00F243F8"/>
    <w:rsid w:val="00F30297"/>
    <w:rsid w:val="00F30760"/>
    <w:rsid w:val="00F30C38"/>
    <w:rsid w:val="00F31CF5"/>
    <w:rsid w:val="00F31E8A"/>
    <w:rsid w:val="00F3266C"/>
    <w:rsid w:val="00F33590"/>
    <w:rsid w:val="00F3510D"/>
    <w:rsid w:val="00F359EF"/>
    <w:rsid w:val="00F35B1B"/>
    <w:rsid w:val="00F36778"/>
    <w:rsid w:val="00F372BB"/>
    <w:rsid w:val="00F420DA"/>
    <w:rsid w:val="00F4211B"/>
    <w:rsid w:val="00F43390"/>
    <w:rsid w:val="00F43BD6"/>
    <w:rsid w:val="00F445AF"/>
    <w:rsid w:val="00F46BFB"/>
    <w:rsid w:val="00F5061F"/>
    <w:rsid w:val="00F50A56"/>
    <w:rsid w:val="00F53FD7"/>
    <w:rsid w:val="00F545C6"/>
    <w:rsid w:val="00F5493E"/>
    <w:rsid w:val="00F555F7"/>
    <w:rsid w:val="00F56238"/>
    <w:rsid w:val="00F567D3"/>
    <w:rsid w:val="00F56AC1"/>
    <w:rsid w:val="00F56C48"/>
    <w:rsid w:val="00F57952"/>
    <w:rsid w:val="00F60251"/>
    <w:rsid w:val="00F611C5"/>
    <w:rsid w:val="00F61AD1"/>
    <w:rsid w:val="00F62F06"/>
    <w:rsid w:val="00F62FC2"/>
    <w:rsid w:val="00F631DB"/>
    <w:rsid w:val="00F63FD5"/>
    <w:rsid w:val="00F67206"/>
    <w:rsid w:val="00F672B8"/>
    <w:rsid w:val="00F73755"/>
    <w:rsid w:val="00F76C62"/>
    <w:rsid w:val="00F770F3"/>
    <w:rsid w:val="00F81994"/>
    <w:rsid w:val="00F82FA5"/>
    <w:rsid w:val="00F85542"/>
    <w:rsid w:val="00F85A4B"/>
    <w:rsid w:val="00F85EBD"/>
    <w:rsid w:val="00F8627D"/>
    <w:rsid w:val="00F86761"/>
    <w:rsid w:val="00F87CD8"/>
    <w:rsid w:val="00F93814"/>
    <w:rsid w:val="00F94295"/>
    <w:rsid w:val="00FA0184"/>
    <w:rsid w:val="00FA1DCA"/>
    <w:rsid w:val="00FA3903"/>
    <w:rsid w:val="00FA3A0C"/>
    <w:rsid w:val="00FA4D1C"/>
    <w:rsid w:val="00FA5128"/>
    <w:rsid w:val="00FA7E46"/>
    <w:rsid w:val="00FB1003"/>
    <w:rsid w:val="00FB6009"/>
    <w:rsid w:val="00FB6620"/>
    <w:rsid w:val="00FB6713"/>
    <w:rsid w:val="00FB769F"/>
    <w:rsid w:val="00FC02B8"/>
    <w:rsid w:val="00FC5831"/>
    <w:rsid w:val="00FC5EEA"/>
    <w:rsid w:val="00FC629A"/>
    <w:rsid w:val="00FC6AE4"/>
    <w:rsid w:val="00FC6B17"/>
    <w:rsid w:val="00FC7AD0"/>
    <w:rsid w:val="00FD04A4"/>
    <w:rsid w:val="00FD25AC"/>
    <w:rsid w:val="00FD40CF"/>
    <w:rsid w:val="00FD6697"/>
    <w:rsid w:val="00FD74D3"/>
    <w:rsid w:val="00FE10A8"/>
    <w:rsid w:val="00FE1452"/>
    <w:rsid w:val="00FE1FCC"/>
    <w:rsid w:val="00FE2145"/>
    <w:rsid w:val="00FE2245"/>
    <w:rsid w:val="00FE3A25"/>
    <w:rsid w:val="00FE471F"/>
    <w:rsid w:val="00FE4E84"/>
    <w:rsid w:val="00FE7CD6"/>
    <w:rsid w:val="00FF5B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4C0B21"/>
  <w15:chartTrackingRefBased/>
  <w15:docId w15:val="{E3661B57-A396-40F1-BF92-2A2AD134F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Calibri"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264B"/>
    <w:pPr>
      <w:ind w:firstLine="720"/>
      <w:jc w:val="both"/>
    </w:pPr>
    <w:rPr>
      <w:kern w:val="2"/>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758C"/>
    <w:pPr>
      <w:tabs>
        <w:tab w:val="center" w:pos="4680"/>
        <w:tab w:val="right" w:pos="9360"/>
      </w:tabs>
    </w:pPr>
  </w:style>
  <w:style w:type="character" w:customStyle="1" w:styleId="HeaderChar">
    <w:name w:val="Header Char"/>
    <w:basedOn w:val="DefaultParagraphFont"/>
    <w:link w:val="Header"/>
    <w:uiPriority w:val="99"/>
    <w:rsid w:val="00E1758C"/>
  </w:style>
  <w:style w:type="paragraph" w:styleId="Footer">
    <w:name w:val="footer"/>
    <w:basedOn w:val="Normal"/>
    <w:link w:val="FooterChar"/>
    <w:uiPriority w:val="99"/>
    <w:unhideWhenUsed/>
    <w:rsid w:val="00E1758C"/>
    <w:pPr>
      <w:tabs>
        <w:tab w:val="center" w:pos="4680"/>
        <w:tab w:val="right" w:pos="9360"/>
      </w:tabs>
    </w:pPr>
  </w:style>
  <w:style w:type="character" w:customStyle="1" w:styleId="FooterChar">
    <w:name w:val="Footer Char"/>
    <w:basedOn w:val="DefaultParagraphFont"/>
    <w:link w:val="Footer"/>
    <w:uiPriority w:val="99"/>
    <w:rsid w:val="00E1758C"/>
  </w:style>
  <w:style w:type="paragraph" w:customStyle="1" w:styleId="DocID">
    <w:name w:val="DocID"/>
    <w:basedOn w:val="Normal"/>
    <w:next w:val="Normal"/>
    <w:qFormat/>
    <w:rsid w:val="00E1758C"/>
    <w:pPr>
      <w:spacing w:after="240"/>
      <w:ind w:firstLine="0"/>
      <w:jc w:val="left"/>
    </w:pPr>
    <w:rPr>
      <w:color w:val="000000"/>
      <w:kern w:val="0"/>
      <w:sz w:val="18"/>
    </w:rPr>
  </w:style>
  <w:style w:type="character" w:styleId="Hyperlink">
    <w:name w:val="Hyperlink"/>
    <w:uiPriority w:val="99"/>
    <w:unhideWhenUsed/>
    <w:rsid w:val="00847849"/>
    <w:rPr>
      <w:color w:val="0563C1"/>
      <w:u w:val="single"/>
    </w:rPr>
  </w:style>
  <w:style w:type="character" w:styleId="UnresolvedMention">
    <w:name w:val="Unresolved Mention"/>
    <w:uiPriority w:val="99"/>
    <w:semiHidden/>
    <w:unhideWhenUsed/>
    <w:rsid w:val="00847849"/>
    <w:rPr>
      <w:color w:val="605E5C"/>
      <w:shd w:val="clear" w:color="auto" w:fill="E1DFDD"/>
    </w:rPr>
  </w:style>
  <w:style w:type="character" w:styleId="CommentReference">
    <w:name w:val="annotation reference"/>
    <w:basedOn w:val="DefaultParagraphFont"/>
    <w:uiPriority w:val="99"/>
    <w:semiHidden/>
    <w:unhideWhenUsed/>
    <w:rsid w:val="00CA7C60"/>
    <w:rPr>
      <w:sz w:val="16"/>
      <w:szCs w:val="16"/>
    </w:rPr>
  </w:style>
  <w:style w:type="paragraph" w:styleId="Revision">
    <w:name w:val="Revision"/>
    <w:hidden/>
    <w:uiPriority w:val="99"/>
    <w:semiHidden/>
    <w:rsid w:val="00751A34"/>
    <w:rPr>
      <w:kern w:val="2"/>
      <w:sz w:val="24"/>
      <w:szCs w:val="24"/>
    </w:rPr>
  </w:style>
  <w:style w:type="paragraph" w:styleId="CommentText">
    <w:name w:val="annotation text"/>
    <w:basedOn w:val="Normal"/>
    <w:link w:val="CommentTextChar"/>
    <w:uiPriority w:val="99"/>
    <w:unhideWhenUsed/>
    <w:rsid w:val="00231D6C"/>
    <w:rPr>
      <w:sz w:val="20"/>
      <w:szCs w:val="20"/>
    </w:rPr>
  </w:style>
  <w:style w:type="character" w:customStyle="1" w:styleId="CommentTextChar">
    <w:name w:val="Comment Text Char"/>
    <w:basedOn w:val="DefaultParagraphFont"/>
    <w:link w:val="CommentText"/>
    <w:uiPriority w:val="99"/>
    <w:rsid w:val="00231D6C"/>
    <w:rPr>
      <w:kern w:val="2"/>
    </w:rPr>
  </w:style>
  <w:style w:type="paragraph" w:styleId="CommentSubject">
    <w:name w:val="annotation subject"/>
    <w:basedOn w:val="CommentText"/>
    <w:next w:val="CommentText"/>
    <w:link w:val="CommentSubjectChar"/>
    <w:uiPriority w:val="99"/>
    <w:semiHidden/>
    <w:unhideWhenUsed/>
    <w:rsid w:val="00231D6C"/>
    <w:rPr>
      <w:b/>
      <w:bCs/>
    </w:rPr>
  </w:style>
  <w:style w:type="character" w:customStyle="1" w:styleId="CommentSubjectChar">
    <w:name w:val="Comment Subject Char"/>
    <w:basedOn w:val="CommentTextChar"/>
    <w:link w:val="CommentSubject"/>
    <w:uiPriority w:val="99"/>
    <w:semiHidden/>
    <w:rsid w:val="00231D6C"/>
    <w:rPr>
      <w:b/>
      <w:bCs/>
      <w:kern w:val="2"/>
    </w:rPr>
  </w:style>
  <w:style w:type="paragraph" w:styleId="Title">
    <w:name w:val="Title"/>
    <w:basedOn w:val="Normal"/>
    <w:next w:val="Normal"/>
    <w:link w:val="TitleChar"/>
    <w:uiPriority w:val="10"/>
    <w:qFormat/>
    <w:rsid w:val="007004DD"/>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004DD"/>
    <w:rPr>
      <w:rFonts w:asciiTheme="majorHAnsi" w:eastAsiaTheme="majorEastAsia" w:hAnsiTheme="majorHAnsi" w:cstheme="majorBidi"/>
      <w:spacing w:val="-10"/>
      <w:kern w:val="28"/>
      <w:sz w:val="56"/>
      <w:szCs w:val="56"/>
    </w:rPr>
  </w:style>
  <w:style w:type="paragraph" w:styleId="BodyText">
    <w:name w:val="Body Text"/>
    <w:basedOn w:val="Normal"/>
    <w:link w:val="BodyTextChar"/>
    <w:uiPriority w:val="99"/>
    <w:semiHidden/>
    <w:unhideWhenUsed/>
    <w:rsid w:val="00A0305B"/>
    <w:pPr>
      <w:spacing w:after="120"/>
    </w:pPr>
  </w:style>
  <w:style w:type="character" w:customStyle="1" w:styleId="BodyTextChar">
    <w:name w:val="Body Text Char"/>
    <w:basedOn w:val="DefaultParagraphFont"/>
    <w:link w:val="BodyText"/>
    <w:uiPriority w:val="99"/>
    <w:semiHidden/>
    <w:rsid w:val="00A0305B"/>
    <w:rPr>
      <w:kern w:val="2"/>
      <w:sz w:val="24"/>
      <w:szCs w:val="24"/>
    </w:rPr>
  </w:style>
  <w:style w:type="paragraph" w:styleId="ListParagraph">
    <w:name w:val="List Paragraph"/>
    <w:basedOn w:val="Normal"/>
    <w:uiPriority w:val="34"/>
    <w:qFormat/>
    <w:rsid w:val="00CB366F"/>
    <w:pPr>
      <w:ind w:left="720"/>
      <w:contextualSpacing/>
    </w:pPr>
  </w:style>
  <w:style w:type="character" w:styleId="FollowedHyperlink">
    <w:name w:val="FollowedHyperlink"/>
    <w:basedOn w:val="DefaultParagraphFont"/>
    <w:uiPriority w:val="99"/>
    <w:semiHidden/>
    <w:unhideWhenUsed/>
    <w:rsid w:val="00692B6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8803">
      <w:bodyDiv w:val="1"/>
      <w:marLeft w:val="0"/>
      <w:marRight w:val="0"/>
      <w:marTop w:val="0"/>
      <w:marBottom w:val="0"/>
      <w:divBdr>
        <w:top w:val="none" w:sz="0" w:space="0" w:color="auto"/>
        <w:left w:val="none" w:sz="0" w:space="0" w:color="auto"/>
        <w:bottom w:val="none" w:sz="0" w:space="0" w:color="auto"/>
        <w:right w:val="none" w:sz="0" w:space="0" w:color="auto"/>
      </w:divBdr>
    </w:div>
    <w:div w:id="118384234">
      <w:bodyDiv w:val="1"/>
      <w:marLeft w:val="0"/>
      <w:marRight w:val="0"/>
      <w:marTop w:val="0"/>
      <w:marBottom w:val="0"/>
      <w:divBdr>
        <w:top w:val="none" w:sz="0" w:space="0" w:color="auto"/>
        <w:left w:val="none" w:sz="0" w:space="0" w:color="auto"/>
        <w:bottom w:val="none" w:sz="0" w:space="0" w:color="auto"/>
        <w:right w:val="none" w:sz="0" w:space="0" w:color="auto"/>
      </w:divBdr>
    </w:div>
    <w:div w:id="243032011">
      <w:bodyDiv w:val="1"/>
      <w:marLeft w:val="0"/>
      <w:marRight w:val="0"/>
      <w:marTop w:val="0"/>
      <w:marBottom w:val="0"/>
      <w:divBdr>
        <w:top w:val="none" w:sz="0" w:space="0" w:color="auto"/>
        <w:left w:val="none" w:sz="0" w:space="0" w:color="auto"/>
        <w:bottom w:val="none" w:sz="0" w:space="0" w:color="auto"/>
        <w:right w:val="none" w:sz="0" w:space="0" w:color="auto"/>
      </w:divBdr>
    </w:div>
    <w:div w:id="456334955">
      <w:bodyDiv w:val="1"/>
      <w:marLeft w:val="0"/>
      <w:marRight w:val="0"/>
      <w:marTop w:val="0"/>
      <w:marBottom w:val="0"/>
      <w:divBdr>
        <w:top w:val="none" w:sz="0" w:space="0" w:color="auto"/>
        <w:left w:val="none" w:sz="0" w:space="0" w:color="auto"/>
        <w:bottom w:val="none" w:sz="0" w:space="0" w:color="auto"/>
        <w:right w:val="none" w:sz="0" w:space="0" w:color="auto"/>
      </w:divBdr>
    </w:div>
    <w:div w:id="808399377">
      <w:bodyDiv w:val="1"/>
      <w:marLeft w:val="0"/>
      <w:marRight w:val="0"/>
      <w:marTop w:val="0"/>
      <w:marBottom w:val="0"/>
      <w:divBdr>
        <w:top w:val="none" w:sz="0" w:space="0" w:color="auto"/>
        <w:left w:val="none" w:sz="0" w:space="0" w:color="auto"/>
        <w:bottom w:val="none" w:sz="0" w:space="0" w:color="auto"/>
        <w:right w:val="none" w:sz="0" w:space="0" w:color="auto"/>
      </w:divBdr>
    </w:div>
    <w:div w:id="811680249">
      <w:bodyDiv w:val="1"/>
      <w:marLeft w:val="0"/>
      <w:marRight w:val="0"/>
      <w:marTop w:val="0"/>
      <w:marBottom w:val="0"/>
      <w:divBdr>
        <w:top w:val="none" w:sz="0" w:space="0" w:color="auto"/>
        <w:left w:val="none" w:sz="0" w:space="0" w:color="auto"/>
        <w:bottom w:val="none" w:sz="0" w:space="0" w:color="auto"/>
        <w:right w:val="none" w:sz="0" w:space="0" w:color="auto"/>
      </w:divBdr>
    </w:div>
    <w:div w:id="977954345">
      <w:bodyDiv w:val="1"/>
      <w:marLeft w:val="0"/>
      <w:marRight w:val="0"/>
      <w:marTop w:val="0"/>
      <w:marBottom w:val="0"/>
      <w:divBdr>
        <w:top w:val="none" w:sz="0" w:space="0" w:color="auto"/>
        <w:left w:val="none" w:sz="0" w:space="0" w:color="auto"/>
        <w:bottom w:val="none" w:sz="0" w:space="0" w:color="auto"/>
        <w:right w:val="none" w:sz="0" w:space="0" w:color="auto"/>
      </w:divBdr>
    </w:div>
    <w:div w:id="1561403565">
      <w:bodyDiv w:val="1"/>
      <w:marLeft w:val="0"/>
      <w:marRight w:val="0"/>
      <w:marTop w:val="0"/>
      <w:marBottom w:val="0"/>
      <w:divBdr>
        <w:top w:val="none" w:sz="0" w:space="0" w:color="auto"/>
        <w:left w:val="none" w:sz="0" w:space="0" w:color="auto"/>
        <w:bottom w:val="none" w:sz="0" w:space="0" w:color="auto"/>
        <w:right w:val="none" w:sz="0" w:space="0" w:color="auto"/>
      </w:divBdr>
    </w:div>
    <w:div w:id="1665890283">
      <w:bodyDiv w:val="1"/>
      <w:marLeft w:val="0"/>
      <w:marRight w:val="0"/>
      <w:marTop w:val="0"/>
      <w:marBottom w:val="0"/>
      <w:divBdr>
        <w:top w:val="none" w:sz="0" w:space="0" w:color="auto"/>
        <w:left w:val="none" w:sz="0" w:space="0" w:color="auto"/>
        <w:bottom w:val="none" w:sz="0" w:space="0" w:color="auto"/>
        <w:right w:val="none" w:sz="0" w:space="0" w:color="auto"/>
      </w:divBdr>
    </w:div>
    <w:div w:id="1779985964">
      <w:bodyDiv w:val="1"/>
      <w:marLeft w:val="0"/>
      <w:marRight w:val="0"/>
      <w:marTop w:val="0"/>
      <w:marBottom w:val="0"/>
      <w:divBdr>
        <w:top w:val="none" w:sz="0" w:space="0" w:color="auto"/>
        <w:left w:val="none" w:sz="0" w:space="0" w:color="auto"/>
        <w:bottom w:val="none" w:sz="0" w:space="0" w:color="auto"/>
        <w:right w:val="none" w:sz="0" w:space="0" w:color="auto"/>
      </w:divBdr>
    </w:div>
    <w:div w:id="1831211574">
      <w:bodyDiv w:val="1"/>
      <w:marLeft w:val="0"/>
      <w:marRight w:val="0"/>
      <w:marTop w:val="0"/>
      <w:marBottom w:val="0"/>
      <w:divBdr>
        <w:top w:val="none" w:sz="0" w:space="0" w:color="auto"/>
        <w:left w:val="none" w:sz="0" w:space="0" w:color="auto"/>
        <w:bottom w:val="none" w:sz="0" w:space="0" w:color="auto"/>
        <w:right w:val="none" w:sz="0" w:space="0" w:color="auto"/>
      </w:divBdr>
    </w:div>
    <w:div w:id="1877424849">
      <w:bodyDiv w:val="1"/>
      <w:marLeft w:val="0"/>
      <w:marRight w:val="0"/>
      <w:marTop w:val="0"/>
      <w:marBottom w:val="0"/>
      <w:divBdr>
        <w:top w:val="none" w:sz="0" w:space="0" w:color="auto"/>
        <w:left w:val="none" w:sz="0" w:space="0" w:color="auto"/>
        <w:bottom w:val="none" w:sz="0" w:space="0" w:color="auto"/>
        <w:right w:val="none" w:sz="0" w:space="0" w:color="auto"/>
      </w:divBdr>
    </w:div>
    <w:div w:id="1915820745">
      <w:bodyDiv w:val="1"/>
      <w:marLeft w:val="0"/>
      <w:marRight w:val="0"/>
      <w:marTop w:val="0"/>
      <w:marBottom w:val="0"/>
      <w:divBdr>
        <w:top w:val="none" w:sz="0" w:space="0" w:color="auto"/>
        <w:left w:val="none" w:sz="0" w:space="0" w:color="auto"/>
        <w:bottom w:val="none" w:sz="0" w:space="0" w:color="auto"/>
        <w:right w:val="none" w:sz="0" w:space="0" w:color="auto"/>
      </w:divBdr>
    </w:div>
    <w:div w:id="1991204386">
      <w:bodyDiv w:val="1"/>
      <w:marLeft w:val="0"/>
      <w:marRight w:val="0"/>
      <w:marTop w:val="0"/>
      <w:marBottom w:val="0"/>
      <w:divBdr>
        <w:top w:val="none" w:sz="0" w:space="0" w:color="auto"/>
        <w:left w:val="none" w:sz="0" w:space="0" w:color="auto"/>
        <w:bottom w:val="none" w:sz="0" w:space="0" w:color="auto"/>
        <w:right w:val="none" w:sz="0" w:space="0" w:color="auto"/>
      </w:divBdr>
    </w:div>
    <w:div w:id="20542263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sec.gov"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pr.report/fv2" TargetMode="External"/><Relationship Id="rId17" Type="http://schemas.openxmlformats.org/officeDocument/2006/relationships/hyperlink" Target="http://www.quantumbiopharma.com" TargetMode="External"/><Relationship Id="rId2" Type="http://schemas.openxmlformats.org/officeDocument/2006/relationships/customXml" Target="../customXml/item2.xml"/><Relationship Id="rId16" Type="http://schemas.openxmlformats.org/officeDocument/2006/relationships/hyperlink" Target="mailto:info@quantumbiopharma.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quantumbiopharma.com"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Zsaeed@quantumbio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d2ed8a2e-0a70-4587-b377-7b3ab848273b" xsi:nil="true"/>
    <lcf76f155ced4ddcb4097134ff3c332f xmlns="6b17c1ca-c96d-4306-80b9-c7c64a1af1a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F4698179E0CF23479EA9D90D5332EE00" ma:contentTypeVersion="15" ma:contentTypeDescription="Create a new document." ma:contentTypeScope="" ma:versionID="f780791a0e2075b059cc5d0f4e7ae0da">
  <xsd:schema xmlns:xsd="http://www.w3.org/2001/XMLSchema" xmlns:xs="http://www.w3.org/2001/XMLSchema" xmlns:p="http://schemas.microsoft.com/office/2006/metadata/properties" xmlns:ns2="6b17c1ca-c96d-4306-80b9-c7c64a1af1ab" xmlns:ns3="d2ed8a2e-0a70-4587-b377-7b3ab848273b" targetNamespace="http://schemas.microsoft.com/office/2006/metadata/properties" ma:root="true" ma:fieldsID="9e1caf0e1c4b397e58df85b5580c8ee7" ns2:_="" ns3:_="">
    <xsd:import namespace="6b17c1ca-c96d-4306-80b9-c7c64a1af1ab"/>
    <xsd:import namespace="d2ed8a2e-0a70-4587-b377-7b3ab848273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17c1ca-c96d-4306-80b9-c7c64a1af1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765d620-8d74-4ee5-92bc-640ba0e058ce"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2ed8a2e-0a70-4587-b377-7b3ab848273b"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9eb5a1b-4627-4d12-93cf-3ec4cad40845}" ma:internalName="TaxCatchAll" ma:showField="CatchAllData" ma:web="d2ed8a2e-0a70-4587-b377-7b3ab848273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041B76E-F5F1-4EFB-8CDA-98B7E3C0E8D5}">
  <ds:schemaRefs>
    <ds:schemaRef ds:uri="http://schemas.microsoft.com/sharepoint/v3/contenttype/forms"/>
  </ds:schemaRefs>
</ds:datastoreItem>
</file>

<file path=customXml/itemProps2.xml><?xml version="1.0" encoding="utf-8"?>
<ds:datastoreItem xmlns:ds="http://schemas.openxmlformats.org/officeDocument/2006/customXml" ds:itemID="{32189350-3046-A74E-BEE7-A0110DFE3897}">
  <ds:schemaRefs>
    <ds:schemaRef ds:uri="http://schemas.openxmlformats.org/officeDocument/2006/bibliography"/>
  </ds:schemaRefs>
</ds:datastoreItem>
</file>

<file path=customXml/itemProps3.xml><?xml version="1.0" encoding="utf-8"?>
<ds:datastoreItem xmlns:ds="http://schemas.openxmlformats.org/officeDocument/2006/customXml" ds:itemID="{90DD715D-7E0B-45A5-A5FB-399244249941}">
  <ds:schemaRefs>
    <ds:schemaRef ds:uri="http://schemas.microsoft.com/office/2006/metadata/properties"/>
    <ds:schemaRef ds:uri="http://schemas.microsoft.com/office/infopath/2007/PartnerControls"/>
    <ds:schemaRef ds:uri="d2ed8a2e-0a70-4587-b377-7b3ab848273b"/>
    <ds:schemaRef ds:uri="6b17c1ca-c96d-4306-80b9-c7c64a1af1ab"/>
  </ds:schemaRefs>
</ds:datastoreItem>
</file>

<file path=customXml/itemProps4.xml><?xml version="1.0" encoding="utf-8"?>
<ds:datastoreItem xmlns:ds="http://schemas.openxmlformats.org/officeDocument/2006/customXml" ds:itemID="{F61A4F19-7129-42E8-825C-5DE8355098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17c1ca-c96d-4306-80b9-c7c64a1af1ab"/>
    <ds:schemaRef ds:uri="d2ed8a2e-0a70-4587-b377-7b3ab848273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971</Words>
  <Characters>5541</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6500</CharactersWithSpaces>
  <SharedDoc>false</SharedDoc>
  <HLinks>
    <vt:vector size="36" baseType="variant">
      <vt:variant>
        <vt:i4>6029342</vt:i4>
      </vt:variant>
      <vt:variant>
        <vt:i4>15</vt:i4>
      </vt:variant>
      <vt:variant>
        <vt:i4>0</vt:i4>
      </vt:variant>
      <vt:variant>
        <vt:i4>5</vt:i4>
      </vt:variant>
      <vt:variant>
        <vt:lpwstr>http://www.fsdpharma.com/</vt:lpwstr>
      </vt:variant>
      <vt:variant>
        <vt:lpwstr/>
      </vt:variant>
      <vt:variant>
        <vt:i4>6488145</vt:i4>
      </vt:variant>
      <vt:variant>
        <vt:i4>12</vt:i4>
      </vt:variant>
      <vt:variant>
        <vt:i4>0</vt:i4>
      </vt:variant>
      <vt:variant>
        <vt:i4>5</vt:i4>
      </vt:variant>
      <vt:variant>
        <vt:lpwstr>mailto:info@fsdpharma.com</vt:lpwstr>
      </vt:variant>
      <vt:variant>
        <vt:lpwstr/>
      </vt:variant>
      <vt:variant>
        <vt:i4>327714</vt:i4>
      </vt:variant>
      <vt:variant>
        <vt:i4>9</vt:i4>
      </vt:variant>
      <vt:variant>
        <vt:i4>0</vt:i4>
      </vt:variant>
      <vt:variant>
        <vt:i4>5</vt:i4>
      </vt:variant>
      <vt:variant>
        <vt:lpwstr>mailto:ir@fsdpharma.com</vt:lpwstr>
      </vt:variant>
      <vt:variant>
        <vt:lpwstr/>
      </vt:variant>
      <vt:variant>
        <vt:i4>1179682</vt:i4>
      </vt:variant>
      <vt:variant>
        <vt:i4>6</vt:i4>
      </vt:variant>
      <vt:variant>
        <vt:i4>0</vt:i4>
      </vt:variant>
      <vt:variant>
        <vt:i4>5</vt:i4>
      </vt:variant>
      <vt:variant>
        <vt:lpwstr>mailto:Zsaeed@fsdpharma.com</vt:lpwstr>
      </vt:variant>
      <vt:variant>
        <vt:lpwstr/>
      </vt:variant>
      <vt:variant>
        <vt:i4>2752628</vt:i4>
      </vt:variant>
      <vt:variant>
        <vt:i4>3</vt:i4>
      </vt:variant>
      <vt:variant>
        <vt:i4>0</vt:i4>
      </vt:variant>
      <vt:variant>
        <vt:i4>5</vt:i4>
      </vt:variant>
      <vt:variant>
        <vt:lpwstr>http://www.sec.gov/</vt:lpwstr>
      </vt:variant>
      <vt:variant>
        <vt:lpwstr/>
      </vt:variant>
      <vt:variant>
        <vt:i4>1900574</vt:i4>
      </vt:variant>
      <vt:variant>
        <vt:i4>0</vt:i4>
      </vt:variant>
      <vt:variant>
        <vt:i4>0</vt:i4>
      </vt:variant>
      <vt:variant>
        <vt:i4>5</vt:i4>
      </vt:variant>
      <vt:variant>
        <vt:lpwstr>http://www.sedarplus.ca/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Coyle</dc:creator>
  <cp:keywords/>
  <cp:lastModifiedBy>Nathan Coyle</cp:lastModifiedBy>
  <cp:revision>4</cp:revision>
  <cp:lastPrinted>1900-01-01T05:00:00Z</cp:lastPrinted>
  <dcterms:created xsi:type="dcterms:W3CDTF">2024-12-05T03:24:00Z</dcterms:created>
  <dcterms:modified xsi:type="dcterms:W3CDTF">2024-12-07T00:15:00Z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0x010100F4698179E0CF23479EA9D90D5332EE00</vt:lpwstr>
  </property>
</Properties>
</file>