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3F9FB5" w14:textId="34BBA6AE" w:rsidR="00371021" w:rsidRPr="00C22250" w:rsidRDefault="00820D1C">
      <w:pPr>
        <w:pStyle w:val="Header"/>
        <w:rPr>
          <w:sz w:val="20"/>
        </w:rPr>
      </w:pPr>
      <w:r w:rsidRPr="00C22250">
        <w:rPr>
          <w:sz w:val="20"/>
        </w:rPr>
        <w:t>FOR IMMEDIATE RELEASE</w:t>
      </w:r>
    </w:p>
    <w:p w14:paraId="3E2D877E" w14:textId="77777777" w:rsidR="00371021" w:rsidRPr="005D3FAC" w:rsidRDefault="00820D1C">
      <w:pPr>
        <w:pStyle w:val="TempNormal1"/>
        <w:jc w:val="right"/>
        <w:rPr>
          <w:rFonts w:ascii="Palatino" w:hAnsi="Palatino" w:cs="Arial"/>
          <w:sz w:val="20"/>
        </w:rPr>
      </w:pPr>
      <w:r w:rsidRPr="00C22250">
        <w:rPr>
          <w:rFonts w:ascii="Palatino" w:hAnsi="Palatino" w:cs="Arial"/>
          <w:b/>
          <w:sz w:val="20"/>
        </w:rPr>
        <w:t>CONTACT</w:t>
      </w:r>
      <w:r w:rsidRPr="005D3FAC">
        <w:rPr>
          <w:rFonts w:ascii="Palatino" w:hAnsi="Palatino" w:cs="Arial"/>
          <w:sz w:val="20"/>
        </w:rPr>
        <w:t>: Ashley Weathersby</w:t>
      </w:r>
    </w:p>
    <w:p w14:paraId="73B3D286" w14:textId="77777777" w:rsidR="00371021" w:rsidRPr="00C22250" w:rsidRDefault="00820D1C">
      <w:pPr>
        <w:pStyle w:val="TempNormal1"/>
        <w:jc w:val="right"/>
        <w:rPr>
          <w:rFonts w:ascii="Palatino" w:hAnsi="Palatino" w:cs="Arial"/>
          <w:sz w:val="20"/>
        </w:rPr>
      </w:pPr>
      <w:r w:rsidRPr="00C22250">
        <w:rPr>
          <w:rFonts w:ascii="Palatino" w:hAnsi="Palatino" w:cs="Arial"/>
          <w:sz w:val="20"/>
        </w:rPr>
        <w:t>Saber Partners, LLC, 212-461-2370</w:t>
      </w:r>
    </w:p>
    <w:p w14:paraId="54A05225" w14:textId="14B0D88F" w:rsidR="00371021" w:rsidRPr="005D3FAC" w:rsidRDefault="002C190D">
      <w:pPr>
        <w:pStyle w:val="TempNormal1"/>
        <w:jc w:val="right"/>
        <w:rPr>
          <w:rFonts w:ascii="Palatino" w:hAnsi="Palatino" w:cs="Arial"/>
          <w:sz w:val="20"/>
        </w:rPr>
      </w:pPr>
      <w:r w:rsidRPr="00C22250">
        <w:rPr>
          <w:sz w:val="20"/>
        </w:rPr>
        <w:fldChar w:fldCharType="begin"/>
      </w:r>
      <w:r w:rsidRPr="00C22250">
        <w:rPr>
          <w:sz w:val="20"/>
        </w:rPr>
        <w:instrText xml:space="preserve"> HYPERLINK "file:///C:\\Volumes\\1-SABER%20PARTNERS\\PRESS%20Articles%20Saber\\Press%20releases\\Press%20Releases\\ashley@saberpartners.com" </w:instrText>
      </w:r>
      <w:r w:rsidR="00E40EDE" w:rsidRPr="00C22250">
        <w:rPr>
          <w:sz w:val="20"/>
        </w:rPr>
      </w:r>
      <w:r w:rsidRPr="00C22250">
        <w:rPr>
          <w:sz w:val="20"/>
        </w:rPr>
        <w:fldChar w:fldCharType="separate"/>
      </w:r>
      <w:r w:rsidR="00820D1C" w:rsidRPr="00C22250">
        <w:rPr>
          <w:rStyle w:val="Hyperlink"/>
          <w:sz w:val="20"/>
        </w:rPr>
        <w:t>ashley@saberpartners.com</w:t>
      </w:r>
      <w:r w:rsidRPr="00C22250">
        <w:rPr>
          <w:rStyle w:val="Hyperlink"/>
          <w:sz w:val="20"/>
        </w:rPr>
        <w:fldChar w:fldCharType="end"/>
      </w:r>
    </w:p>
    <w:p w14:paraId="257C2BD6" w14:textId="77777777" w:rsidR="00371021" w:rsidRPr="00C22250" w:rsidRDefault="00371021">
      <w:pPr>
        <w:rPr>
          <w:rFonts w:eastAsia="Times New Roman" w:cs="Calibri"/>
          <w:b/>
          <w:sz w:val="20"/>
        </w:rPr>
      </w:pPr>
    </w:p>
    <w:p w14:paraId="27AA74C7" w14:textId="7E36985E" w:rsidR="00371021" w:rsidRPr="008B5273" w:rsidRDefault="00820D1C">
      <w:pPr>
        <w:rPr>
          <w:rFonts w:eastAsia="Times New Roman" w:cs="Calibri"/>
          <w:b/>
          <w:sz w:val="24"/>
        </w:rPr>
      </w:pPr>
      <w:r w:rsidRPr="008B5273">
        <w:rPr>
          <w:rFonts w:eastAsia="Times New Roman" w:cs="Calibri"/>
          <w:b/>
          <w:sz w:val="24"/>
        </w:rPr>
        <w:t>Saber Partners’ CEO Joseph</w:t>
      </w:r>
      <w:r w:rsidR="00496676" w:rsidRPr="008B5273">
        <w:rPr>
          <w:rFonts w:eastAsia="Times New Roman" w:cs="Calibri"/>
          <w:b/>
          <w:sz w:val="24"/>
        </w:rPr>
        <w:t xml:space="preserve"> S.</w:t>
      </w:r>
      <w:r w:rsidRPr="008B5273">
        <w:rPr>
          <w:rFonts w:eastAsia="Times New Roman" w:cs="Calibri"/>
          <w:b/>
          <w:sz w:val="24"/>
        </w:rPr>
        <w:t xml:space="preserve"> Fichera to Speak at Society of Utility Regulatory Financial Analyst Conference</w:t>
      </w:r>
    </w:p>
    <w:p w14:paraId="514ECD6F" w14:textId="77777777" w:rsidR="00371021" w:rsidRPr="005D3FAC" w:rsidRDefault="00371021">
      <w:pPr>
        <w:rPr>
          <w:rFonts w:eastAsia="Times New Roman" w:cs="Calibri"/>
          <w:sz w:val="20"/>
        </w:rPr>
      </w:pPr>
    </w:p>
    <w:p w14:paraId="572BFEAE" w14:textId="7D1123E5" w:rsidR="00371021" w:rsidRPr="00C22250" w:rsidRDefault="00820D1C">
      <w:pPr>
        <w:rPr>
          <w:rFonts w:eastAsia="Times New Roman" w:cs="Calibri"/>
          <w:sz w:val="20"/>
        </w:rPr>
      </w:pPr>
      <w:r w:rsidRPr="005D3FAC">
        <w:rPr>
          <w:rFonts w:eastAsia="Times New Roman" w:cs="Calibri"/>
          <w:sz w:val="20"/>
        </w:rPr>
        <w:t xml:space="preserve">(New York, New York March </w:t>
      </w:r>
      <w:r w:rsidR="007F41A5" w:rsidRPr="005D3FAC">
        <w:rPr>
          <w:rFonts w:eastAsia="Times New Roman" w:cs="Calibri"/>
          <w:sz w:val="20"/>
        </w:rPr>
        <w:t>2</w:t>
      </w:r>
      <w:r w:rsidR="008B5273">
        <w:rPr>
          <w:rFonts w:eastAsia="Times New Roman" w:cs="Calibri"/>
          <w:sz w:val="20"/>
        </w:rPr>
        <w:t>8</w:t>
      </w:r>
      <w:r w:rsidRPr="005D3FAC">
        <w:rPr>
          <w:rFonts w:eastAsia="Times New Roman" w:cs="Calibri"/>
          <w:sz w:val="20"/>
        </w:rPr>
        <w:t>, 2019) The</w:t>
      </w:r>
      <w:r w:rsidRPr="00C22250">
        <w:rPr>
          <w:sz w:val="20"/>
        </w:rPr>
        <w:t xml:space="preserve"> </w:t>
      </w:r>
      <w:r w:rsidR="002C190D" w:rsidRPr="00C22250">
        <w:rPr>
          <w:sz w:val="20"/>
        </w:rPr>
        <w:fldChar w:fldCharType="begin"/>
      </w:r>
      <w:r w:rsidR="002C190D" w:rsidRPr="00C22250">
        <w:rPr>
          <w:sz w:val="20"/>
        </w:rPr>
        <w:instrText xml:space="preserve"> HYPERLINK "https://surfa.memberclicks.net/" </w:instrText>
      </w:r>
      <w:r w:rsidR="00E40EDE" w:rsidRPr="00C22250">
        <w:rPr>
          <w:sz w:val="20"/>
        </w:rPr>
      </w:r>
      <w:r w:rsidR="002C190D" w:rsidRPr="00C22250">
        <w:rPr>
          <w:sz w:val="20"/>
        </w:rPr>
        <w:fldChar w:fldCharType="separate"/>
      </w:r>
      <w:r w:rsidRPr="00C22250">
        <w:rPr>
          <w:rStyle w:val="Hyperlink"/>
          <w:rFonts w:eastAsia="Times New Roman" w:cs="Calibri"/>
          <w:sz w:val="20"/>
        </w:rPr>
        <w:t xml:space="preserve">Society of Regulatory Utility </w:t>
      </w:r>
      <w:r w:rsidR="00E04B5A" w:rsidRPr="00C22250">
        <w:rPr>
          <w:rStyle w:val="Hyperlink"/>
          <w:rFonts w:eastAsia="Times New Roman" w:cs="Calibri"/>
          <w:sz w:val="20"/>
        </w:rPr>
        <w:t xml:space="preserve">and </w:t>
      </w:r>
      <w:r w:rsidRPr="00C22250">
        <w:rPr>
          <w:rStyle w:val="Hyperlink"/>
          <w:rFonts w:eastAsia="Times New Roman" w:cs="Calibri"/>
          <w:sz w:val="20"/>
        </w:rPr>
        <w:t>Financial Analysts</w:t>
      </w:r>
      <w:r w:rsidR="002C190D" w:rsidRPr="00C22250">
        <w:rPr>
          <w:rStyle w:val="Hyperlink"/>
          <w:rFonts w:eastAsia="Times New Roman" w:cs="Calibri"/>
          <w:sz w:val="20"/>
        </w:rPr>
        <w:fldChar w:fldCharType="end"/>
      </w:r>
      <w:r w:rsidRPr="005D3FAC">
        <w:rPr>
          <w:rFonts w:eastAsia="Times New Roman" w:cs="Calibri"/>
          <w:sz w:val="20"/>
        </w:rPr>
        <w:t xml:space="preserve"> (SURFA) </w:t>
      </w:r>
      <w:r w:rsidR="00AF57E6" w:rsidRPr="005D3FAC">
        <w:rPr>
          <w:rFonts w:eastAsia="Times New Roman" w:cs="Calibri"/>
          <w:sz w:val="20"/>
        </w:rPr>
        <w:t>announced that</w:t>
      </w:r>
      <w:r w:rsidR="00E72AE1" w:rsidRPr="005D3FAC">
        <w:rPr>
          <w:rFonts w:eastAsia="Times New Roman" w:cs="Calibri"/>
          <w:sz w:val="20"/>
        </w:rPr>
        <w:t xml:space="preserve"> </w:t>
      </w:r>
      <w:r w:rsidR="002C190D" w:rsidRPr="00C22250">
        <w:rPr>
          <w:sz w:val="20"/>
        </w:rPr>
        <w:fldChar w:fldCharType="begin"/>
      </w:r>
      <w:r w:rsidR="002C190D" w:rsidRPr="00C22250">
        <w:rPr>
          <w:sz w:val="20"/>
        </w:rPr>
        <w:instrText xml:space="preserve"> HYPERLINK "https://en.wikipedia.org/wiki/Joseph_Fichera" </w:instrText>
      </w:r>
      <w:r w:rsidR="00E40EDE" w:rsidRPr="00C22250">
        <w:rPr>
          <w:sz w:val="20"/>
        </w:rPr>
      </w:r>
      <w:r w:rsidR="002C190D" w:rsidRPr="00C22250">
        <w:rPr>
          <w:sz w:val="20"/>
        </w:rPr>
        <w:fldChar w:fldCharType="separate"/>
      </w:r>
      <w:r w:rsidR="007F2274" w:rsidRPr="00C22250">
        <w:rPr>
          <w:rStyle w:val="Hyperlink"/>
          <w:rFonts w:eastAsia="Times New Roman" w:cs="Calibri"/>
          <w:sz w:val="20"/>
        </w:rPr>
        <w:t>Joseph Fichera</w:t>
      </w:r>
      <w:r w:rsidR="002C190D" w:rsidRPr="00C22250">
        <w:rPr>
          <w:rStyle w:val="Hyperlink"/>
          <w:rFonts w:eastAsia="Times New Roman" w:cs="Calibri"/>
          <w:sz w:val="20"/>
        </w:rPr>
        <w:fldChar w:fldCharType="end"/>
      </w:r>
      <w:r w:rsidR="007F2274" w:rsidRPr="005D3FAC">
        <w:rPr>
          <w:rFonts w:eastAsia="Times New Roman" w:cs="Calibri"/>
          <w:sz w:val="20"/>
        </w:rPr>
        <w:t xml:space="preserve"> </w:t>
      </w:r>
      <w:r w:rsidR="00AF57E6" w:rsidRPr="005D3FAC">
        <w:rPr>
          <w:rFonts w:eastAsia="Times New Roman" w:cs="Calibri"/>
          <w:sz w:val="20"/>
        </w:rPr>
        <w:t xml:space="preserve">will </w:t>
      </w:r>
      <w:r w:rsidR="007F2274" w:rsidRPr="005D3FAC">
        <w:rPr>
          <w:rFonts w:eastAsia="Times New Roman" w:cs="Calibri"/>
          <w:sz w:val="20"/>
        </w:rPr>
        <w:t>speak at</w:t>
      </w:r>
      <w:r w:rsidRPr="005D3FAC">
        <w:rPr>
          <w:rFonts w:eastAsia="Times New Roman" w:cs="Calibri"/>
          <w:sz w:val="20"/>
        </w:rPr>
        <w:t xml:space="preserve"> its 51</w:t>
      </w:r>
      <w:r w:rsidRPr="005D3FAC">
        <w:rPr>
          <w:rFonts w:eastAsia="Times New Roman" w:cs="Calibri"/>
          <w:sz w:val="20"/>
          <w:vertAlign w:val="superscript"/>
        </w:rPr>
        <w:t>st</w:t>
      </w:r>
      <w:r w:rsidRPr="005D3FAC">
        <w:rPr>
          <w:rFonts w:eastAsia="Times New Roman" w:cs="Calibri"/>
          <w:sz w:val="20"/>
        </w:rPr>
        <w:t xml:space="preserve"> annual meeting</w:t>
      </w:r>
      <w:r w:rsidR="00340752" w:rsidRPr="005D3FAC">
        <w:rPr>
          <w:rFonts w:eastAsia="Times New Roman" w:cs="Calibri"/>
          <w:sz w:val="20"/>
        </w:rPr>
        <w:t>.  The meeting will</w:t>
      </w:r>
      <w:r w:rsidR="007E1281" w:rsidRPr="005D3FAC">
        <w:rPr>
          <w:rFonts w:eastAsia="Times New Roman" w:cs="Calibri"/>
          <w:sz w:val="20"/>
        </w:rPr>
        <w:t xml:space="preserve"> </w:t>
      </w:r>
      <w:r w:rsidR="00496676" w:rsidRPr="005D3FAC">
        <w:rPr>
          <w:rFonts w:eastAsia="Times New Roman" w:cs="Calibri"/>
          <w:sz w:val="20"/>
        </w:rPr>
        <w:t xml:space="preserve">be </w:t>
      </w:r>
      <w:r w:rsidR="007E1281" w:rsidRPr="005D3FAC">
        <w:rPr>
          <w:rFonts w:eastAsia="Times New Roman" w:cs="Calibri"/>
          <w:sz w:val="20"/>
        </w:rPr>
        <w:t xml:space="preserve">held on </w:t>
      </w:r>
      <w:r w:rsidRPr="005D3FAC">
        <w:rPr>
          <w:rFonts w:eastAsia="Times New Roman" w:cs="Calibri"/>
          <w:sz w:val="20"/>
        </w:rPr>
        <w:t xml:space="preserve">Thursday April 4-5, 2019 in New Orleans, Louisiana.  </w:t>
      </w:r>
      <w:r w:rsidR="006F2CBF" w:rsidRPr="00C22250">
        <w:rPr>
          <w:rFonts w:eastAsia="Times New Roman" w:cs="Calibri"/>
          <w:sz w:val="20"/>
        </w:rPr>
        <w:t>Attendees include</w:t>
      </w:r>
      <w:r w:rsidR="00AF57E6" w:rsidRPr="00C22250">
        <w:rPr>
          <w:rFonts w:eastAsia="Times New Roman" w:cs="Calibri"/>
          <w:sz w:val="20"/>
        </w:rPr>
        <w:t xml:space="preserve"> </w:t>
      </w:r>
      <w:r w:rsidR="00875B6B" w:rsidRPr="00C22250">
        <w:rPr>
          <w:rFonts w:eastAsia="Times New Roman" w:cs="Calibri"/>
          <w:sz w:val="20"/>
        </w:rPr>
        <w:t>utility regulators</w:t>
      </w:r>
      <w:r w:rsidR="00AF57E6" w:rsidRPr="00C22250">
        <w:rPr>
          <w:rFonts w:eastAsia="Times New Roman" w:cs="Calibri"/>
          <w:sz w:val="20"/>
        </w:rPr>
        <w:t xml:space="preserve">, </w:t>
      </w:r>
      <w:r w:rsidR="00382100" w:rsidRPr="00C22250">
        <w:rPr>
          <w:rFonts w:eastAsia="Times New Roman" w:cs="Calibri"/>
          <w:sz w:val="20"/>
        </w:rPr>
        <w:t xml:space="preserve">members of </w:t>
      </w:r>
      <w:r w:rsidR="00AF57E6" w:rsidRPr="00C22250">
        <w:rPr>
          <w:rFonts w:eastAsia="Times New Roman" w:cs="Calibri"/>
          <w:sz w:val="20"/>
        </w:rPr>
        <w:t xml:space="preserve">the financial community, </w:t>
      </w:r>
      <w:r w:rsidR="00875B6B" w:rsidRPr="00C22250">
        <w:rPr>
          <w:rFonts w:eastAsia="Times New Roman" w:cs="Calibri"/>
          <w:sz w:val="20"/>
        </w:rPr>
        <w:t>utilit</w:t>
      </w:r>
      <w:r w:rsidR="00382100" w:rsidRPr="00C22250">
        <w:rPr>
          <w:rFonts w:eastAsia="Times New Roman" w:cs="Calibri"/>
          <w:sz w:val="20"/>
        </w:rPr>
        <w:t>y executives</w:t>
      </w:r>
      <w:r w:rsidR="00AF57E6" w:rsidRPr="00C22250">
        <w:rPr>
          <w:rFonts w:eastAsia="Times New Roman" w:cs="Calibri"/>
          <w:sz w:val="20"/>
        </w:rPr>
        <w:t xml:space="preserve"> and academia</w:t>
      </w:r>
      <w:r w:rsidR="00EA4B04" w:rsidRPr="00C22250">
        <w:rPr>
          <w:rFonts w:eastAsia="Times New Roman" w:cs="Calibri"/>
          <w:sz w:val="20"/>
        </w:rPr>
        <w:t>.  This year</w:t>
      </w:r>
      <w:r w:rsidR="00F02F83" w:rsidRPr="00C22250">
        <w:rPr>
          <w:rFonts w:eastAsia="Times New Roman" w:cs="Calibri"/>
          <w:sz w:val="20"/>
        </w:rPr>
        <w:t>’</w:t>
      </w:r>
      <w:r w:rsidR="00382100" w:rsidRPr="00C22250">
        <w:rPr>
          <w:rFonts w:eastAsia="Times New Roman" w:cs="Calibri"/>
          <w:sz w:val="20"/>
        </w:rPr>
        <w:t>s</w:t>
      </w:r>
      <w:r w:rsidR="00EA4B04" w:rsidRPr="00C22250">
        <w:rPr>
          <w:rFonts w:eastAsia="Times New Roman" w:cs="Calibri"/>
          <w:sz w:val="20"/>
        </w:rPr>
        <w:t xml:space="preserve"> </w:t>
      </w:r>
      <w:r w:rsidR="006F2CBF" w:rsidRPr="00C22250">
        <w:rPr>
          <w:rFonts w:eastAsia="Times New Roman" w:cs="Calibri"/>
          <w:sz w:val="20"/>
        </w:rPr>
        <w:t xml:space="preserve">conference </w:t>
      </w:r>
      <w:r w:rsidRPr="00C22250">
        <w:rPr>
          <w:rFonts w:eastAsia="Times New Roman" w:cs="Calibri"/>
          <w:sz w:val="20"/>
        </w:rPr>
        <w:t xml:space="preserve">will address </w:t>
      </w:r>
      <w:r w:rsidRPr="00C22250">
        <w:rPr>
          <w:rFonts w:eastAsia="Times New Roman" w:cs="Calibri"/>
          <w:i/>
          <w:sz w:val="20"/>
        </w:rPr>
        <w:t>“Charting a Course Through Changing Utility Industry Conditions</w:t>
      </w:r>
      <w:r w:rsidR="00054131" w:rsidRPr="00C22250">
        <w:rPr>
          <w:rFonts w:eastAsia="Times New Roman" w:cs="Calibri"/>
          <w:i/>
          <w:sz w:val="20"/>
        </w:rPr>
        <w:t>.</w:t>
      </w:r>
      <w:r w:rsidRPr="00C22250">
        <w:rPr>
          <w:rFonts w:eastAsia="Times New Roman" w:cs="Calibri"/>
          <w:i/>
          <w:sz w:val="20"/>
        </w:rPr>
        <w:t>”</w:t>
      </w:r>
      <w:r w:rsidRPr="00C22250">
        <w:rPr>
          <w:rFonts w:eastAsia="Times New Roman" w:cs="Calibri"/>
          <w:sz w:val="20"/>
        </w:rPr>
        <w:t xml:space="preserve"> </w:t>
      </w:r>
      <w:r w:rsidR="00382100" w:rsidRPr="00C22250">
        <w:rPr>
          <w:rFonts w:eastAsia="Times New Roman" w:cs="Calibri"/>
          <w:sz w:val="20"/>
        </w:rPr>
        <w:t xml:space="preserve"> </w:t>
      </w:r>
      <w:r w:rsidR="007F2274" w:rsidRPr="00C22250">
        <w:rPr>
          <w:rFonts w:eastAsia="Times New Roman" w:cs="Calibri"/>
          <w:sz w:val="20"/>
        </w:rPr>
        <w:t xml:space="preserve">Mr. </w:t>
      </w:r>
      <w:r w:rsidRPr="00C22250">
        <w:rPr>
          <w:rFonts w:eastAsia="Times New Roman" w:cs="Calibri"/>
          <w:sz w:val="20"/>
        </w:rPr>
        <w:t xml:space="preserve">Fichera will </w:t>
      </w:r>
      <w:r w:rsidR="009A6901" w:rsidRPr="00C22250">
        <w:rPr>
          <w:rFonts w:eastAsia="Times New Roman" w:cs="Calibri"/>
          <w:sz w:val="20"/>
        </w:rPr>
        <w:t xml:space="preserve">lead </w:t>
      </w:r>
      <w:r w:rsidRPr="00C22250">
        <w:rPr>
          <w:rFonts w:eastAsia="Times New Roman" w:cs="Calibri"/>
          <w:sz w:val="20"/>
        </w:rPr>
        <w:t xml:space="preserve">a distinguished panel of experts to discuss investor-owned utility securitization.  </w:t>
      </w:r>
    </w:p>
    <w:p w14:paraId="4DD62D81" w14:textId="77777777" w:rsidR="00371021" w:rsidRPr="00C22250" w:rsidRDefault="00371021">
      <w:pPr>
        <w:rPr>
          <w:rFonts w:eastAsia="Times New Roman" w:cs="Calibri"/>
          <w:sz w:val="20"/>
        </w:rPr>
      </w:pPr>
    </w:p>
    <w:p w14:paraId="7EB4A8DD" w14:textId="53A9F44F" w:rsidR="006123A9" w:rsidRDefault="006123A9" w:rsidP="006123A9">
      <w:pPr>
        <w:rPr>
          <w:rFonts w:eastAsia="Times New Roman" w:cs="Calibri"/>
          <w:sz w:val="20"/>
        </w:rPr>
      </w:pPr>
      <w:bookmarkStart w:id="0" w:name="_Hlk4677813"/>
      <w:r>
        <w:rPr>
          <w:rFonts w:eastAsia="Times New Roman" w:cs="Calibri"/>
          <w:sz w:val="20"/>
        </w:rPr>
        <w:t>“</w:t>
      </w:r>
      <w:r>
        <w:rPr>
          <w:rFonts w:eastAsia="Times New Roman" w:cs="Calibri"/>
          <w:sz w:val="20"/>
        </w:rPr>
        <w:t>Utility s</w:t>
      </w:r>
      <w:r>
        <w:rPr>
          <w:rFonts w:eastAsia="Times New Roman" w:cs="Calibri"/>
          <w:sz w:val="20"/>
        </w:rPr>
        <w:t>ecuritization” is a complex Wall Street financing tool</w:t>
      </w:r>
      <w:r w:rsidR="002239A4">
        <w:rPr>
          <w:rFonts w:eastAsia="Times New Roman" w:cs="Calibri"/>
          <w:sz w:val="20"/>
        </w:rPr>
        <w:t xml:space="preserve"> </w:t>
      </w:r>
      <w:r w:rsidR="00C0682D">
        <w:rPr>
          <w:rFonts w:eastAsia="Times New Roman" w:cs="Calibri"/>
          <w:sz w:val="20"/>
        </w:rPr>
        <w:t>sometimes</w:t>
      </w:r>
      <w:r w:rsidR="00C0682D">
        <w:rPr>
          <w:rFonts w:eastAsia="Times New Roman" w:cs="Calibri"/>
          <w:sz w:val="20"/>
        </w:rPr>
        <w:t xml:space="preserve"> </w:t>
      </w:r>
      <w:r w:rsidR="002239A4">
        <w:rPr>
          <w:rFonts w:eastAsia="Times New Roman" w:cs="Calibri"/>
          <w:sz w:val="20"/>
        </w:rPr>
        <w:t>called “ratepayer-backed bonds.”</w:t>
      </w:r>
      <w:r w:rsidR="00C0682D">
        <w:rPr>
          <w:rFonts w:eastAsia="Times New Roman" w:cs="Calibri"/>
          <w:sz w:val="20"/>
        </w:rPr>
        <w:t xml:space="preserve"> </w:t>
      </w:r>
      <w:r>
        <w:rPr>
          <w:rFonts w:eastAsia="Times New Roman" w:cs="Calibri"/>
          <w:sz w:val="20"/>
        </w:rPr>
        <w:t xml:space="preserve">The bonds being issued for </w:t>
      </w:r>
      <w:r w:rsidR="00C0682D">
        <w:rPr>
          <w:rFonts w:eastAsia="Times New Roman" w:cs="Calibri"/>
          <w:sz w:val="20"/>
        </w:rPr>
        <w:t xml:space="preserve">utility </w:t>
      </w:r>
      <w:r>
        <w:rPr>
          <w:rFonts w:eastAsia="Times New Roman" w:cs="Calibri"/>
          <w:sz w:val="20"/>
        </w:rPr>
        <w:t>cost recovery are very different from typical</w:t>
      </w:r>
      <w:r w:rsidR="003F450C">
        <w:rPr>
          <w:rFonts w:eastAsia="Times New Roman" w:cs="Calibri"/>
          <w:sz w:val="20"/>
        </w:rPr>
        <w:t xml:space="preserve"> utility</w:t>
      </w:r>
      <w:r>
        <w:rPr>
          <w:rFonts w:eastAsia="Times New Roman" w:cs="Calibri"/>
          <w:sz w:val="20"/>
        </w:rPr>
        <w:t xml:space="preserve"> bonds. </w:t>
      </w:r>
      <w:r w:rsidR="002239A4">
        <w:rPr>
          <w:rFonts w:eastAsia="Times New Roman" w:cs="Calibri"/>
          <w:sz w:val="20"/>
        </w:rPr>
        <w:t xml:space="preserve"> </w:t>
      </w:r>
      <w:r>
        <w:rPr>
          <w:rFonts w:eastAsia="Times New Roman" w:cs="Calibri"/>
          <w:sz w:val="20"/>
        </w:rPr>
        <w:t xml:space="preserve">This type of </w:t>
      </w:r>
      <w:r w:rsidR="002239A4">
        <w:rPr>
          <w:rFonts w:eastAsia="Times New Roman" w:cs="Calibri"/>
          <w:sz w:val="20"/>
        </w:rPr>
        <w:t>bond</w:t>
      </w:r>
      <w:r w:rsidR="002239A4">
        <w:rPr>
          <w:rFonts w:eastAsia="Times New Roman" w:cs="Calibri"/>
          <w:sz w:val="20"/>
        </w:rPr>
        <w:t xml:space="preserve"> </w:t>
      </w:r>
      <w:r>
        <w:rPr>
          <w:rFonts w:eastAsia="Times New Roman" w:cs="Calibri"/>
          <w:sz w:val="20"/>
        </w:rPr>
        <w:t>allow</w:t>
      </w:r>
      <w:r w:rsidR="00421844">
        <w:rPr>
          <w:rFonts w:eastAsia="Times New Roman" w:cs="Calibri"/>
          <w:sz w:val="20"/>
        </w:rPr>
        <w:t>s</w:t>
      </w:r>
      <w:r>
        <w:rPr>
          <w:rFonts w:eastAsia="Times New Roman" w:cs="Calibri"/>
          <w:sz w:val="20"/>
        </w:rPr>
        <w:t xml:space="preserve"> electric utilities to raise low-cost funds from investors as an alternative to their traditional </w:t>
      </w:r>
      <w:r w:rsidR="002239A4">
        <w:rPr>
          <w:rFonts w:eastAsia="Times New Roman" w:cs="Calibri"/>
          <w:sz w:val="20"/>
        </w:rPr>
        <w:t>bonds</w:t>
      </w:r>
      <w:r w:rsidR="002239A4">
        <w:rPr>
          <w:rFonts w:eastAsia="Times New Roman" w:cs="Calibri"/>
          <w:sz w:val="20"/>
        </w:rPr>
        <w:t xml:space="preserve"> </w:t>
      </w:r>
      <w:r>
        <w:rPr>
          <w:rFonts w:eastAsia="Times New Roman" w:cs="Calibri"/>
          <w:sz w:val="20"/>
        </w:rPr>
        <w:t xml:space="preserve">and equity. </w:t>
      </w:r>
      <w:r w:rsidR="003F450C">
        <w:rPr>
          <w:rFonts w:eastAsia="Times New Roman" w:cs="Calibri"/>
          <w:sz w:val="20"/>
        </w:rPr>
        <w:t xml:space="preserve"> </w:t>
      </w:r>
      <w:r w:rsidR="002239A4">
        <w:rPr>
          <w:rFonts w:eastAsia="Times New Roman" w:cs="Calibri"/>
          <w:sz w:val="20"/>
        </w:rPr>
        <w:t>Utility s</w:t>
      </w:r>
      <w:r>
        <w:rPr>
          <w:rFonts w:eastAsia="Times New Roman" w:cs="Calibri"/>
          <w:sz w:val="20"/>
        </w:rPr>
        <w:t>ecuritization</w:t>
      </w:r>
      <w:r w:rsidR="002239A4">
        <w:rPr>
          <w:rFonts w:eastAsia="Times New Roman" w:cs="Calibri"/>
          <w:sz w:val="20"/>
        </w:rPr>
        <w:t xml:space="preserve"> </w:t>
      </w:r>
      <w:r>
        <w:rPr>
          <w:rFonts w:eastAsia="Times New Roman" w:cs="Calibri"/>
          <w:sz w:val="20"/>
        </w:rPr>
        <w:t xml:space="preserve">can directly </w:t>
      </w:r>
      <w:bookmarkStart w:id="1" w:name="_Hlk4676043"/>
      <w:r>
        <w:rPr>
          <w:rFonts w:eastAsia="Times New Roman" w:cs="Calibri"/>
          <w:sz w:val="20"/>
        </w:rPr>
        <w:t xml:space="preserve">lower the costs to customers and </w:t>
      </w:r>
      <w:r w:rsidR="00C0682D">
        <w:rPr>
          <w:rFonts w:eastAsia="Times New Roman" w:cs="Calibri"/>
          <w:sz w:val="20"/>
        </w:rPr>
        <w:t xml:space="preserve">help </w:t>
      </w:r>
      <w:r>
        <w:rPr>
          <w:rFonts w:eastAsia="Times New Roman" w:cs="Calibri"/>
          <w:sz w:val="20"/>
        </w:rPr>
        <w:t>avoid onerous electricity rate increases.</w:t>
      </w:r>
      <w:bookmarkEnd w:id="1"/>
      <w:r>
        <w:rPr>
          <w:rFonts w:eastAsia="Times New Roman" w:cs="Calibri"/>
          <w:sz w:val="20"/>
        </w:rPr>
        <w:t xml:space="preserve">  </w:t>
      </w:r>
    </w:p>
    <w:p w14:paraId="73BF1DDE" w14:textId="77777777" w:rsidR="006123A9" w:rsidRDefault="006123A9" w:rsidP="006123A9">
      <w:pPr>
        <w:rPr>
          <w:rFonts w:eastAsia="Times New Roman" w:cs="Calibri"/>
          <w:sz w:val="20"/>
        </w:rPr>
      </w:pPr>
    </w:p>
    <w:p w14:paraId="05E9C9F5" w14:textId="02B220EB" w:rsidR="006123A9" w:rsidRDefault="006123A9" w:rsidP="006123A9">
      <w:pPr>
        <w:rPr>
          <w:rFonts w:eastAsia="Times New Roman" w:cs="Calibri"/>
          <w:sz w:val="20"/>
        </w:rPr>
      </w:pPr>
      <w:r>
        <w:rPr>
          <w:rFonts w:eastAsia="Times New Roman" w:cs="Calibri"/>
          <w:sz w:val="20"/>
        </w:rPr>
        <w:t xml:space="preserve">The SURFA panel will discuss the need for a strong degree of financial and regulatory expertise to ensure that ratepayers will benefit from the lowest financing costs.  </w:t>
      </w:r>
      <w:r w:rsidR="00421844">
        <w:rPr>
          <w:rFonts w:eastAsia="Times New Roman" w:cs="Calibri"/>
          <w:sz w:val="20"/>
        </w:rPr>
        <w:t>The securitization process is very different from traditional rate making.</w:t>
      </w:r>
    </w:p>
    <w:p w14:paraId="74F57CAA" w14:textId="77777777" w:rsidR="006123A9" w:rsidRDefault="006123A9" w:rsidP="006123A9">
      <w:pPr>
        <w:rPr>
          <w:rFonts w:eastAsia="Times New Roman" w:cs="Calibri"/>
          <w:sz w:val="20"/>
        </w:rPr>
      </w:pPr>
    </w:p>
    <w:p w14:paraId="08BC7C99" w14:textId="1BCF2327" w:rsidR="006123A9" w:rsidRDefault="006123A9" w:rsidP="006123A9">
      <w:pPr>
        <w:rPr>
          <w:sz w:val="20"/>
        </w:rPr>
      </w:pPr>
      <w:r>
        <w:rPr>
          <w:rFonts w:eastAsia="Times New Roman" w:cs="Calibri"/>
          <w:sz w:val="20"/>
        </w:rPr>
        <w:t>As part of the securitization process, regulators will need to forego their future regulatory oversight</w:t>
      </w:r>
      <w:r w:rsidR="00421844">
        <w:rPr>
          <w:rFonts w:eastAsia="Times New Roman" w:cs="Calibri"/>
          <w:sz w:val="20"/>
        </w:rPr>
        <w:t xml:space="preserve"> of </w:t>
      </w:r>
      <w:r w:rsidR="001049B3">
        <w:rPr>
          <w:rFonts w:eastAsia="Times New Roman" w:cs="Calibri"/>
          <w:sz w:val="20"/>
        </w:rPr>
        <w:t xml:space="preserve">the </w:t>
      </w:r>
      <w:r w:rsidR="00421844">
        <w:rPr>
          <w:rFonts w:eastAsia="Times New Roman" w:cs="Calibri"/>
          <w:sz w:val="20"/>
        </w:rPr>
        <w:t>special securitization charges</w:t>
      </w:r>
      <w:r>
        <w:rPr>
          <w:rFonts w:eastAsia="Times New Roman" w:cs="Calibri"/>
          <w:sz w:val="20"/>
        </w:rPr>
        <w:t xml:space="preserve"> to enable the </w:t>
      </w:r>
      <w:r w:rsidR="00421844">
        <w:rPr>
          <w:rFonts w:eastAsia="Times New Roman" w:cs="Calibri"/>
          <w:sz w:val="20"/>
        </w:rPr>
        <w:t xml:space="preserve">sale </w:t>
      </w:r>
      <w:r>
        <w:rPr>
          <w:rFonts w:eastAsia="Times New Roman" w:cs="Calibri"/>
          <w:sz w:val="20"/>
        </w:rPr>
        <w:t xml:space="preserve">of </w:t>
      </w:r>
      <w:r w:rsidR="00C0682D">
        <w:rPr>
          <w:rFonts w:eastAsia="Times New Roman" w:cs="Calibri"/>
          <w:sz w:val="20"/>
        </w:rPr>
        <w:t>the</w:t>
      </w:r>
      <w:r>
        <w:rPr>
          <w:rFonts w:eastAsia="Times New Roman" w:cs="Calibri"/>
          <w:sz w:val="20"/>
        </w:rPr>
        <w:t xml:space="preserve"> high</w:t>
      </w:r>
      <w:r w:rsidR="00C0682D">
        <w:rPr>
          <w:rFonts w:eastAsia="Times New Roman" w:cs="Calibri"/>
          <w:sz w:val="20"/>
        </w:rPr>
        <w:t>est</w:t>
      </w:r>
      <w:r>
        <w:rPr>
          <w:rFonts w:eastAsia="Times New Roman" w:cs="Calibri"/>
          <w:sz w:val="20"/>
        </w:rPr>
        <w:t xml:space="preserve"> quality</w:t>
      </w:r>
      <w:r w:rsidR="002239A4">
        <w:rPr>
          <w:rFonts w:eastAsia="Times New Roman" w:cs="Calibri"/>
          <w:sz w:val="20"/>
        </w:rPr>
        <w:t xml:space="preserve"> bond</w:t>
      </w:r>
      <w:r>
        <w:rPr>
          <w:rFonts w:eastAsia="Times New Roman" w:cs="Calibri"/>
          <w:sz w:val="20"/>
        </w:rPr>
        <w:t xml:space="preserve">. </w:t>
      </w:r>
      <w:bookmarkStart w:id="2" w:name="_Hlk4676893"/>
      <w:r>
        <w:rPr>
          <w:rFonts w:eastAsia="Times New Roman" w:cs="Calibri"/>
          <w:sz w:val="20"/>
        </w:rPr>
        <w:t xml:space="preserve"> </w:t>
      </w:r>
      <w:r w:rsidR="00C0682D">
        <w:rPr>
          <w:rFonts w:eastAsia="Times New Roman" w:cs="Calibri"/>
          <w:sz w:val="20"/>
        </w:rPr>
        <w:t>However</w:t>
      </w:r>
      <w:r>
        <w:rPr>
          <w:rFonts w:eastAsia="Times New Roman" w:cs="Calibri"/>
          <w:sz w:val="20"/>
        </w:rPr>
        <w:t xml:space="preserve">, standard incentives for </w:t>
      </w:r>
      <w:r w:rsidR="003F450C">
        <w:rPr>
          <w:rFonts w:eastAsia="Times New Roman" w:cs="Calibri"/>
          <w:sz w:val="20"/>
        </w:rPr>
        <w:t>a utility</w:t>
      </w:r>
      <w:r>
        <w:rPr>
          <w:rFonts w:eastAsia="Times New Roman" w:cs="Calibri"/>
          <w:sz w:val="20"/>
        </w:rPr>
        <w:t xml:space="preserve"> to minimize customer costs are not present because the securitized bonds are</w:t>
      </w:r>
      <w:r>
        <w:rPr>
          <w:rFonts w:eastAsia="Times New Roman" w:cs="Calibri"/>
          <w:sz w:val="20"/>
        </w:rPr>
        <w:t xml:space="preserve"> not</w:t>
      </w:r>
      <w:r>
        <w:rPr>
          <w:rFonts w:eastAsia="Times New Roman" w:cs="Calibri"/>
          <w:sz w:val="20"/>
        </w:rPr>
        <w:t xml:space="preserve"> direct obligations of the sponsoring utility and do not impact the utility's debt coverage.</w:t>
      </w:r>
      <w:bookmarkEnd w:id="2"/>
      <w:r>
        <w:rPr>
          <w:rFonts w:eastAsia="Times New Roman" w:cs="Calibri"/>
          <w:sz w:val="20"/>
        </w:rPr>
        <w:t xml:space="preserve"> </w:t>
      </w:r>
      <w:r>
        <w:rPr>
          <w:rFonts w:eastAsia="Times New Roman" w:cs="Calibri"/>
          <w:sz w:val="20"/>
        </w:rPr>
        <w:t xml:space="preserve"> </w:t>
      </w:r>
      <w:r w:rsidR="001049B3">
        <w:rPr>
          <w:rFonts w:eastAsia="Times New Roman" w:cs="Calibri"/>
          <w:sz w:val="20"/>
        </w:rPr>
        <w:t>C</w:t>
      </w:r>
      <w:r>
        <w:rPr>
          <w:rFonts w:eastAsia="Times New Roman" w:cs="Calibri"/>
          <w:sz w:val="20"/>
        </w:rPr>
        <w:t xml:space="preserve">redit rating agency concerns play a critical role throughout the legislative, regulatory and </w:t>
      </w:r>
      <w:r w:rsidR="001049B3">
        <w:rPr>
          <w:rFonts w:eastAsia="Times New Roman" w:cs="Calibri"/>
          <w:sz w:val="20"/>
        </w:rPr>
        <w:t xml:space="preserve">securitization </w:t>
      </w:r>
      <w:r>
        <w:rPr>
          <w:rFonts w:eastAsia="Times New Roman" w:cs="Calibri"/>
          <w:sz w:val="20"/>
        </w:rPr>
        <w:t xml:space="preserve">financing processes. </w:t>
      </w:r>
      <w:r w:rsidR="002239A4">
        <w:rPr>
          <w:rFonts w:eastAsia="Times New Roman" w:cs="Calibri"/>
          <w:sz w:val="20"/>
        </w:rPr>
        <w:t xml:space="preserve"> </w:t>
      </w:r>
      <w:r w:rsidR="002239A4" w:rsidRPr="002239A4">
        <w:rPr>
          <w:rFonts w:eastAsia="Times New Roman" w:cs="Calibri"/>
          <w:sz w:val="20"/>
        </w:rPr>
        <w:t xml:space="preserve">While </w:t>
      </w:r>
      <w:r w:rsidR="003F450C">
        <w:rPr>
          <w:rFonts w:eastAsia="Times New Roman" w:cs="Calibri"/>
          <w:sz w:val="20"/>
        </w:rPr>
        <w:t xml:space="preserve">utility securitization </w:t>
      </w:r>
      <w:bookmarkStart w:id="3" w:name="_GoBack"/>
      <w:bookmarkEnd w:id="3"/>
      <w:r w:rsidR="002239A4" w:rsidRPr="002239A4">
        <w:rPr>
          <w:rFonts w:eastAsia="Times New Roman" w:cs="Calibri"/>
          <w:sz w:val="20"/>
        </w:rPr>
        <w:t>can provide significant cost savings over traditional forms of recovery, these savings are not automatic.</w:t>
      </w:r>
    </w:p>
    <w:p w14:paraId="1ABDCB4E" w14:textId="2777129F" w:rsidR="00781A3D" w:rsidRPr="00085104" w:rsidRDefault="00781A3D" w:rsidP="00340752">
      <w:pPr>
        <w:rPr>
          <w:sz w:val="20"/>
        </w:rPr>
      </w:pPr>
      <w:bookmarkStart w:id="4" w:name="_Hlk4499769"/>
      <w:bookmarkEnd w:id="0"/>
    </w:p>
    <w:bookmarkEnd w:id="4"/>
    <w:p w14:paraId="3B71696B" w14:textId="797DE6EA" w:rsidR="00032DBC" w:rsidRPr="005D3FAC" w:rsidRDefault="00032DBC" w:rsidP="00EA4B04">
      <w:pPr>
        <w:rPr>
          <w:rFonts w:eastAsia="Times New Roman" w:cs="Calibri"/>
          <w:sz w:val="20"/>
        </w:rPr>
      </w:pPr>
      <w:r w:rsidRPr="00C22250">
        <w:rPr>
          <w:rFonts w:eastAsia="Times New Roman" w:cs="Calibri"/>
          <w:sz w:val="20"/>
        </w:rPr>
        <w:t xml:space="preserve">Since 2001, </w:t>
      </w:r>
      <w:r w:rsidR="00297802" w:rsidRPr="00C22250">
        <w:rPr>
          <w:rFonts w:eastAsia="Times New Roman" w:cs="Calibri"/>
          <w:sz w:val="20"/>
        </w:rPr>
        <w:t xml:space="preserve">utilities </w:t>
      </w:r>
      <w:r w:rsidRPr="00C22250">
        <w:rPr>
          <w:rFonts w:eastAsia="Times New Roman" w:cs="Calibri"/>
          <w:sz w:val="20"/>
        </w:rPr>
        <w:t>have raised $31 billion through securitization from private investors.  As CEO of Saber Partners, Mr. Fichera has</w:t>
      </w:r>
      <w:r w:rsidR="00575CB1" w:rsidRPr="00C22250">
        <w:rPr>
          <w:rFonts w:eastAsia="Times New Roman" w:cs="Calibri"/>
          <w:sz w:val="20"/>
        </w:rPr>
        <w:t xml:space="preserve"> led the</w:t>
      </w:r>
      <w:r w:rsidR="00A2724F">
        <w:rPr>
          <w:rFonts w:eastAsia="Times New Roman" w:cs="Calibri"/>
          <w:sz w:val="20"/>
        </w:rPr>
        <w:t xml:space="preserve"> advisory</w:t>
      </w:r>
      <w:r w:rsidR="00575CB1" w:rsidRPr="00A2724F">
        <w:rPr>
          <w:rFonts w:eastAsia="Times New Roman" w:cs="Calibri"/>
          <w:sz w:val="20"/>
        </w:rPr>
        <w:t xml:space="preserve"> teams that have</w:t>
      </w:r>
      <w:r w:rsidRPr="00A2724F">
        <w:rPr>
          <w:rFonts w:eastAsia="Times New Roman" w:cs="Calibri"/>
          <w:sz w:val="20"/>
        </w:rPr>
        <w:t xml:space="preserve"> participated in </w:t>
      </w:r>
      <w:r w:rsidRPr="00A2724F">
        <w:rPr>
          <w:sz w:val="20"/>
        </w:rPr>
        <w:t xml:space="preserve">13 global utility securitization bond offerings.  They have advised </w:t>
      </w:r>
      <w:r w:rsidR="002C190D" w:rsidRPr="00C22250">
        <w:rPr>
          <w:sz w:val="20"/>
        </w:rPr>
        <w:fldChar w:fldCharType="begin"/>
      </w:r>
      <w:r w:rsidR="002C190D" w:rsidRPr="00C22250">
        <w:rPr>
          <w:sz w:val="20"/>
        </w:rPr>
        <w:instrText xml:space="preserve"> HYPERLINK "https://saberpartners.com/client-testimonials-on-saber-utility-securitization-work" </w:instrText>
      </w:r>
      <w:r w:rsidR="00E40EDE" w:rsidRPr="00C22250">
        <w:rPr>
          <w:sz w:val="20"/>
        </w:rPr>
      </w:r>
      <w:r w:rsidR="002C190D" w:rsidRPr="00C22250">
        <w:rPr>
          <w:sz w:val="20"/>
        </w:rPr>
        <w:fldChar w:fldCharType="separate"/>
      </w:r>
      <w:r w:rsidRPr="00C22250">
        <w:rPr>
          <w:rStyle w:val="Hyperlink"/>
          <w:sz w:val="20"/>
        </w:rPr>
        <w:t>five state regulatory commissions</w:t>
      </w:r>
      <w:r w:rsidR="002C190D" w:rsidRPr="00C22250">
        <w:rPr>
          <w:rStyle w:val="Hyperlink"/>
          <w:sz w:val="20"/>
        </w:rPr>
        <w:fldChar w:fldCharType="end"/>
      </w:r>
      <w:r w:rsidRPr="005D3FAC">
        <w:rPr>
          <w:sz w:val="20"/>
        </w:rPr>
        <w:t xml:space="preserve"> overseeing the raising of </w:t>
      </w:r>
      <w:r w:rsidR="002C190D" w:rsidRPr="00C22250">
        <w:rPr>
          <w:sz w:val="20"/>
        </w:rPr>
        <w:fldChar w:fldCharType="begin"/>
      </w:r>
      <w:r w:rsidR="002C190D" w:rsidRPr="00C22250">
        <w:rPr>
          <w:sz w:val="20"/>
        </w:rPr>
        <w:instrText xml:space="preserve"> HYPERLINK "https://saberpartners.com/experience/" </w:instrText>
      </w:r>
      <w:r w:rsidR="00E40EDE" w:rsidRPr="00C22250">
        <w:rPr>
          <w:sz w:val="20"/>
        </w:rPr>
      </w:r>
      <w:r w:rsidR="002C190D" w:rsidRPr="00C22250">
        <w:rPr>
          <w:sz w:val="20"/>
        </w:rPr>
        <w:fldChar w:fldCharType="separate"/>
      </w:r>
      <w:r w:rsidRPr="00C22250">
        <w:rPr>
          <w:rStyle w:val="Hyperlink"/>
          <w:sz w:val="20"/>
        </w:rPr>
        <w:t>$9.02 billion</w:t>
      </w:r>
      <w:r w:rsidR="002C190D" w:rsidRPr="00C22250">
        <w:rPr>
          <w:rStyle w:val="Hyperlink"/>
          <w:sz w:val="20"/>
        </w:rPr>
        <w:fldChar w:fldCharType="end"/>
      </w:r>
      <w:r w:rsidR="0058547C" w:rsidRPr="005D3FAC">
        <w:rPr>
          <w:sz w:val="20"/>
        </w:rPr>
        <w:t xml:space="preserve"> from investors</w:t>
      </w:r>
      <w:r w:rsidRPr="005D3FAC">
        <w:rPr>
          <w:sz w:val="20"/>
        </w:rPr>
        <w:t xml:space="preserve"> involving 8 utilities.</w:t>
      </w:r>
    </w:p>
    <w:p w14:paraId="7A123F9C" w14:textId="77777777" w:rsidR="00232037" w:rsidRPr="00C22250" w:rsidRDefault="00232037" w:rsidP="00EA4B04">
      <w:pPr>
        <w:rPr>
          <w:rFonts w:eastAsia="Times New Roman" w:cs="Calibri"/>
          <w:sz w:val="20"/>
        </w:rPr>
      </w:pPr>
    </w:p>
    <w:p w14:paraId="25FAB26B" w14:textId="6E1088A7" w:rsidR="00575CB1" w:rsidRPr="005D3FAC" w:rsidRDefault="00575CB1" w:rsidP="00575CB1">
      <w:pPr>
        <w:rPr>
          <w:i/>
          <w:sz w:val="20"/>
        </w:rPr>
      </w:pPr>
      <w:r w:rsidRPr="00C22250">
        <w:rPr>
          <w:sz w:val="20"/>
        </w:rPr>
        <w:t xml:space="preserve">At a public meeting of the Florida Public Service Commission, the state’s ratepayer representative (Office of the People’s Counsel) described Saber Partners’ work in overseeing a $1.294 billion securitization, as </w:t>
      </w:r>
      <w:r w:rsidRPr="00C22250">
        <w:rPr>
          <w:i/>
          <w:sz w:val="20"/>
        </w:rPr>
        <w:t>“</w:t>
      </w:r>
      <w:r w:rsidR="002C190D" w:rsidRPr="00C22250">
        <w:rPr>
          <w:sz w:val="20"/>
        </w:rPr>
        <w:fldChar w:fldCharType="begin"/>
      </w:r>
      <w:r w:rsidR="002C190D" w:rsidRPr="00C22250">
        <w:rPr>
          <w:sz w:val="20"/>
        </w:rPr>
        <w:instrText xml:space="preserve"> HYPERLINK "https://saberpartners.com/video-shows-florida-ratepayers-regulator-speaking-on-saber-partners-effectiveness-rehwinkel/" </w:instrText>
      </w:r>
      <w:r w:rsidR="00E40EDE" w:rsidRPr="00C22250">
        <w:rPr>
          <w:sz w:val="20"/>
        </w:rPr>
      </w:r>
      <w:r w:rsidR="002C190D" w:rsidRPr="00C22250">
        <w:rPr>
          <w:sz w:val="20"/>
        </w:rPr>
        <w:fldChar w:fldCharType="separate"/>
      </w:r>
      <w:r w:rsidRPr="00C22250">
        <w:rPr>
          <w:rStyle w:val="Hyperlink"/>
          <w:i/>
          <w:sz w:val="20"/>
        </w:rPr>
        <w:t>without question, instrumental in saving many millions of dollars for the customers in current and future costs through their dogged and expert advocacy to achieve the optimum lowest cost for customers at the outset.”</w:t>
      </w:r>
      <w:r w:rsidR="002C190D" w:rsidRPr="00C22250">
        <w:rPr>
          <w:rStyle w:val="Hyperlink"/>
          <w:i/>
          <w:sz w:val="20"/>
        </w:rPr>
        <w:fldChar w:fldCharType="end"/>
      </w:r>
      <w:r w:rsidRPr="005D3FAC">
        <w:rPr>
          <w:sz w:val="20"/>
        </w:rPr>
        <w:t xml:space="preserve">  </w:t>
      </w:r>
    </w:p>
    <w:p w14:paraId="58C3FACD" w14:textId="54D36FE9" w:rsidR="00281D7E" w:rsidRPr="00C22250" w:rsidRDefault="00281D7E" w:rsidP="00575CB1">
      <w:pPr>
        <w:rPr>
          <w:sz w:val="20"/>
        </w:rPr>
      </w:pPr>
    </w:p>
    <w:p w14:paraId="5EEE3441" w14:textId="0B57735F" w:rsidR="003B32E0" w:rsidRPr="005D3FAC" w:rsidRDefault="00281D7E" w:rsidP="00EA4B04">
      <w:pPr>
        <w:rPr>
          <w:rFonts w:eastAsia="Times New Roman" w:cs="Calibri"/>
          <w:sz w:val="20"/>
        </w:rPr>
      </w:pPr>
      <w:r w:rsidRPr="00C22250">
        <w:rPr>
          <w:rFonts w:eastAsia="Times New Roman" w:cs="Calibri"/>
          <w:sz w:val="20"/>
        </w:rPr>
        <w:t>Today, l</w:t>
      </w:r>
      <w:r w:rsidR="008C2927" w:rsidRPr="00C22250">
        <w:rPr>
          <w:rFonts w:eastAsia="Times New Roman" w:cs="Calibri"/>
          <w:sz w:val="20"/>
        </w:rPr>
        <w:t xml:space="preserve">egislators, regulators, consumers and environmental groups </w:t>
      </w:r>
      <w:r w:rsidR="001C45B1" w:rsidRPr="00C22250">
        <w:rPr>
          <w:rFonts w:eastAsia="Times New Roman" w:cs="Calibri"/>
          <w:sz w:val="20"/>
        </w:rPr>
        <w:t>are discussing</w:t>
      </w:r>
      <w:r w:rsidR="00A9093C" w:rsidRPr="00C22250">
        <w:rPr>
          <w:rFonts w:eastAsia="Times New Roman" w:cs="Calibri"/>
          <w:sz w:val="20"/>
        </w:rPr>
        <w:t xml:space="preserve"> </w:t>
      </w:r>
      <w:r w:rsidR="008C2927" w:rsidRPr="00C22250">
        <w:rPr>
          <w:rFonts w:eastAsia="Times New Roman" w:cs="Calibri"/>
          <w:sz w:val="20"/>
        </w:rPr>
        <w:t>using securitization</w:t>
      </w:r>
      <w:r w:rsidR="003B32E0" w:rsidRPr="00C22250">
        <w:rPr>
          <w:rFonts w:eastAsia="Times New Roman" w:cs="Calibri"/>
          <w:sz w:val="20"/>
        </w:rPr>
        <w:t xml:space="preserve"> for </w:t>
      </w:r>
      <w:r w:rsidR="002C190D" w:rsidRPr="00C22250">
        <w:rPr>
          <w:sz w:val="20"/>
        </w:rPr>
        <w:fldChar w:fldCharType="begin"/>
      </w:r>
      <w:r w:rsidR="002C190D" w:rsidRPr="00C22250">
        <w:rPr>
          <w:sz w:val="20"/>
        </w:rPr>
        <w:instrText xml:space="preserve"> HYPERLINK "https://saberpartners.com/wp-content/</w:instrText>
      </w:r>
      <w:r w:rsidR="002C190D" w:rsidRPr="00C22250">
        <w:rPr>
          <w:sz w:val="20"/>
        </w:rPr>
        <w:instrText xml:space="preserve">uploads/2019/03/Coal-Plant-Closure-Bonds-Gain-Steam-With-Shift-In-Power-Mix-Law360.pdf" </w:instrText>
      </w:r>
      <w:r w:rsidR="00E40EDE" w:rsidRPr="00C22250">
        <w:rPr>
          <w:sz w:val="20"/>
        </w:rPr>
      </w:r>
      <w:r w:rsidR="002C190D" w:rsidRPr="00C22250">
        <w:rPr>
          <w:sz w:val="20"/>
        </w:rPr>
        <w:fldChar w:fldCharType="separate"/>
      </w:r>
      <w:r w:rsidR="003B32E0" w:rsidRPr="00C22250">
        <w:rPr>
          <w:rStyle w:val="Hyperlink"/>
          <w:rFonts w:eastAsia="Times New Roman" w:cs="Calibri"/>
          <w:sz w:val="20"/>
        </w:rPr>
        <w:t>new purposes</w:t>
      </w:r>
      <w:r w:rsidR="002C190D" w:rsidRPr="00C22250">
        <w:rPr>
          <w:rStyle w:val="Hyperlink"/>
          <w:rFonts w:eastAsia="Times New Roman" w:cs="Calibri"/>
          <w:sz w:val="20"/>
        </w:rPr>
        <w:fldChar w:fldCharType="end"/>
      </w:r>
      <w:r w:rsidR="003B32E0" w:rsidRPr="005D3FAC">
        <w:rPr>
          <w:rFonts w:eastAsia="Times New Roman" w:cs="Calibri"/>
          <w:sz w:val="20"/>
        </w:rPr>
        <w:t xml:space="preserve"> like:</w:t>
      </w:r>
    </w:p>
    <w:p w14:paraId="47E40471" w14:textId="7FD3517C" w:rsidR="003B32E0" w:rsidRPr="00C22250" w:rsidRDefault="00C07C6B" w:rsidP="00EA4B04">
      <w:pPr>
        <w:rPr>
          <w:rFonts w:eastAsia="Times New Roman" w:cs="Calibri"/>
          <w:sz w:val="20"/>
        </w:rPr>
      </w:pPr>
      <w:r w:rsidRPr="00C22250">
        <w:rPr>
          <w:rFonts w:eastAsia="Times New Roman" w:cs="Calibri"/>
          <w:sz w:val="20"/>
        </w:rPr>
        <w:t xml:space="preserve">  </w:t>
      </w:r>
    </w:p>
    <w:p w14:paraId="774C6D88" w14:textId="205D1BF9" w:rsidR="003B32E0" w:rsidRPr="00C22250" w:rsidRDefault="003B32E0" w:rsidP="009D4F8A">
      <w:pPr>
        <w:pStyle w:val="ListParagraph"/>
        <w:numPr>
          <w:ilvl w:val="0"/>
          <w:numId w:val="7"/>
        </w:numPr>
        <w:rPr>
          <w:rFonts w:eastAsia="Times New Roman" w:cs="Calibri"/>
          <w:sz w:val="20"/>
        </w:rPr>
      </w:pPr>
      <w:r w:rsidRPr="00C22250">
        <w:rPr>
          <w:rFonts w:eastAsia="Times New Roman" w:cs="Calibri"/>
          <w:sz w:val="20"/>
        </w:rPr>
        <w:t>Paying for u</w:t>
      </w:r>
      <w:r w:rsidR="00820D1C" w:rsidRPr="00C22250">
        <w:rPr>
          <w:rFonts w:eastAsia="Times New Roman" w:cs="Calibri"/>
          <w:sz w:val="20"/>
        </w:rPr>
        <w:t>tility wildfire costs in California</w:t>
      </w:r>
      <w:r w:rsidRPr="00C22250">
        <w:rPr>
          <w:rFonts w:eastAsia="Times New Roman" w:cs="Calibri"/>
          <w:sz w:val="20"/>
        </w:rPr>
        <w:t>;</w:t>
      </w:r>
    </w:p>
    <w:p w14:paraId="53FFD19C" w14:textId="46F1809E" w:rsidR="003B32E0" w:rsidRPr="00C22250" w:rsidRDefault="003B32E0" w:rsidP="009D4F8A">
      <w:pPr>
        <w:pStyle w:val="ListParagraph"/>
        <w:numPr>
          <w:ilvl w:val="0"/>
          <w:numId w:val="7"/>
        </w:numPr>
        <w:rPr>
          <w:rFonts w:eastAsia="Times New Roman" w:cs="Calibri"/>
          <w:sz w:val="20"/>
        </w:rPr>
      </w:pPr>
      <w:r w:rsidRPr="00C22250">
        <w:rPr>
          <w:rFonts w:eastAsia="Times New Roman" w:cs="Calibri"/>
          <w:sz w:val="20"/>
        </w:rPr>
        <w:t>A</w:t>
      </w:r>
      <w:r w:rsidR="00820D1C" w:rsidRPr="00C22250">
        <w:rPr>
          <w:rFonts w:eastAsia="Times New Roman" w:cs="Calibri"/>
          <w:sz w:val="20"/>
        </w:rPr>
        <w:t xml:space="preserve">ccelerating </w:t>
      </w:r>
      <w:r w:rsidR="00D420A7" w:rsidRPr="00C22250">
        <w:rPr>
          <w:rFonts w:eastAsia="Times New Roman" w:cs="Calibri"/>
          <w:sz w:val="20"/>
        </w:rPr>
        <w:t xml:space="preserve">the </w:t>
      </w:r>
      <w:r w:rsidR="00820D1C" w:rsidRPr="00C22250">
        <w:rPr>
          <w:rFonts w:eastAsia="Times New Roman" w:cs="Calibri"/>
          <w:sz w:val="20"/>
        </w:rPr>
        <w:t>conversion of coal</w:t>
      </w:r>
      <w:r w:rsidR="007C62F8" w:rsidRPr="00C22250">
        <w:rPr>
          <w:rFonts w:eastAsia="Times New Roman" w:cs="Calibri"/>
          <w:sz w:val="20"/>
        </w:rPr>
        <w:t xml:space="preserve"> plants</w:t>
      </w:r>
      <w:r w:rsidR="00820D1C" w:rsidRPr="00C22250">
        <w:rPr>
          <w:rFonts w:eastAsia="Times New Roman" w:cs="Calibri"/>
          <w:sz w:val="20"/>
        </w:rPr>
        <w:t xml:space="preserve"> to clean energy in the </w:t>
      </w:r>
      <w:r w:rsidR="0096268A" w:rsidRPr="00C22250">
        <w:rPr>
          <w:rFonts w:eastAsia="Times New Roman" w:cs="Calibri"/>
          <w:sz w:val="20"/>
        </w:rPr>
        <w:t xml:space="preserve">West and </w:t>
      </w:r>
      <w:r w:rsidR="00820D1C" w:rsidRPr="00C22250">
        <w:rPr>
          <w:rFonts w:eastAsia="Times New Roman" w:cs="Calibri"/>
          <w:sz w:val="20"/>
        </w:rPr>
        <w:t>mid-</w:t>
      </w:r>
      <w:r w:rsidR="007C62F8" w:rsidRPr="00C22250">
        <w:rPr>
          <w:rFonts w:eastAsia="Times New Roman" w:cs="Calibri"/>
          <w:sz w:val="20"/>
        </w:rPr>
        <w:t>W</w:t>
      </w:r>
      <w:r w:rsidR="00820D1C" w:rsidRPr="00C22250">
        <w:rPr>
          <w:rFonts w:eastAsia="Times New Roman" w:cs="Calibri"/>
          <w:sz w:val="20"/>
        </w:rPr>
        <w:t>est</w:t>
      </w:r>
      <w:r w:rsidRPr="00C22250">
        <w:rPr>
          <w:rFonts w:eastAsia="Times New Roman" w:cs="Calibri"/>
          <w:sz w:val="20"/>
        </w:rPr>
        <w:t>;</w:t>
      </w:r>
      <w:r w:rsidR="00820D1C" w:rsidRPr="00C22250">
        <w:rPr>
          <w:rFonts w:eastAsia="Times New Roman" w:cs="Calibri"/>
          <w:sz w:val="20"/>
        </w:rPr>
        <w:t xml:space="preserve"> </w:t>
      </w:r>
    </w:p>
    <w:p w14:paraId="18C875DC" w14:textId="4CCEC7E3" w:rsidR="003B32E0" w:rsidRPr="00C22250" w:rsidRDefault="003B32E0" w:rsidP="003B32E0">
      <w:pPr>
        <w:pStyle w:val="ListParagraph"/>
        <w:numPr>
          <w:ilvl w:val="0"/>
          <w:numId w:val="7"/>
        </w:numPr>
        <w:rPr>
          <w:rFonts w:eastAsia="Times New Roman" w:cs="Calibri"/>
          <w:sz w:val="20"/>
        </w:rPr>
      </w:pPr>
      <w:r w:rsidRPr="00C22250">
        <w:rPr>
          <w:rFonts w:eastAsia="Times New Roman" w:cs="Calibri"/>
          <w:sz w:val="20"/>
        </w:rPr>
        <w:t>R</w:t>
      </w:r>
      <w:r w:rsidR="00FD4BF4" w:rsidRPr="00C22250">
        <w:rPr>
          <w:rFonts w:eastAsia="Times New Roman" w:cs="Calibri"/>
          <w:sz w:val="20"/>
        </w:rPr>
        <w:t>epairing</w:t>
      </w:r>
      <w:r w:rsidR="006B7CFE" w:rsidRPr="00C22250">
        <w:rPr>
          <w:rFonts w:eastAsia="Times New Roman" w:cs="Calibri"/>
          <w:sz w:val="20"/>
        </w:rPr>
        <w:t xml:space="preserve"> hurricane damage to the electrical grid </w:t>
      </w:r>
      <w:r w:rsidR="00820D1C" w:rsidRPr="00C22250">
        <w:rPr>
          <w:rFonts w:eastAsia="Times New Roman" w:cs="Calibri"/>
          <w:sz w:val="20"/>
        </w:rPr>
        <w:t>in the Carolinas</w:t>
      </w:r>
      <w:r w:rsidRPr="00C22250">
        <w:rPr>
          <w:rFonts w:eastAsia="Times New Roman" w:cs="Calibri"/>
          <w:sz w:val="20"/>
        </w:rPr>
        <w:t>.</w:t>
      </w:r>
    </w:p>
    <w:p w14:paraId="33D72CD4" w14:textId="32012204" w:rsidR="001332DC" w:rsidRPr="00C22250" w:rsidRDefault="001332DC" w:rsidP="001332DC">
      <w:pPr>
        <w:rPr>
          <w:rFonts w:eastAsia="Times New Roman" w:cs="Calibri"/>
          <w:sz w:val="20"/>
        </w:rPr>
      </w:pPr>
    </w:p>
    <w:p w14:paraId="7082B264" w14:textId="34F1AB00" w:rsidR="001332DC" w:rsidRPr="005D3FAC" w:rsidRDefault="0068678C" w:rsidP="00177682">
      <w:pPr>
        <w:rPr>
          <w:sz w:val="20"/>
        </w:rPr>
      </w:pPr>
      <w:r w:rsidRPr="00C22250">
        <w:rPr>
          <w:sz w:val="20"/>
        </w:rPr>
        <w:t>T</w:t>
      </w:r>
      <w:r w:rsidR="001332DC" w:rsidRPr="00C22250">
        <w:rPr>
          <w:sz w:val="20"/>
        </w:rPr>
        <w:t xml:space="preserve">he National Regulatory Research Institute (NRRI) </w:t>
      </w:r>
      <w:r w:rsidRPr="00C22250">
        <w:rPr>
          <w:sz w:val="20"/>
        </w:rPr>
        <w:t xml:space="preserve">also </w:t>
      </w:r>
      <w:r w:rsidR="001332DC" w:rsidRPr="00C22250">
        <w:rPr>
          <w:sz w:val="20"/>
        </w:rPr>
        <w:t>published an “</w:t>
      </w:r>
      <w:r w:rsidR="002C190D" w:rsidRPr="00C22250">
        <w:rPr>
          <w:sz w:val="20"/>
        </w:rPr>
        <w:fldChar w:fldCharType="begin"/>
      </w:r>
      <w:r w:rsidR="002C190D" w:rsidRPr="00C22250">
        <w:rPr>
          <w:sz w:val="20"/>
        </w:rPr>
        <w:instrText xml:space="preserve"> HYPERLINK "http://nrri.org/wp-content/uploads/sites/13/2019/01/NRRI_Securitization_v15.pdf" </w:instrText>
      </w:r>
      <w:r w:rsidR="00E40EDE" w:rsidRPr="00C22250">
        <w:rPr>
          <w:sz w:val="20"/>
        </w:rPr>
      </w:r>
      <w:r w:rsidR="002C190D" w:rsidRPr="00C22250">
        <w:rPr>
          <w:sz w:val="20"/>
        </w:rPr>
        <w:fldChar w:fldCharType="separate"/>
      </w:r>
      <w:r w:rsidR="001332DC" w:rsidRPr="00C22250">
        <w:rPr>
          <w:rStyle w:val="Hyperlink"/>
          <w:sz w:val="20"/>
        </w:rPr>
        <w:t>Insights</w:t>
      </w:r>
      <w:r w:rsidR="002C190D" w:rsidRPr="00C22250">
        <w:rPr>
          <w:rStyle w:val="Hyperlink"/>
          <w:sz w:val="20"/>
        </w:rPr>
        <w:fldChar w:fldCharType="end"/>
      </w:r>
      <w:r w:rsidR="001332DC" w:rsidRPr="005D3FAC">
        <w:rPr>
          <w:sz w:val="20"/>
        </w:rPr>
        <w:t>” paper</w:t>
      </w:r>
      <w:r w:rsidR="000152D5" w:rsidRPr="005D3FAC">
        <w:rPr>
          <w:rFonts w:eastAsia="Times New Roman" w:cs="Calibri"/>
          <w:sz w:val="20"/>
        </w:rPr>
        <w:t xml:space="preserve"> in January, 2019</w:t>
      </w:r>
      <w:r w:rsidR="001332DC" w:rsidRPr="005D3FAC">
        <w:rPr>
          <w:sz w:val="20"/>
        </w:rPr>
        <w:t xml:space="preserve"> on securitization</w:t>
      </w:r>
      <w:r w:rsidRPr="005D3FAC">
        <w:rPr>
          <w:sz w:val="20"/>
        </w:rPr>
        <w:t xml:space="preserve"> by Mr. Fichera</w:t>
      </w:r>
      <w:r w:rsidR="001332DC" w:rsidRPr="005D3FAC">
        <w:rPr>
          <w:sz w:val="20"/>
        </w:rPr>
        <w:t>.</w:t>
      </w:r>
      <w:r w:rsidR="00796845" w:rsidRPr="005D3FAC">
        <w:rPr>
          <w:sz w:val="20"/>
        </w:rPr>
        <w:t xml:space="preserve"> </w:t>
      </w:r>
    </w:p>
    <w:p w14:paraId="18EFA9C8" w14:textId="77777777" w:rsidR="003B32E0" w:rsidRPr="00C22250" w:rsidRDefault="003B32E0" w:rsidP="009D4F8A">
      <w:pPr>
        <w:ind w:left="360"/>
        <w:rPr>
          <w:rFonts w:eastAsia="Times New Roman" w:cs="Calibri"/>
          <w:sz w:val="20"/>
        </w:rPr>
      </w:pPr>
    </w:p>
    <w:p w14:paraId="108E43FE" w14:textId="604C8CBD" w:rsidR="00575CB1" w:rsidRPr="00C22250" w:rsidRDefault="00026715" w:rsidP="00B54956">
      <w:pPr>
        <w:rPr>
          <w:rFonts w:eastAsia="Times New Roman" w:cs="Calibri"/>
          <w:sz w:val="20"/>
        </w:rPr>
      </w:pPr>
      <w:r w:rsidRPr="00C22250">
        <w:rPr>
          <w:rFonts w:eastAsia="Times New Roman" w:cs="Calibri"/>
          <w:b/>
          <w:sz w:val="20"/>
        </w:rPr>
        <w:t>Mark Cicchetti,</w:t>
      </w:r>
      <w:r w:rsidRPr="00C22250">
        <w:rPr>
          <w:rFonts w:eastAsia="Times New Roman" w:cs="Calibri"/>
          <w:sz w:val="20"/>
        </w:rPr>
        <w:t xml:space="preserve"> President of SURFA and the Bureau Chief of Finance, Tax and Cost Recovery of the Florida Public Service Commission will moderate the discussion.  The panel also includes </w:t>
      </w:r>
      <w:r w:rsidRPr="00C22250">
        <w:rPr>
          <w:rFonts w:eastAsia="Times New Roman" w:cs="Calibri"/>
          <w:b/>
          <w:sz w:val="20"/>
        </w:rPr>
        <w:t>Steven C. McNeal</w:t>
      </w:r>
      <w:r w:rsidRPr="00C22250">
        <w:rPr>
          <w:rFonts w:eastAsia="Times New Roman" w:cs="Calibri"/>
          <w:sz w:val="20"/>
        </w:rPr>
        <w:t xml:space="preserve">, Vice President of Finance at Entergy Corporation and </w:t>
      </w:r>
      <w:r w:rsidRPr="00C22250">
        <w:rPr>
          <w:rFonts w:eastAsia="Times New Roman" w:cs="Calibri"/>
          <w:b/>
          <w:sz w:val="20"/>
        </w:rPr>
        <w:t>James Hempstead,</w:t>
      </w:r>
      <w:r w:rsidRPr="00C22250">
        <w:rPr>
          <w:rFonts w:eastAsia="Times New Roman" w:cs="Calibri"/>
          <w:sz w:val="20"/>
        </w:rPr>
        <w:t xml:space="preserve"> Managing Director, Global Project &amp; Infrastructure Finance of Moody’s investors Services.  </w:t>
      </w:r>
    </w:p>
    <w:p w14:paraId="67CABAC3" w14:textId="77777777" w:rsidR="00371021" w:rsidRPr="00C22250" w:rsidRDefault="00371021">
      <w:pPr>
        <w:rPr>
          <w:sz w:val="20"/>
        </w:rPr>
      </w:pPr>
    </w:p>
    <w:p w14:paraId="676BB636" w14:textId="3639EE46" w:rsidR="00371021" w:rsidRPr="00C22250" w:rsidRDefault="002C190D">
      <w:pPr>
        <w:rPr>
          <w:rFonts w:eastAsia="Times New Roman" w:cs="Calibri"/>
          <w:sz w:val="20"/>
        </w:rPr>
      </w:pPr>
      <w:r w:rsidRPr="00C22250">
        <w:rPr>
          <w:sz w:val="20"/>
        </w:rPr>
        <w:fldChar w:fldCharType="begin"/>
      </w:r>
      <w:r w:rsidRPr="00C22250">
        <w:rPr>
          <w:sz w:val="20"/>
        </w:rPr>
        <w:instrText xml:space="preserve"> HYPERLINK "https://surfa.memberclicks.net/" </w:instrText>
      </w:r>
      <w:r w:rsidR="00E40EDE" w:rsidRPr="00C22250">
        <w:rPr>
          <w:sz w:val="20"/>
        </w:rPr>
      </w:r>
      <w:r w:rsidRPr="00C22250">
        <w:rPr>
          <w:sz w:val="20"/>
        </w:rPr>
        <w:fldChar w:fldCharType="separate"/>
      </w:r>
      <w:r w:rsidR="00820D1C" w:rsidRPr="00C22250">
        <w:rPr>
          <w:rStyle w:val="Hyperlink"/>
          <w:rFonts w:eastAsia="Times New Roman" w:cs="Calibri"/>
          <w:sz w:val="20"/>
        </w:rPr>
        <w:t xml:space="preserve">SURFA </w:t>
      </w:r>
      <w:r w:rsidRPr="00C22250">
        <w:rPr>
          <w:rStyle w:val="Hyperlink"/>
          <w:rFonts w:eastAsia="Times New Roman" w:cs="Calibri"/>
          <w:sz w:val="20"/>
        </w:rPr>
        <w:fldChar w:fldCharType="end"/>
      </w:r>
      <w:r w:rsidR="00820D1C" w:rsidRPr="005D3FAC">
        <w:rPr>
          <w:rFonts w:eastAsia="Times New Roman" w:cs="Calibri"/>
          <w:sz w:val="20"/>
        </w:rPr>
        <w:t>is a non-profit corporation, founded in 1977 by financial analysts representing a cross-section of the regulatory process.  These financial analysts representing government, the financial community, industry and academia founded the National Society of Rate of Return Analysts (</w:t>
      </w:r>
      <w:proofErr w:type="spellStart"/>
      <w:r w:rsidR="00820D1C" w:rsidRPr="005D3FAC">
        <w:rPr>
          <w:rFonts w:eastAsia="Times New Roman" w:cs="Calibri"/>
          <w:sz w:val="20"/>
        </w:rPr>
        <w:t>NSRRA</w:t>
      </w:r>
      <w:proofErr w:type="spellEnd"/>
      <w:r w:rsidR="00820D1C" w:rsidRPr="005D3FAC">
        <w:rPr>
          <w:rFonts w:eastAsia="Times New Roman" w:cs="Calibri"/>
          <w:sz w:val="20"/>
        </w:rPr>
        <w:t>).</w:t>
      </w:r>
    </w:p>
    <w:p w14:paraId="2CCD3D3D" w14:textId="58B30D39" w:rsidR="00281D7E" w:rsidRPr="00C22250" w:rsidRDefault="00281D7E">
      <w:pPr>
        <w:rPr>
          <w:rFonts w:eastAsia="Times New Roman" w:cs="Calibri"/>
          <w:sz w:val="20"/>
        </w:rPr>
      </w:pPr>
    </w:p>
    <w:p w14:paraId="6A1E1C61" w14:textId="6776D403" w:rsidR="00FA1C27" w:rsidRPr="005D3FAC" w:rsidRDefault="00820D1C" w:rsidP="00FA1C27">
      <w:pPr>
        <w:rPr>
          <w:rFonts w:eastAsia="Times New Roman" w:cs="Calibri"/>
          <w:sz w:val="20"/>
        </w:rPr>
      </w:pPr>
      <w:r w:rsidRPr="00C22250">
        <w:rPr>
          <w:rFonts w:eastAsia="Times New Roman" w:cs="Calibri"/>
          <w:sz w:val="20"/>
        </w:rPr>
        <w:t xml:space="preserve">To register for the SURFA conference, click </w:t>
      </w:r>
      <w:r w:rsidR="002C190D" w:rsidRPr="00C22250">
        <w:rPr>
          <w:sz w:val="20"/>
        </w:rPr>
        <w:fldChar w:fldCharType="begin"/>
      </w:r>
      <w:r w:rsidR="002C190D" w:rsidRPr="00C22250">
        <w:rPr>
          <w:sz w:val="20"/>
        </w:rPr>
        <w:instrText xml:space="preserve"> HYPERLINK "https://surfa.memberclicks.net/index.php?option=com_mcform&amp;view=ngforms&amp;id=2012601" \l "/" </w:instrText>
      </w:r>
      <w:r w:rsidR="00E40EDE" w:rsidRPr="00C22250">
        <w:rPr>
          <w:sz w:val="20"/>
        </w:rPr>
      </w:r>
      <w:r w:rsidR="002C190D" w:rsidRPr="00C22250">
        <w:rPr>
          <w:sz w:val="20"/>
        </w:rPr>
        <w:fldChar w:fldCharType="separate"/>
      </w:r>
      <w:r w:rsidRPr="00C22250">
        <w:rPr>
          <w:rStyle w:val="Hyperlink"/>
          <w:rFonts w:eastAsia="Times New Roman" w:cs="Calibri"/>
          <w:sz w:val="20"/>
        </w:rPr>
        <w:t>here</w:t>
      </w:r>
      <w:r w:rsidR="002C190D" w:rsidRPr="00C22250">
        <w:rPr>
          <w:rStyle w:val="Hyperlink"/>
          <w:rFonts w:eastAsia="Times New Roman" w:cs="Calibri"/>
          <w:sz w:val="20"/>
        </w:rPr>
        <w:fldChar w:fldCharType="end"/>
      </w:r>
      <w:r w:rsidRPr="005D3FAC">
        <w:rPr>
          <w:rFonts w:eastAsia="Times New Roman" w:cs="Calibri"/>
          <w:sz w:val="20"/>
        </w:rPr>
        <w:t>.</w:t>
      </w:r>
    </w:p>
    <w:p w14:paraId="20A13EA5" w14:textId="3F80B5DE" w:rsidR="00371021" w:rsidRPr="00C22250" w:rsidRDefault="00820D1C" w:rsidP="0065588B">
      <w:pPr>
        <w:jc w:val="center"/>
        <w:rPr>
          <w:sz w:val="20"/>
        </w:rPr>
      </w:pPr>
      <w:r w:rsidRPr="008C7540">
        <w:rPr>
          <w:rFonts w:eastAsia="Times New Roman" w:cs="Calibri"/>
          <w:sz w:val="20"/>
        </w:rPr>
        <w:br/>
      </w:r>
      <w:r w:rsidRPr="00C22250">
        <w:rPr>
          <w:sz w:val="20"/>
        </w:rPr>
        <w:t>-30-</w:t>
      </w:r>
    </w:p>
    <w:sectPr w:rsidR="00371021" w:rsidRPr="00C22250" w:rsidSect="007646DC">
      <w:headerReference w:type="default" r:id="rId7"/>
      <w:footerReference w:type="default" r:id="rId8"/>
      <w:type w:val="continuous"/>
      <w:pgSz w:w="12240" w:h="15840"/>
      <w:pgMar w:top="720" w:right="720" w:bottom="720" w:left="720" w:header="432" w:footer="720" w:gutter="0"/>
      <w:cols w:space="720"/>
      <w:docGrid w:linePitch="299"/>
      <w:sectPrChange w:id="5" w:author="Joseph S. Fichera" w:date="2019-03-28T15:27:00Z">
        <w:sectPr w:rsidR="00371021" w:rsidRPr="00C22250" w:rsidSect="007646DC">
          <w:pgMar w:top="1008" w:right="864" w:bottom="720" w:left="1080" w:header="432" w:footer="720"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54D5EB" w14:textId="77777777" w:rsidR="002C190D" w:rsidRDefault="002C190D">
      <w:r>
        <w:separator/>
      </w:r>
    </w:p>
  </w:endnote>
  <w:endnote w:type="continuationSeparator" w:id="0">
    <w:p w14:paraId="14D02922" w14:textId="77777777" w:rsidR="002C190D" w:rsidRDefault="002C190D">
      <w:r>
        <w:continuationSeparator/>
      </w:r>
    </w:p>
  </w:endnote>
  <w:endnote w:type="continuationNotice" w:id="1">
    <w:p w14:paraId="335A9117" w14:textId="77777777" w:rsidR="002C190D" w:rsidRDefault="002C19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alatino">
    <w:altName w:val="Palatino Linotype"/>
    <w:charset w:val="00"/>
    <w:family w:val="auto"/>
    <w:pitch w:val="variable"/>
    <w:sig w:usb0="A00002FF" w:usb1="7800205A" w:usb2="14600000" w:usb3="00000000" w:csb0="0000019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6F520E" w14:textId="77777777" w:rsidR="000B1D08" w:rsidRDefault="000B1D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A24974" w14:textId="77777777" w:rsidR="002C190D" w:rsidRDefault="002C190D">
      <w:r>
        <w:separator/>
      </w:r>
    </w:p>
  </w:footnote>
  <w:footnote w:type="continuationSeparator" w:id="0">
    <w:p w14:paraId="784085DF" w14:textId="77777777" w:rsidR="002C190D" w:rsidRDefault="002C190D">
      <w:r>
        <w:continuationSeparator/>
      </w:r>
    </w:p>
  </w:footnote>
  <w:footnote w:type="continuationNotice" w:id="1">
    <w:p w14:paraId="274E547D" w14:textId="77777777" w:rsidR="002C190D" w:rsidRDefault="002C19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C33F16" w14:textId="77777777" w:rsidR="00371021" w:rsidRDefault="0037102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29724FA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1" w15:restartNumberingAfterBreak="0">
    <w:nsid w:val="00000002"/>
    <w:multiLevelType w:val="hybridMultilevel"/>
    <w:tmpl w:val="CC1AA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A83BF5"/>
    <w:multiLevelType w:val="hybridMultilevel"/>
    <w:tmpl w:val="E5660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B54997"/>
    <w:multiLevelType w:val="hybridMultilevel"/>
    <w:tmpl w:val="CC1AA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5D00E2"/>
    <w:multiLevelType w:val="hybridMultilevel"/>
    <w:tmpl w:val="28F24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EE4DDB"/>
    <w:multiLevelType w:val="multilevel"/>
    <w:tmpl w:val="29724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AB7412E"/>
    <w:multiLevelType w:val="hybridMultilevel"/>
    <w:tmpl w:val="E5660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5"/>
  </w:num>
  <w:num w:numId="5">
    <w:abstractNumId w:val="3"/>
  </w:num>
  <w:num w:numId="6">
    <w:abstractNumId w:val="2"/>
  </w:num>
  <w:num w:numId="7">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seph S. Fichera">
    <w15:presenceInfo w15:providerId="Windows Live" w15:userId="3c23a45ebedf7c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0AA91070-FD9C-4BB0-8FD5-BF1976CEF81B}"/>
    <w:docVar w:name="dgnword-eventsink" w:val="521669872"/>
  </w:docVars>
  <w:rsids>
    <w:rsidRoot w:val="00371021"/>
    <w:rsid w:val="000132F3"/>
    <w:rsid w:val="000152D5"/>
    <w:rsid w:val="00015476"/>
    <w:rsid w:val="000259CC"/>
    <w:rsid w:val="00026715"/>
    <w:rsid w:val="00032DBC"/>
    <w:rsid w:val="00043127"/>
    <w:rsid w:val="000435BA"/>
    <w:rsid w:val="00054131"/>
    <w:rsid w:val="00056BC7"/>
    <w:rsid w:val="00063D80"/>
    <w:rsid w:val="00065A79"/>
    <w:rsid w:val="00081A44"/>
    <w:rsid w:val="00085104"/>
    <w:rsid w:val="000908BF"/>
    <w:rsid w:val="0009434C"/>
    <w:rsid w:val="000969A6"/>
    <w:rsid w:val="000A111A"/>
    <w:rsid w:val="000A43B7"/>
    <w:rsid w:val="000A5B73"/>
    <w:rsid w:val="000B1D08"/>
    <w:rsid w:val="000B50D5"/>
    <w:rsid w:val="000B5463"/>
    <w:rsid w:val="000C3049"/>
    <w:rsid w:val="000D54E4"/>
    <w:rsid w:val="000E5D6F"/>
    <w:rsid w:val="000F283B"/>
    <w:rsid w:val="000F318D"/>
    <w:rsid w:val="000F332A"/>
    <w:rsid w:val="000F78B8"/>
    <w:rsid w:val="001049B3"/>
    <w:rsid w:val="001054B8"/>
    <w:rsid w:val="001116EE"/>
    <w:rsid w:val="00113876"/>
    <w:rsid w:val="00125FDA"/>
    <w:rsid w:val="00131439"/>
    <w:rsid w:val="001332DC"/>
    <w:rsid w:val="00144296"/>
    <w:rsid w:val="00160388"/>
    <w:rsid w:val="0016056C"/>
    <w:rsid w:val="001709DA"/>
    <w:rsid w:val="00174A7B"/>
    <w:rsid w:val="00177201"/>
    <w:rsid w:val="00177682"/>
    <w:rsid w:val="00190FB6"/>
    <w:rsid w:val="0019643D"/>
    <w:rsid w:val="001A1BE2"/>
    <w:rsid w:val="001A772B"/>
    <w:rsid w:val="001B09C4"/>
    <w:rsid w:val="001B4141"/>
    <w:rsid w:val="001C128F"/>
    <w:rsid w:val="001C45B1"/>
    <w:rsid w:val="001E6630"/>
    <w:rsid w:val="001F21C2"/>
    <w:rsid w:val="001F2806"/>
    <w:rsid w:val="002029C8"/>
    <w:rsid w:val="002113A7"/>
    <w:rsid w:val="00215B59"/>
    <w:rsid w:val="002203F2"/>
    <w:rsid w:val="002228CB"/>
    <w:rsid w:val="002239A4"/>
    <w:rsid w:val="0023190D"/>
    <w:rsid w:val="00232037"/>
    <w:rsid w:val="002326A5"/>
    <w:rsid w:val="002464C6"/>
    <w:rsid w:val="00251E38"/>
    <w:rsid w:val="00262B90"/>
    <w:rsid w:val="00277CA9"/>
    <w:rsid w:val="00281057"/>
    <w:rsid w:val="00281D7E"/>
    <w:rsid w:val="00293418"/>
    <w:rsid w:val="00297802"/>
    <w:rsid w:val="002A2545"/>
    <w:rsid w:val="002A2AD9"/>
    <w:rsid w:val="002B4689"/>
    <w:rsid w:val="002C190D"/>
    <w:rsid w:val="002D4F76"/>
    <w:rsid w:val="002E0B35"/>
    <w:rsid w:val="002E5A6E"/>
    <w:rsid w:val="00306E0B"/>
    <w:rsid w:val="003108EB"/>
    <w:rsid w:val="00311634"/>
    <w:rsid w:val="00340752"/>
    <w:rsid w:val="003501FF"/>
    <w:rsid w:val="003532E7"/>
    <w:rsid w:val="00353F02"/>
    <w:rsid w:val="00371021"/>
    <w:rsid w:val="00372FA2"/>
    <w:rsid w:val="00382100"/>
    <w:rsid w:val="00383941"/>
    <w:rsid w:val="003A1B45"/>
    <w:rsid w:val="003A253E"/>
    <w:rsid w:val="003B32E0"/>
    <w:rsid w:val="003B430E"/>
    <w:rsid w:val="003B4BA6"/>
    <w:rsid w:val="003C75B5"/>
    <w:rsid w:val="003D5453"/>
    <w:rsid w:val="003F1E48"/>
    <w:rsid w:val="003F1FE3"/>
    <w:rsid w:val="003F3F77"/>
    <w:rsid w:val="003F450C"/>
    <w:rsid w:val="00400922"/>
    <w:rsid w:val="004135B7"/>
    <w:rsid w:val="00413B12"/>
    <w:rsid w:val="00421844"/>
    <w:rsid w:val="00426CBA"/>
    <w:rsid w:val="00430622"/>
    <w:rsid w:val="0044332E"/>
    <w:rsid w:val="00444BEE"/>
    <w:rsid w:val="00450069"/>
    <w:rsid w:val="00451155"/>
    <w:rsid w:val="00452635"/>
    <w:rsid w:val="00461AF5"/>
    <w:rsid w:val="00496676"/>
    <w:rsid w:val="004A0260"/>
    <w:rsid w:val="004B3704"/>
    <w:rsid w:val="004B6771"/>
    <w:rsid w:val="004C2314"/>
    <w:rsid w:val="004C79BA"/>
    <w:rsid w:val="004D767C"/>
    <w:rsid w:val="004F18A5"/>
    <w:rsid w:val="00505459"/>
    <w:rsid w:val="00507340"/>
    <w:rsid w:val="005079DA"/>
    <w:rsid w:val="005127E7"/>
    <w:rsid w:val="0051594A"/>
    <w:rsid w:val="00517DEA"/>
    <w:rsid w:val="0052515E"/>
    <w:rsid w:val="00531D70"/>
    <w:rsid w:val="00545F98"/>
    <w:rsid w:val="005528F1"/>
    <w:rsid w:val="005565DE"/>
    <w:rsid w:val="005727A0"/>
    <w:rsid w:val="00575CB1"/>
    <w:rsid w:val="00582ABE"/>
    <w:rsid w:val="0058547C"/>
    <w:rsid w:val="0059622C"/>
    <w:rsid w:val="005B5661"/>
    <w:rsid w:val="005C15E0"/>
    <w:rsid w:val="005D1B20"/>
    <w:rsid w:val="005D3FAC"/>
    <w:rsid w:val="005F12FB"/>
    <w:rsid w:val="00601B8B"/>
    <w:rsid w:val="006123A9"/>
    <w:rsid w:val="00624396"/>
    <w:rsid w:val="006370D4"/>
    <w:rsid w:val="0064169C"/>
    <w:rsid w:val="006478E1"/>
    <w:rsid w:val="0065588B"/>
    <w:rsid w:val="0066073E"/>
    <w:rsid w:val="006617A6"/>
    <w:rsid w:val="00666473"/>
    <w:rsid w:val="00673AF9"/>
    <w:rsid w:val="006849C8"/>
    <w:rsid w:val="0068541A"/>
    <w:rsid w:val="0068678C"/>
    <w:rsid w:val="00693CF0"/>
    <w:rsid w:val="006A26B2"/>
    <w:rsid w:val="006A3540"/>
    <w:rsid w:val="006A3C19"/>
    <w:rsid w:val="006B172E"/>
    <w:rsid w:val="006B7CFE"/>
    <w:rsid w:val="006C6955"/>
    <w:rsid w:val="006D0657"/>
    <w:rsid w:val="006F2CBF"/>
    <w:rsid w:val="006F6D39"/>
    <w:rsid w:val="00700305"/>
    <w:rsid w:val="00713046"/>
    <w:rsid w:val="00715F3B"/>
    <w:rsid w:val="00717FD3"/>
    <w:rsid w:val="007646DC"/>
    <w:rsid w:val="00766AC4"/>
    <w:rsid w:val="00774FB8"/>
    <w:rsid w:val="00781A3D"/>
    <w:rsid w:val="0078567C"/>
    <w:rsid w:val="00787EED"/>
    <w:rsid w:val="0079228D"/>
    <w:rsid w:val="00796845"/>
    <w:rsid w:val="007A3C4E"/>
    <w:rsid w:val="007A7EB9"/>
    <w:rsid w:val="007B2AC9"/>
    <w:rsid w:val="007C62F8"/>
    <w:rsid w:val="007C6512"/>
    <w:rsid w:val="007E1281"/>
    <w:rsid w:val="007E4375"/>
    <w:rsid w:val="007E7FC9"/>
    <w:rsid w:val="007F075D"/>
    <w:rsid w:val="007F0CB1"/>
    <w:rsid w:val="007F0D54"/>
    <w:rsid w:val="007F2274"/>
    <w:rsid w:val="007F41A5"/>
    <w:rsid w:val="007F5E6C"/>
    <w:rsid w:val="008074E3"/>
    <w:rsid w:val="00815AA8"/>
    <w:rsid w:val="00816253"/>
    <w:rsid w:val="00820D1C"/>
    <w:rsid w:val="0085567C"/>
    <w:rsid w:val="0087503C"/>
    <w:rsid w:val="00875B6B"/>
    <w:rsid w:val="008774AF"/>
    <w:rsid w:val="008860F3"/>
    <w:rsid w:val="008940D4"/>
    <w:rsid w:val="008A0878"/>
    <w:rsid w:val="008A183C"/>
    <w:rsid w:val="008A5C50"/>
    <w:rsid w:val="008A7A1B"/>
    <w:rsid w:val="008B5273"/>
    <w:rsid w:val="008B7454"/>
    <w:rsid w:val="008C149D"/>
    <w:rsid w:val="008C1FCE"/>
    <w:rsid w:val="008C2927"/>
    <w:rsid w:val="008C6D6F"/>
    <w:rsid w:val="008C7540"/>
    <w:rsid w:val="008D24DD"/>
    <w:rsid w:val="008F59D8"/>
    <w:rsid w:val="008F7394"/>
    <w:rsid w:val="009017B8"/>
    <w:rsid w:val="009145BC"/>
    <w:rsid w:val="009207A3"/>
    <w:rsid w:val="00921DBF"/>
    <w:rsid w:val="00924A40"/>
    <w:rsid w:val="00925957"/>
    <w:rsid w:val="0093343C"/>
    <w:rsid w:val="00951456"/>
    <w:rsid w:val="0096268A"/>
    <w:rsid w:val="00991B35"/>
    <w:rsid w:val="009A02BD"/>
    <w:rsid w:val="009A6901"/>
    <w:rsid w:val="009C51A7"/>
    <w:rsid w:val="009D3344"/>
    <w:rsid w:val="009D4F8A"/>
    <w:rsid w:val="009F63F2"/>
    <w:rsid w:val="00A1281D"/>
    <w:rsid w:val="00A2724F"/>
    <w:rsid w:val="00A4720C"/>
    <w:rsid w:val="00A56136"/>
    <w:rsid w:val="00A609E2"/>
    <w:rsid w:val="00A63484"/>
    <w:rsid w:val="00A64CE2"/>
    <w:rsid w:val="00A657BF"/>
    <w:rsid w:val="00A76283"/>
    <w:rsid w:val="00A80FD5"/>
    <w:rsid w:val="00A84001"/>
    <w:rsid w:val="00A9093C"/>
    <w:rsid w:val="00AA22DF"/>
    <w:rsid w:val="00AA2DB8"/>
    <w:rsid w:val="00AD4372"/>
    <w:rsid w:val="00AD6A31"/>
    <w:rsid w:val="00AD7076"/>
    <w:rsid w:val="00AE1D7D"/>
    <w:rsid w:val="00AE211B"/>
    <w:rsid w:val="00AE2B85"/>
    <w:rsid w:val="00AE2C66"/>
    <w:rsid w:val="00AE3D18"/>
    <w:rsid w:val="00AF57E6"/>
    <w:rsid w:val="00B041DF"/>
    <w:rsid w:val="00B20D6E"/>
    <w:rsid w:val="00B21189"/>
    <w:rsid w:val="00B36583"/>
    <w:rsid w:val="00B405D5"/>
    <w:rsid w:val="00B412F3"/>
    <w:rsid w:val="00B43E8A"/>
    <w:rsid w:val="00B5170A"/>
    <w:rsid w:val="00B54956"/>
    <w:rsid w:val="00B5574A"/>
    <w:rsid w:val="00BA70B1"/>
    <w:rsid w:val="00BB337A"/>
    <w:rsid w:val="00BB39A9"/>
    <w:rsid w:val="00BB4770"/>
    <w:rsid w:val="00BB6711"/>
    <w:rsid w:val="00BC269D"/>
    <w:rsid w:val="00BE52B2"/>
    <w:rsid w:val="00BE6A33"/>
    <w:rsid w:val="00BF19AD"/>
    <w:rsid w:val="00BF634C"/>
    <w:rsid w:val="00BF7FAA"/>
    <w:rsid w:val="00C02D57"/>
    <w:rsid w:val="00C04172"/>
    <w:rsid w:val="00C0682D"/>
    <w:rsid w:val="00C07C6B"/>
    <w:rsid w:val="00C1405C"/>
    <w:rsid w:val="00C22250"/>
    <w:rsid w:val="00C22E3A"/>
    <w:rsid w:val="00C26870"/>
    <w:rsid w:val="00C35FA3"/>
    <w:rsid w:val="00C40EF0"/>
    <w:rsid w:val="00C70781"/>
    <w:rsid w:val="00C71BFA"/>
    <w:rsid w:val="00C75361"/>
    <w:rsid w:val="00C77E8B"/>
    <w:rsid w:val="00CA14B3"/>
    <w:rsid w:val="00CA7D61"/>
    <w:rsid w:val="00CB1B85"/>
    <w:rsid w:val="00CC144F"/>
    <w:rsid w:val="00CC2F4C"/>
    <w:rsid w:val="00CE1BE0"/>
    <w:rsid w:val="00CE7558"/>
    <w:rsid w:val="00CE7AAA"/>
    <w:rsid w:val="00D0248D"/>
    <w:rsid w:val="00D0653D"/>
    <w:rsid w:val="00D167A2"/>
    <w:rsid w:val="00D20494"/>
    <w:rsid w:val="00D206A4"/>
    <w:rsid w:val="00D31F55"/>
    <w:rsid w:val="00D34BBE"/>
    <w:rsid w:val="00D420A7"/>
    <w:rsid w:val="00D5317B"/>
    <w:rsid w:val="00D67865"/>
    <w:rsid w:val="00D7773E"/>
    <w:rsid w:val="00D837C5"/>
    <w:rsid w:val="00D93F61"/>
    <w:rsid w:val="00D972CA"/>
    <w:rsid w:val="00DA74FB"/>
    <w:rsid w:val="00DB63F7"/>
    <w:rsid w:val="00DB76E5"/>
    <w:rsid w:val="00DC1D0E"/>
    <w:rsid w:val="00DC241C"/>
    <w:rsid w:val="00DD0F3B"/>
    <w:rsid w:val="00DD7BC5"/>
    <w:rsid w:val="00DE3361"/>
    <w:rsid w:val="00DE37F4"/>
    <w:rsid w:val="00DF4A5D"/>
    <w:rsid w:val="00DF6613"/>
    <w:rsid w:val="00E003B7"/>
    <w:rsid w:val="00E04B5A"/>
    <w:rsid w:val="00E1217A"/>
    <w:rsid w:val="00E1302E"/>
    <w:rsid w:val="00E15E27"/>
    <w:rsid w:val="00E16654"/>
    <w:rsid w:val="00E269E3"/>
    <w:rsid w:val="00E33D41"/>
    <w:rsid w:val="00E35FFB"/>
    <w:rsid w:val="00E370C1"/>
    <w:rsid w:val="00E40EDE"/>
    <w:rsid w:val="00E43712"/>
    <w:rsid w:val="00E64162"/>
    <w:rsid w:val="00E6614D"/>
    <w:rsid w:val="00E71090"/>
    <w:rsid w:val="00E72AE1"/>
    <w:rsid w:val="00E80CB1"/>
    <w:rsid w:val="00E85FF6"/>
    <w:rsid w:val="00E91163"/>
    <w:rsid w:val="00E9702A"/>
    <w:rsid w:val="00EA0604"/>
    <w:rsid w:val="00EA2105"/>
    <w:rsid w:val="00EA4B04"/>
    <w:rsid w:val="00EA4F47"/>
    <w:rsid w:val="00EA6941"/>
    <w:rsid w:val="00EA716E"/>
    <w:rsid w:val="00EB56FB"/>
    <w:rsid w:val="00EC47D5"/>
    <w:rsid w:val="00EC59DE"/>
    <w:rsid w:val="00ED069E"/>
    <w:rsid w:val="00ED622E"/>
    <w:rsid w:val="00ED7194"/>
    <w:rsid w:val="00EE4428"/>
    <w:rsid w:val="00EE5857"/>
    <w:rsid w:val="00F02F83"/>
    <w:rsid w:val="00F03E85"/>
    <w:rsid w:val="00F067CA"/>
    <w:rsid w:val="00F10DF2"/>
    <w:rsid w:val="00F16C43"/>
    <w:rsid w:val="00F34666"/>
    <w:rsid w:val="00F365B7"/>
    <w:rsid w:val="00F4431A"/>
    <w:rsid w:val="00F509F3"/>
    <w:rsid w:val="00F56F75"/>
    <w:rsid w:val="00F6119B"/>
    <w:rsid w:val="00F877FA"/>
    <w:rsid w:val="00F92DDE"/>
    <w:rsid w:val="00F9432E"/>
    <w:rsid w:val="00F9462F"/>
    <w:rsid w:val="00F95157"/>
    <w:rsid w:val="00FA1C27"/>
    <w:rsid w:val="00FA2FCA"/>
    <w:rsid w:val="00FA720F"/>
    <w:rsid w:val="00FB02D2"/>
    <w:rsid w:val="00FB5808"/>
    <w:rsid w:val="00FB7E4A"/>
    <w:rsid w:val="00FC2575"/>
    <w:rsid w:val="00FC3ECF"/>
    <w:rsid w:val="00FD4BF4"/>
    <w:rsid w:val="00FD63BF"/>
    <w:rsid w:val="00FE62D8"/>
    <w:rsid w:val="00FF5140"/>
    <w:rsid w:val="00FF6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CEFAEF"/>
  <w15:docId w15:val="{113D5FCB-D7BF-420B-B34E-74085319A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Georgia" w:hAnsi="Georgia"/>
      <w:sz w:val="22"/>
    </w:rPr>
  </w:style>
  <w:style w:type="paragraph" w:styleId="Heading1">
    <w:name w:val="heading 1"/>
    <w:basedOn w:val="Normal"/>
    <w:next w:val="Normal"/>
    <w:qFormat/>
    <w:pPr>
      <w:keepNext/>
      <w:spacing w:before="240" w:after="60"/>
      <w:outlineLvl w:val="0"/>
    </w:pPr>
    <w:rPr>
      <w:b/>
      <w:kern w:val="32"/>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36"/>
    </w:rPr>
  </w:style>
  <w:style w:type="paragraph" w:styleId="Footer">
    <w:name w:val="footer"/>
    <w:basedOn w:val="Normal"/>
    <w:pPr>
      <w:tabs>
        <w:tab w:val="center" w:pos="4320"/>
        <w:tab w:val="right" w:pos="8640"/>
      </w:tabs>
    </w:pPr>
  </w:style>
  <w:style w:type="paragraph" w:customStyle="1" w:styleId="TempHeader1">
    <w:name w:val="Temp Header1"/>
    <w:basedOn w:val="Normal"/>
    <w:pPr>
      <w:tabs>
        <w:tab w:val="left" w:pos="-180"/>
      </w:tabs>
      <w:spacing w:line="240" w:lineRule="exact"/>
      <w:ind w:right="86"/>
    </w:pPr>
    <w:rPr>
      <w:rFonts w:ascii="Tahoma" w:eastAsia="Times New Roman" w:hAnsi="Tahoma"/>
      <w:b/>
      <w:snapToGrid w:val="0"/>
      <w:sz w:val="16"/>
      <w:lang w:bidi="he-IL"/>
    </w:rPr>
  </w:style>
  <w:style w:type="paragraph" w:customStyle="1" w:styleId="TempNormal1">
    <w:name w:val="TempNormal 1"/>
    <w:basedOn w:val="Normal"/>
    <w:pPr>
      <w:tabs>
        <w:tab w:val="left" w:pos="-450"/>
        <w:tab w:val="left" w:pos="-180"/>
      </w:tabs>
      <w:spacing w:line="240" w:lineRule="exact"/>
      <w:ind w:right="86"/>
    </w:pPr>
    <w:rPr>
      <w:rFonts w:ascii="Tahoma" w:eastAsia="Times New Roman" w:hAnsi="Tahoma"/>
      <w:snapToGrid w:val="0"/>
      <w:sz w:val="16"/>
      <w:lang w:bidi="he-IL"/>
    </w:rPr>
  </w:style>
  <w:style w:type="character" w:styleId="CommentReference">
    <w:name w:val="annotation reference"/>
    <w:rPr>
      <w:sz w:val="16"/>
      <w:szCs w:val="16"/>
    </w:rPr>
  </w:style>
  <w:style w:type="paragraph" w:styleId="CommentText">
    <w:name w:val="annotation text"/>
    <w:basedOn w:val="Normal"/>
    <w:link w:val="CommentTextChar"/>
    <w:rPr>
      <w:sz w:val="20"/>
    </w:rPr>
  </w:style>
  <w:style w:type="character" w:customStyle="1" w:styleId="CommentTextChar">
    <w:name w:val="Comment Text Char"/>
    <w:link w:val="CommentText"/>
    <w:rPr>
      <w:rFonts w:ascii="Georgia" w:eastAsia="Times" w:hAnsi="Georgia"/>
      <w:lang w:val="en-US" w:eastAsia="en-US" w:bidi="ar-SA"/>
    </w:rPr>
  </w:style>
  <w:style w:type="paragraph" w:styleId="CommentSubject">
    <w:name w:val="annotation subject"/>
    <w:basedOn w:val="CommentText"/>
    <w:next w:val="CommentText"/>
    <w:link w:val="CommentSubjectChar"/>
    <w:rPr>
      <w:b/>
      <w:bCs/>
    </w:rPr>
  </w:style>
  <w:style w:type="character" w:customStyle="1" w:styleId="CommentSubjectChar">
    <w:name w:val="Comment Subject Char"/>
    <w:link w:val="CommentSubject"/>
    <w:rPr>
      <w:rFonts w:ascii="Georgia" w:eastAsia="Times" w:hAnsi="Georgia"/>
      <w:b/>
      <w:bCs/>
      <w:lang w:val="en-US" w:eastAsia="en-US" w:bidi="ar-SA"/>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rPr>
      <w:rFonts w:ascii="Tahoma" w:eastAsia="Times" w:hAnsi="Tahoma" w:cs="Tahoma"/>
      <w:sz w:val="16"/>
      <w:szCs w:val="16"/>
      <w:lang w:val="en-US" w:eastAsia="en-US" w:bidi="ar-SA"/>
    </w:rPr>
  </w:style>
  <w:style w:type="character" w:styleId="Hyperlink">
    <w:name w:val="Hyperlink"/>
    <w:rPr>
      <w:color w:val="0000FF"/>
      <w:u w:val="single"/>
    </w:rPr>
  </w:style>
  <w:style w:type="character" w:styleId="Strong">
    <w:name w:val="Strong"/>
    <w:uiPriority w:val="22"/>
    <w:qFormat/>
    <w:rPr>
      <w:b/>
      <w:bCs/>
    </w:rPr>
  </w:style>
  <w:style w:type="paragraph" w:styleId="ListParagraph">
    <w:name w:val="List Paragraph"/>
    <w:basedOn w:val="Normal"/>
    <w:uiPriority w:val="34"/>
    <w:qFormat/>
    <w:pPr>
      <w:ind w:left="720"/>
      <w:contextualSpacing/>
    </w:pPr>
  </w:style>
  <w:style w:type="character" w:customStyle="1" w:styleId="UnresolvedMention1">
    <w:name w:val="Unresolved Mention1"/>
    <w:basedOn w:val="DefaultParagraphFont"/>
    <w:uiPriority w:val="99"/>
    <w:rsid w:val="000B1D08"/>
    <w:rPr>
      <w:color w:val="808080"/>
      <w:shd w:val="clear" w:color="auto" w:fill="E6E6E6"/>
    </w:rPr>
  </w:style>
  <w:style w:type="character" w:styleId="FollowedHyperlink">
    <w:name w:val="FollowedHyperlink"/>
    <w:basedOn w:val="DefaultParagraphFont"/>
    <w:rsid w:val="000B1D08"/>
    <w:rPr>
      <w:color w:val="954F72"/>
      <w:u w:val="single"/>
    </w:rPr>
  </w:style>
  <w:style w:type="character" w:styleId="UnresolvedMention">
    <w:name w:val="Unresolved Mention"/>
    <w:basedOn w:val="DefaultParagraphFont"/>
    <w:uiPriority w:val="99"/>
    <w:semiHidden/>
    <w:unhideWhenUsed/>
    <w:rsid w:val="009207A3"/>
    <w:rPr>
      <w:color w:val="605E5C"/>
      <w:shd w:val="clear" w:color="auto" w:fill="E1DFDD"/>
    </w:rPr>
  </w:style>
  <w:style w:type="paragraph" w:styleId="Revision">
    <w:name w:val="Revision"/>
    <w:hidden/>
    <w:uiPriority w:val="99"/>
    <w:semiHidden/>
    <w:rsid w:val="00AE1D7D"/>
    <w:rPr>
      <w:rFonts w:ascii="Georgia" w:hAnsi="Georgi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234945">
      <w:bodyDiv w:val="1"/>
      <w:marLeft w:val="0"/>
      <w:marRight w:val="0"/>
      <w:marTop w:val="0"/>
      <w:marBottom w:val="0"/>
      <w:divBdr>
        <w:top w:val="none" w:sz="0" w:space="0" w:color="auto"/>
        <w:left w:val="none" w:sz="0" w:space="0" w:color="auto"/>
        <w:bottom w:val="none" w:sz="0" w:space="0" w:color="auto"/>
        <w:right w:val="none" w:sz="0" w:space="0" w:color="auto"/>
      </w:divBdr>
    </w:div>
    <w:div w:id="429399284">
      <w:bodyDiv w:val="1"/>
      <w:marLeft w:val="0"/>
      <w:marRight w:val="0"/>
      <w:marTop w:val="0"/>
      <w:marBottom w:val="0"/>
      <w:divBdr>
        <w:top w:val="none" w:sz="0" w:space="0" w:color="auto"/>
        <w:left w:val="none" w:sz="0" w:space="0" w:color="auto"/>
        <w:bottom w:val="none" w:sz="0" w:space="0" w:color="auto"/>
        <w:right w:val="none" w:sz="0" w:space="0" w:color="auto"/>
      </w:divBdr>
      <w:divsChild>
        <w:div w:id="1310743709">
          <w:marLeft w:val="0"/>
          <w:marRight w:val="0"/>
          <w:marTop w:val="0"/>
          <w:marBottom w:val="0"/>
          <w:divBdr>
            <w:top w:val="none" w:sz="0" w:space="0" w:color="auto"/>
            <w:left w:val="none" w:sz="0" w:space="0" w:color="auto"/>
            <w:bottom w:val="none" w:sz="0" w:space="0" w:color="auto"/>
            <w:right w:val="none" w:sz="0" w:space="0" w:color="auto"/>
          </w:divBdr>
          <w:divsChild>
            <w:div w:id="2123766761">
              <w:marLeft w:val="0"/>
              <w:marRight w:val="0"/>
              <w:marTop w:val="0"/>
              <w:marBottom w:val="0"/>
              <w:divBdr>
                <w:top w:val="none" w:sz="0" w:space="0" w:color="auto"/>
                <w:left w:val="none" w:sz="0" w:space="0" w:color="auto"/>
                <w:bottom w:val="none" w:sz="0" w:space="0" w:color="auto"/>
                <w:right w:val="none" w:sz="0" w:space="0" w:color="auto"/>
              </w:divBdr>
              <w:divsChild>
                <w:div w:id="89357815">
                  <w:marLeft w:val="0"/>
                  <w:marRight w:val="0"/>
                  <w:marTop w:val="0"/>
                  <w:marBottom w:val="0"/>
                  <w:divBdr>
                    <w:top w:val="none" w:sz="0" w:space="0" w:color="auto"/>
                    <w:left w:val="none" w:sz="0" w:space="0" w:color="auto"/>
                    <w:bottom w:val="none" w:sz="0" w:space="0" w:color="auto"/>
                    <w:right w:val="none" w:sz="0" w:space="0" w:color="auto"/>
                  </w:divBdr>
                </w:div>
                <w:div w:id="913661742">
                  <w:marLeft w:val="0"/>
                  <w:marRight w:val="0"/>
                  <w:marTop w:val="0"/>
                  <w:marBottom w:val="0"/>
                  <w:divBdr>
                    <w:top w:val="none" w:sz="0" w:space="0" w:color="auto"/>
                    <w:left w:val="none" w:sz="0" w:space="0" w:color="auto"/>
                    <w:bottom w:val="none" w:sz="0" w:space="0" w:color="auto"/>
                    <w:right w:val="none" w:sz="0" w:space="0" w:color="auto"/>
                  </w:divBdr>
                  <w:divsChild>
                    <w:div w:id="1286276437">
                      <w:marLeft w:val="0"/>
                      <w:marRight w:val="0"/>
                      <w:marTop w:val="0"/>
                      <w:marBottom w:val="0"/>
                      <w:divBdr>
                        <w:top w:val="none" w:sz="0" w:space="0" w:color="auto"/>
                        <w:left w:val="none" w:sz="0" w:space="0" w:color="auto"/>
                        <w:bottom w:val="none" w:sz="0" w:space="0" w:color="auto"/>
                        <w:right w:val="none" w:sz="0" w:space="0" w:color="auto"/>
                      </w:divBdr>
                      <w:divsChild>
                        <w:div w:id="248269423">
                          <w:marLeft w:val="0"/>
                          <w:marRight w:val="0"/>
                          <w:marTop w:val="0"/>
                          <w:marBottom w:val="0"/>
                          <w:divBdr>
                            <w:top w:val="none" w:sz="0" w:space="0" w:color="auto"/>
                            <w:left w:val="none" w:sz="0" w:space="0" w:color="auto"/>
                            <w:bottom w:val="none" w:sz="0" w:space="0" w:color="auto"/>
                            <w:right w:val="none" w:sz="0" w:space="0" w:color="auto"/>
                          </w:divBdr>
                        </w:div>
                        <w:div w:id="707338641">
                          <w:marLeft w:val="0"/>
                          <w:marRight w:val="0"/>
                          <w:marTop w:val="0"/>
                          <w:marBottom w:val="0"/>
                          <w:divBdr>
                            <w:top w:val="none" w:sz="0" w:space="0" w:color="auto"/>
                            <w:left w:val="none" w:sz="0" w:space="0" w:color="auto"/>
                            <w:bottom w:val="none" w:sz="0" w:space="0" w:color="auto"/>
                            <w:right w:val="none" w:sz="0" w:space="0" w:color="auto"/>
                          </w:divBdr>
                        </w:div>
                      </w:divsChild>
                    </w:div>
                    <w:div w:id="319771922">
                      <w:marLeft w:val="0"/>
                      <w:marRight w:val="0"/>
                      <w:marTop w:val="0"/>
                      <w:marBottom w:val="0"/>
                      <w:divBdr>
                        <w:top w:val="none" w:sz="0" w:space="0" w:color="auto"/>
                        <w:left w:val="none" w:sz="0" w:space="0" w:color="auto"/>
                        <w:bottom w:val="none" w:sz="0" w:space="0" w:color="auto"/>
                        <w:right w:val="none" w:sz="0" w:space="0" w:color="auto"/>
                      </w:divBdr>
                    </w:div>
                  </w:divsChild>
                </w:div>
                <w:div w:id="94076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278871">
      <w:bodyDiv w:val="1"/>
      <w:marLeft w:val="0"/>
      <w:marRight w:val="0"/>
      <w:marTop w:val="0"/>
      <w:marBottom w:val="0"/>
      <w:divBdr>
        <w:top w:val="none" w:sz="0" w:space="0" w:color="auto"/>
        <w:left w:val="none" w:sz="0" w:space="0" w:color="auto"/>
        <w:bottom w:val="none" w:sz="0" w:space="0" w:color="auto"/>
        <w:right w:val="none" w:sz="0" w:space="0" w:color="auto"/>
      </w:divBdr>
    </w:div>
    <w:div w:id="801001900">
      <w:bodyDiv w:val="1"/>
      <w:marLeft w:val="0"/>
      <w:marRight w:val="0"/>
      <w:marTop w:val="0"/>
      <w:marBottom w:val="0"/>
      <w:divBdr>
        <w:top w:val="none" w:sz="0" w:space="0" w:color="auto"/>
        <w:left w:val="none" w:sz="0" w:space="0" w:color="auto"/>
        <w:bottom w:val="none" w:sz="0" w:space="0" w:color="auto"/>
        <w:right w:val="none" w:sz="0" w:space="0" w:color="auto"/>
      </w:divBdr>
    </w:div>
    <w:div w:id="1747265672">
      <w:bodyDiv w:val="1"/>
      <w:marLeft w:val="0"/>
      <w:marRight w:val="0"/>
      <w:marTop w:val="0"/>
      <w:marBottom w:val="0"/>
      <w:divBdr>
        <w:top w:val="none" w:sz="0" w:space="0" w:color="auto"/>
        <w:left w:val="none" w:sz="0" w:space="0" w:color="auto"/>
        <w:bottom w:val="none" w:sz="0" w:space="0" w:color="auto"/>
        <w:right w:val="none" w:sz="0" w:space="0" w:color="auto"/>
      </w:divBdr>
    </w:div>
    <w:div w:id="1954241993">
      <w:bodyDiv w:val="1"/>
      <w:marLeft w:val="0"/>
      <w:marRight w:val="0"/>
      <w:marTop w:val="0"/>
      <w:marBottom w:val="0"/>
      <w:divBdr>
        <w:top w:val="none" w:sz="0" w:space="0" w:color="auto"/>
        <w:left w:val="none" w:sz="0" w:space="0" w:color="auto"/>
        <w:bottom w:val="none" w:sz="0" w:space="0" w:color="auto"/>
        <w:right w:val="none" w:sz="0" w:space="0" w:color="auto"/>
      </w:divBdr>
    </w:div>
    <w:div w:id="1982808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519</TotalTime>
  <Pages>1</Pages>
  <Words>761</Words>
  <Characters>4343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Saber Partners</Company>
  <LinksUpToDate>false</LinksUpToDate>
  <CharactersWithSpaces>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Randal Hunting</dc:creator>
  <cp:lastModifiedBy>Joseph S. Fichera</cp:lastModifiedBy>
  <cp:revision>32</cp:revision>
  <cp:lastPrinted>2019-03-28T18:32:00Z</cp:lastPrinted>
  <dcterms:created xsi:type="dcterms:W3CDTF">2019-03-25T17:40:00Z</dcterms:created>
  <dcterms:modified xsi:type="dcterms:W3CDTF">2019-03-28T19:27:00Z</dcterms:modified>
</cp:coreProperties>
</file>