
<file path=[Content_Types].xml><?xml version="1.0" encoding="utf-8"?>
<Types xmlns="http://schemas.openxmlformats.org/package/2006/content-types">
  <Default ContentType="image/jpeg" Extension="jpeg"/>
  <Default ContentType="application/vnd.openxmlformats-officedocument.obfuscatedFont" Extension="odttf"/>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wp="http://schemas.openxmlformats.org/drawingml/2006/wordprocessingDrawing" xmlns:a="http://schemas.openxmlformats.org/drawingml/2006/main" xmlns:r="http://schemas.openxmlformats.org/officeDocument/2006/relationships">
  <w:body>
    <w:p>
      <w:pPr>
        <w:spacing w:after="120" w:before="120"/>
        <w:jc w:val="center"/>
      </w:pPr>
      <w:r>
        <w:drawing>
          <wp:inline>
            <wp:extent cx="4982571" cy="3300953"/>
            <wp:docPr id="0" name="Drawing 0" descr="1e51ec294ad34bce50a96ceeffcd8b2f.jpg"/>
            <wp:cNvGraphicFramePr>
              <a:graphicFrameLocks noChangeAspect="true"/>
            </wp:cNvGraphicFramePr>
            <a:graphic>
              <a:graphicData uri="http://schemas.openxmlformats.org/drawingml/2006/picture">
                <pic:pic xmlns:pic="http://schemas.openxmlformats.org/drawingml/2006/picture">
                  <pic:nvPicPr>
                    <pic:cNvPr id="0" name="Picture 0" descr="1e51ec294ad34bce50a96ceeffcd8b2f.jpg"/>
                    <pic:cNvPicPr>
                      <a:picLocks noChangeAspect="true"/>
                    </pic:cNvPicPr>
                  </pic:nvPicPr>
                  <pic:blipFill>
                    <a:blip r:embed="rId3"/>
                    <a:stretch>
                      <a:fillRect/>
                    </a:stretch>
                  </pic:blipFill>
                  <pic:spPr>
                    <a:xfrm flipH="false" flipV="false">
                      <a:off x="0" y="0"/>
                      <a:ext cx="4982571" cy="3300953"/>
                    </a:xfrm>
                    <a:prstGeom prst="rect">
                      <a:avLst/>
                    </a:prstGeom>
                  </pic:spPr>
                </pic:pic>
              </a:graphicData>
            </a:graphic>
          </wp:inline>
        </w:drawing>
      </w:r>
    </w:p>
    <w:p>
      <w:pPr>
        <w:spacing w:after="120" w:before="120"/>
        <w:jc w:val="center"/>
      </w:pPr>
      <w:r>
        <w:drawing>
          <wp:inline>
            <wp:extent cx="1140350" cy="476170"/>
            <wp:docPr id="1" name="Drawing 1" descr="01026487681e4ab0aa88eb80e124a8ca.png"/>
            <wp:cNvGraphicFramePr>
              <a:graphicFrameLocks noChangeAspect="true"/>
            </wp:cNvGraphicFramePr>
            <a:graphic>
              <a:graphicData uri="http://schemas.openxmlformats.org/drawingml/2006/picture">
                <pic:pic xmlns:pic="http://schemas.openxmlformats.org/drawingml/2006/picture">
                  <pic:nvPicPr>
                    <pic:cNvPr id="0" name="Picture 1" descr="01026487681e4ab0aa88eb80e124a8ca.png"/>
                    <pic:cNvPicPr>
                      <a:picLocks noChangeAspect="true"/>
                    </pic:cNvPicPr>
                  </pic:nvPicPr>
                  <pic:blipFill>
                    <a:blip r:embed="rId4"/>
                    <a:stretch>
                      <a:fillRect/>
                    </a:stretch>
                  </pic:blipFill>
                  <pic:spPr>
                    <a:xfrm flipH="false" flipV="false">
                      <a:off x="0" y="0"/>
                      <a:ext cx="1140350" cy="476170"/>
                    </a:xfrm>
                    <a:prstGeom prst="rect">
                      <a:avLst/>
                    </a:prstGeom>
                  </pic:spPr>
                </pic:pic>
              </a:graphicData>
            </a:graphic>
          </wp:inline>
        </w:drawing>
      </w:r>
    </w:p>
    <w:p>
      <w:pPr>
        <w:spacing w:after="120" w:before="120" w:line="336" w:lineRule="auto"/>
        <w:ind w:firstLine="0" w:start="0"/>
        <w:jc w:val="center"/>
      </w:pPr>
      <w:r>
        <w:rPr>
          <w:rFonts w:ascii="Canva Sans Bold" w:hAnsi="Canva Sans Bold" w:cs="Canva Sans Bold" w:eastAsia="Canva Sans Bold"/>
          <w:b/>
          <w:bCs/>
          <w:color w:val="222222"/>
          <w:sz w:val="26"/>
          <w:szCs w:val="26"/>
        </w:rPr>
        <w:t>Gene Guard Detox, Inc. Seeks Strategic Investors to Transform Newly Patented Toxin-Removal Science</w:t>
      </w:r>
      <w:r>
        <w:rPr>
          <w:rFonts w:ascii="Canva Sans Bold" w:hAnsi="Canva Sans Bold" w:cs="Canva Sans Bold" w:eastAsia="Canva Sans Bold"/>
          <w:b/>
          <w:bCs/>
          <w:color w:val="222222"/>
          <w:sz w:val="26"/>
          <w:szCs w:val="26"/>
        </w:rPr>
        <w:t xml:space="preserve"> For Glyphosate &amp; BPA Into Commercialization</w:t>
      </w:r>
      <w:r>
        <w:rPr>
          <w:rFonts w:ascii="Canva Sans Bold" w:hAnsi="Canva Sans Bold" w:cs="Canva Sans Bold" w:eastAsia="Canva Sans Bold"/>
          <w:b/>
          <w:bCs/>
          <w:color w:val="222222"/>
          <w:sz w:val="26"/>
          <w:szCs w:val="26"/>
        </w:rPr>
        <w:t xml:space="preserve">
</w:t>
      </w:r>
    </w:p>
    <w:p>
      <w:pPr>
        <w:spacing w:after="120" w:before="120" w:line="336" w:lineRule="auto"/>
        <w:ind w:firstLine="0" w:start="0"/>
        <w:jc w:val="start"/>
      </w:pPr>
      <w:r>
        <w:rPr>
          <w:rFonts w:ascii="Canva Sans" w:hAnsi="Canva Sans" w:cs="Canva Sans" w:eastAsia="Canva Sans"/>
          <w:color w:val="000000"/>
          <w:sz w:val="26"/>
          <w:szCs w:val="26"/>
        </w:rPr>
        <w:t xml:space="preserve">Gene Guard Detox, Inc., an innovative health and wellness company, is seeking strategic investment partners to commercialize its patented probiotics and postbiotics. Since its founding in 2019, the company has developed transformative solutions to address toxins such as glyphosate and BPA in humans and pets.
</w:t>
      </w:r>
    </w:p>
    <w:p>
      <w:pPr>
        <w:spacing w:after="120" w:before="120" w:line="336" w:lineRule="auto"/>
        <w:ind w:firstLine="0" w:start="0"/>
        <w:jc w:val="start"/>
      </w:pPr>
      <w:r>
        <w:rPr>
          <w:rFonts w:ascii="Canva Sans" w:hAnsi="Canva Sans" w:cs="Canva Sans" w:eastAsia="Canva Sans"/>
          <w:color w:val="000000"/>
          <w:sz w:val="26"/>
          <w:szCs w:val="26"/>
        </w:rPr>
        <w:t xml:space="preserve">Through proprietary research, Gene Guard Detox has demonstrated remarkable toxin-binding capabilities of its probiotic strains, including:
</w:t>
      </w:r>
    </w:p>
    <w:p>
      <w:pPr>
        <w:numPr>
          <w:ilvl w:val="0"/>
          <w:numId w:val="1"/>
        </w:numPr>
        <w:spacing w:after="0" w:before="0" w:line="336" w:lineRule="auto"/>
        <w:jc w:val="start"/>
      </w:pPr>
      <w:r>
        <w:rPr>
          <w:rFonts w:ascii="Canva Sans Bold" w:hAnsi="Canva Sans Bold" w:cs="Canva Sans Bold" w:eastAsia="Canva Sans Bold"/>
          <w:b/>
          <w:bCs/>
          <w:color w:val="000000"/>
          <w:sz w:val="26"/>
          <w:szCs w:val="26"/>
        </w:rPr>
        <w:t>Glyphosate Elimination</w:t>
      </w:r>
      <w:r>
        <w:rPr>
          <w:rFonts w:ascii="Canva Sans" w:hAnsi="Canva Sans" w:cs="Canva Sans" w:eastAsia="Canva Sans"/>
          <w:color w:val="000000"/>
          <w:sz w:val="26"/>
          <w:szCs w:val="26"/>
        </w:rPr>
        <w:t xml:space="preserve">: Animal studies revealed a 50% increase in glyphosate excretion through stool and a 46% reduction in serum levels and 20% reduction in the liver.
</w:t>
      </w:r>
    </w:p>
    <w:p>
      <w:pPr>
        <w:numPr>
          <w:ilvl w:val="0"/>
          <w:numId w:val="1"/>
        </w:numPr>
        <w:spacing w:after="0" w:before="0" w:line="336" w:lineRule="auto"/>
        <w:jc w:val="start"/>
      </w:pPr>
      <w:r>
        <w:rPr>
          <w:rFonts w:ascii="Canva Sans Bold" w:hAnsi="Canva Sans Bold" w:cs="Canva Sans Bold" w:eastAsia="Canva Sans Bold"/>
          <w:b/>
          <w:bCs/>
          <w:color w:val="000000"/>
          <w:sz w:val="26"/>
          <w:szCs w:val="26"/>
        </w:rPr>
        <w:t>BPA Mitigation</w:t>
      </w:r>
      <w:r>
        <w:rPr>
          <w:rFonts w:ascii="Canva Sans" w:hAnsi="Canva Sans" w:cs="Canva Sans" w:eastAsia="Canva Sans"/>
          <w:color w:val="000000"/>
          <w:sz w:val="26"/>
          <w:szCs w:val="26"/>
        </w:rPr>
        <w:t xml:space="preserve">: Research confirmed up to 165% removal of daily BPA intake using advanced probiotic and postbiotic formulations.
</w:t>
      </w:r>
    </w:p>
    <w:p>
      <w:pPr>
        <w:spacing w:after="120" w:before="120" w:line="336" w:lineRule="auto"/>
        <w:ind w:firstLine="0" w:start="0"/>
        <w:jc w:val="start"/>
      </w:pPr>
      <w:r>
        <w:rPr>
          <w:rFonts w:ascii="Canva Sans" w:hAnsi="Canva Sans" w:cs="Canva Sans" w:eastAsia="Canva Sans"/>
          <w:color w:val="000000"/>
          <w:sz w:val="26"/>
          <w:szCs w:val="26"/>
        </w:rPr>
        <w:t xml:space="preserve">The proprietary strains developed by Gene Guard Detox work by binding toxins in the digestive system at a cellular level, preventing their absorption and reducing their impact on vital organs and tissues. Unlike degradation-based methods, this toxin-binding approach avoids harmful by-products, ensuring a safer detoxification process.
</w:t>
      </w:r>
    </w:p>
    <w:p>
      <w:pPr>
        <w:spacing w:after="120" w:before="120" w:line="336" w:lineRule="auto"/>
        <w:ind w:firstLine="0" w:start="0"/>
        <w:jc w:val="start"/>
      </w:pPr>
      <w:r>
        <w:rPr>
          <w:rFonts w:ascii="Canva Sans" w:hAnsi="Canva Sans" w:cs="Canva Sans" w:eastAsia="Canva Sans"/>
          <w:color w:val="000000"/>
          <w:sz w:val="26"/>
          <w:szCs w:val="26"/>
        </w:rPr>
        <w:t xml:space="preserve">Having self-funded its groundbreaking research and secured pivotal patents, Gene Guard Detox is ready to scale its innovations into consumer products like drinks, snacks, and supplements. These products have the potential to redefine health and wellness by addressing the growing global concerns over environmental toxins. Investors are invited to join in advancing these life-enhancing solutions and driving global health improvements, contributing to a market that spans both human and pet health.
</w:t>
      </w:r>
    </w:p>
    <w:p>
      <w:pPr>
        <w:spacing w:after="120" w:before="120" w:line="336" w:lineRule="auto"/>
        <w:ind w:firstLine="0" w:start="0"/>
        <w:jc w:val="start"/>
      </w:pPr>
      <w:r>
        <w:rPr>
          <w:rFonts w:ascii="Canva Sans" w:hAnsi="Canva Sans" w:cs="Canva Sans" w:eastAsia="Canva Sans"/>
          <w:color w:val="000000"/>
          <w:sz w:val="24"/>
          <w:szCs w:val="24"/>
        </w:rPr>
        <w:t xml:space="preserve"> </w:t>
        <w:br/>
      </w:r>
      <w:r>
        <w:rPr>
          <w:rFonts w:ascii="Canva Sans" w:hAnsi="Canva Sans" w:cs="Canva Sans" w:eastAsia="Canva Sans"/>
          <w:color w:val="000000"/>
          <w:sz w:val="26"/>
          <w:szCs w:val="26"/>
        </w:rPr>
        <w:t xml:space="preserve">The application of Gene Guard’s </w:t>
      </w:r>
      <w:r>
        <w:rPr>
          <w:rFonts w:ascii="Canva Sans" w:hAnsi="Canva Sans" w:cs="Canva Sans" w:eastAsia="Canva Sans"/>
          <w:color w:val="000000"/>
          <w:sz w:val="26"/>
          <w:szCs w:val="26"/>
        </w:rPr>
        <w:t>p</w:t>
      </w:r>
      <w:r>
        <w:rPr>
          <w:rFonts w:ascii="Canva Sans" w:hAnsi="Canva Sans" w:cs="Canva Sans" w:eastAsia="Canva Sans"/>
          <w:color w:val="000000"/>
          <w:sz w:val="26"/>
          <w:szCs w:val="26"/>
        </w:rPr>
        <w:t xml:space="preserve">robiotics within the human health and wellness industry provides global market opportunities and sustainable long-term growth in the human and pet market. Through its innovative technology, Gene Guard is the first-to-market with patented glyphosate binding strains that are GRAS. </w:t>
      </w:r>
      <w:r>
        <w:rPr>
          <w:rFonts w:ascii="Canva Sans" w:hAnsi="Canva Sans" w:cs="Canva Sans" w:eastAsia="Canva Sans"/>
          <w:color w:val="000000"/>
          <w:sz w:val="26"/>
          <w:szCs w:val="26"/>
        </w:rPr>
        <w:t>These strains represent a platform for simple screening of additional toxins that are expected to expand the utility and value of GRAS isolates with toxin binding activity.</w:t>
      </w:r>
      <w:r>
        <w:rPr>
          <w:rFonts w:ascii="Canva Sans" w:hAnsi="Canva Sans" w:cs="Canva Sans" w:eastAsia="Canva Sans"/>
          <w:color w:val="000000"/>
          <w:sz w:val="26"/>
          <w:szCs w:val="26"/>
        </w:rPr>
        <w:t xml:space="preserve">
</w:t>
      </w:r>
    </w:p>
    <w:p>
      <w:pPr>
        <w:spacing w:after="120" w:before="120"/>
      </w:pPr>
      <w:hyperlink r:id="rId6">
        <w:r>
          <w:rPr>
            <w:color w:val="1B62ff"/>
            <w:u w:color="1B62ff" w:val="single"/>
          </w:rPr>
          <w:t>https://www.geneguarddetox.com</w:t>
        </w:r>
      </w:hyperlink>
    </w:p>
    <w:p>
      <w:pPr>
        <w:spacing w:after="120" w:before="120" w:line="336" w:lineRule="auto"/>
        <w:ind w:firstLine="0" w:start="0"/>
        <w:jc w:val="center"/>
      </w:pPr>
      <w:r>
        <w:rPr>
          <w:rFonts w:ascii="Canva Sans" w:hAnsi="Canva Sans" w:cs="Canva Sans" w:eastAsia="Canva Sans"/>
          <w:color w:val="000000"/>
          <w:sz w:val="26"/>
          <w:szCs w:val="26"/>
        </w:rPr>
        <w:t>For more information</w:t>
      </w:r>
      <w:r>
        <w:rPr>
          <w:rFonts w:ascii="Canva Sans" w:hAnsi="Canva Sans" w:cs="Canva Sans" w:eastAsia="Canva Sans"/>
          <w:color w:val="000000"/>
          <w:sz w:val="26"/>
          <w:szCs w:val="26"/>
        </w:rPr>
        <w:t xml:space="preserve"> </w:t>
      </w:r>
      <w:r>
        <w:rPr>
          <w:rFonts w:ascii="Canva Sans" w:hAnsi="Canva Sans" w:cs="Canva Sans" w:eastAsia="Canva Sans"/>
          <w:color w:val="000000"/>
          <w:sz w:val="26"/>
          <w:szCs w:val="26"/>
        </w:rPr>
        <w:t xml:space="preserve"> please visit</w:t>
      </w:r>
      <w:r>
        <w:rPr>
          <w:rFonts w:ascii="Canva Sans" w:hAnsi="Canva Sans" w:cs="Canva Sans" w:eastAsia="Canva Sans"/>
          <w:color w:val="000000"/>
          <w:sz w:val="26"/>
          <w:szCs w:val="26"/>
        </w:rPr>
        <w:t xml:space="preserve">  </w:t>
      </w:r>
      <w:hyperlink r:id="rId7">
        <w:r>
          <w:rPr>
            <w:rFonts w:ascii="Canva Sans" w:hAnsi="Canva Sans" w:cs="Canva Sans" w:eastAsia="Canva Sans"/>
            <w:color w:val="1155cc"/>
            <w:sz w:val="26"/>
            <w:szCs w:val="26"/>
          </w:rPr>
          <w:t>www.geneguarddetox.com</w:t>
        </w:r>
      </w:hyperlink>
      <w:r>
        <w:rPr>
          <w:rFonts w:ascii="Canva Sans" w:hAnsi="Canva Sans" w:cs="Canva Sans" w:eastAsia="Canva Sans"/>
          <w:color w:val="000000"/>
          <w:sz w:val="26"/>
          <w:szCs w:val="26"/>
        </w:rPr>
        <w:t xml:space="preserve"> or call us at </w:t>
      </w:r>
      <w:r>
        <w:rPr>
          <w:rFonts w:ascii="Canva Sans" w:hAnsi="Canva Sans" w:cs="Canva Sans" w:eastAsia="Canva Sans"/>
          <w:color w:val="000000"/>
          <w:sz w:val="26"/>
          <w:szCs w:val="26"/>
        </w:rPr>
        <w:t xml:space="preserve">
</w:t>
      </w:r>
    </w:p>
    <w:p>
      <w:pPr>
        <w:spacing w:after="120" w:before="120" w:line="336" w:lineRule="auto"/>
        <w:ind w:firstLine="0" w:start="0"/>
        <w:jc w:val="center"/>
      </w:pPr>
      <w:r>
        <w:rPr>
          <w:rFonts w:ascii="Canva Sans" w:hAnsi="Canva Sans" w:cs="Canva Sans" w:eastAsia="Canva Sans"/>
          <w:color w:val="000000"/>
          <w:sz w:val="26"/>
          <w:szCs w:val="26"/>
        </w:rPr>
        <w:t xml:space="preserve">215-518-3922 </w:t>
      </w:r>
      <w:r>
        <w:rPr>
          <w:rFonts w:ascii="Canva Sans" w:hAnsi="Canva Sans" w:cs="Canva Sans" w:eastAsia="Canva Sans"/>
          <w:color w:val="000000"/>
          <w:sz w:val="26"/>
          <w:szCs w:val="26"/>
        </w:rPr>
        <w:t xml:space="preserve">
</w:t>
      </w:r>
    </w:p>
    <w:p>
      <w:pPr>
        <w:spacing w:after="120" w:before="120" w:line="336" w:lineRule="auto"/>
        <w:ind w:firstLine="0" w:start="0"/>
        <w:jc w:val="start"/>
      </w:pPr>
      <w:r>
        <w:rPr>
          <w:rFonts w:ascii="Canva Sans Bold" w:hAnsi="Canva Sans Bold" w:cs="Canva Sans Bold" w:eastAsia="Canva Sans Bold"/>
          <w:b/>
          <w:bC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w:t>
      </w:r>
      <w:r>
        <w:rPr>
          <w:rFonts w:ascii="Canva Sans" w:hAnsi="Canva Sans" w:cs="Canva Sans" w:eastAsia="Canva Sans"/>
          <w:color w:val="000000"/>
          <w:sz w:val="24"/>
          <w:szCs w:val="24"/>
        </w:rPr>
        <w:t xml:space="preserve">
</w:t>
      </w:r>
    </w:p>
    <w:p>
      <w:pPr>
        <w:spacing w:after="120" w:before="120" w:line="336" w:lineRule="auto"/>
        <w:ind w:firstLine="0" w:start="0"/>
        <w:jc w:val="start"/>
      </w:pPr>
      <w:r>
        <w:rPr>
          <w:rFonts w:ascii="Canva Sans" w:hAnsi="Canva Sans" w:cs="Canva Sans" w:eastAsia="Canva Sans"/>
          <w:color w:val="000000"/>
          <w:sz w:val="24"/>
          <w:szCs w:val="24"/>
        </w:rPr>
        <w:t xml:space="preserve"> </w:t>
        <w:br/>
      </w:r>
      <w:r>
        <w:rPr>
          <w:rFonts w:ascii="Canva Sans" w:hAnsi="Canva Sans" w:cs="Canva Sans" w:eastAsia="Canva Sans"/>
          <w:color w:val="000000"/>
          <w:sz w:val="24"/>
          <w:szCs w:val="24"/>
        </w:rPr>
        <w:t xml:space="preserve">
</w:t>
      </w:r>
    </w:p>
    <w:sectPr>
      <w:pgSz w:w="11910" w:h="16845"/>
    </w:sectPr>
  </w:body>
</w:document>
</file>

<file path=word/fontTable.xml><?xml version="1.0" encoding="utf-8"?>
<w:fonts xmlns:w="http://schemas.openxmlformats.org/wordprocessingml/2006/main" xmlns:r="http://schemas.openxmlformats.org/officeDocument/2006/relationships">
  <w:font w:name="Arimo Bold">
    <w:panose1 w:val="020B0704020202020204"/>
    <w:charset w:characterSet="1"/>
    <w:embedBold r:id="rId1"/>
  </w:font>
  <w:font w:name="Arimo Bold Italics">
    <w:panose1 w:val="020B0704020202090204"/>
    <w:charset w:characterSet="1"/>
    <w:embedBoldItalic r:id="rId2"/>
  </w:font>
  <w:font w:name="Arimo Italics">
    <w:panose1 w:val="020B0604020202090204"/>
    <w:charset w:characterSet="1"/>
    <w:embedItalic r:id="rId3"/>
  </w:font>
  <w:font w:name="Arimo">
    <w:panose1 w:val="020B0604020202020204"/>
    <w:charset w:characterSet="1"/>
    <w:embedRegular r:id="rId4"/>
  </w:font>
  <w:font w:name="Canva Sans Bold">
    <w:panose1 w:val="020B0803030501040103"/>
    <w:charset w:characterSet="1"/>
    <w:embedBold r:id="rId5"/>
  </w:font>
  <w:font w:name="Canva Sans Bold Italics">
    <w:panose1 w:val="020B0803030501040103"/>
    <w:charset w:characterSet="1"/>
    <w:embedBoldItalic r:id="rId6"/>
  </w:font>
  <w:font w:name="Canva Sans Italics">
    <w:panose1 w:val="020B0503030501040103"/>
    <w:charset w:characterSet="1"/>
    <w:embedItalic r:id="rId7"/>
  </w:font>
  <w:font w:name="Canva Sans Medium Italics">
    <w:panose1 w:val="020B0603030501040103"/>
    <w:charset w:characterSet="1"/>
    <w:embedBoldItalic r:id="rId8"/>
  </w:font>
  <w:font w:name="Canva Sans">
    <w:panose1 w:val="020B0503030501040103"/>
    <w:charset w:characterSet="1"/>
    <w:embedRegular r:id="rId9"/>
  </w:font>
  <w:font w:name="Canva Sans Medium">
    <w:panose1 w:val="020B0603030501040103"/>
    <w:charset w:characterSet="1"/>
    <w:embedBold r:id="rId10"/>
  </w:font>
</w:fonts>
</file>

<file path=word/numbering.xml><?xml version="1.0" encoding="utf-8"?>
<w:numbering xmlns:w="http://schemas.openxmlformats.org/wordprocessingml/2006/main">
  <w:abstractNum w:abstractNumId="1">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num w:numId="1">
    <w:abstractNumId w:val="1"/>
  </w:num>
</w:numbering>
</file>

<file path=word/settings.xml><?xml version="1.0" encoding="utf-8"?>
<w:settings xmlns:w="http://schemas.openxmlformats.org/wordprocessingml/2006/main">
  <w:embedTrueTypeFonts/>
  <w:doNotShadeFormData/>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fontTable.xml" Type="http://schemas.openxmlformats.org/officeDocument/2006/relationships/fontTable"/><Relationship Id="rId3" Target="media/image1.jpeg" Type="http://schemas.openxmlformats.org/officeDocument/2006/relationships/image"/><Relationship Id="rId4" Target="media/image2.png" Type="http://schemas.openxmlformats.org/officeDocument/2006/relationships/image"/><Relationship Id="rId5" Target="numbering.xml" Type="http://schemas.openxmlformats.org/officeDocument/2006/relationships/numbering"/><Relationship Id="rId6" Target="https://www.geneguarddetox.com" TargetMode="External" Type="http://schemas.openxmlformats.org/officeDocument/2006/relationships/hyperlink"/><Relationship Id="rId7" Target="http://www.geneguarddetox.com" TargetMode="External" Type="http://schemas.openxmlformats.org/officeDocument/2006/relationships/hyperlink"/></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10" Target="fonts/font10.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 Id="rId5" Target="fonts/font5.odttf" Type="http://schemas.openxmlformats.org/officeDocument/2006/relationships/font"/><Relationship Id="rId6" Target="fonts/font6.odttf" Type="http://schemas.openxmlformats.org/officeDocument/2006/relationships/font"/><Relationship Id="rId7" Target="fonts/font7.odttf" Type="http://schemas.openxmlformats.org/officeDocument/2006/relationships/font"/><Relationship Id="rId8" Target="fonts/font8.odttf" Type="http://schemas.openxmlformats.org/officeDocument/2006/relationships/font"/><Relationship Id="rId9" Target="fonts/font9.odttf" Type="http://schemas.openxmlformats.org/officeDocument/2006/relationships/font"/></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2024-12-13T18:14:13Z</dcterms:created>
  <dc:creator>Apache POI</dc:creator>
</cp:coreProperties>
</file>