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66A015DE" w14:textId="77777777" w:rsidR="001D49C2" w:rsidRDefault="001D49C2">
      <w:pPr>
        <w:pBdr>
          <w:top w:val="nil"/>
          <w:left w:val="nil"/>
          <w:bottom w:val="nil"/>
          <w:right w:val="nil"/>
        </w:pBdr>
        <w:jc w:val="end"/>
        <w:rPr>
          <w:rFonts w:ascii="Calibri" w:eastAsia="Calibri" w:hAnsi="Calibri" w:cs="Calibri"/>
          <w:b/>
          <w:color w:val="000000"/>
          <w:sz w:val="24"/>
        </w:rPr>
      </w:pPr>
    </w:p>
    <w:p w14:paraId="0AC8544D" w14:textId="5A6A4ACB" w:rsidR="00D577C9" w:rsidRDefault="00A96B66" w:rsidP="00D41671">
      <w:pPr>
        <w:pBdr>
          <w:top w:val="nil"/>
          <w:left w:val="nil"/>
          <w:bottom w:val="nil"/>
          <w:right w:val="nil"/>
        </w:pBdr>
        <w:jc w:val="end"/>
        <w:rPr>
          <w:rFonts w:ascii="Calibri" w:eastAsia="Calibri" w:hAnsi="Calibri" w:cs="Calibri"/>
          <w:b/>
          <w:color w:val="000000" w:themeColor="text1"/>
          <w:sz w:val="28"/>
          <w:szCs w:val="28"/>
        </w:rPr>
      </w:pPr>
      <w:r>
        <w:rPr>
          <w:noProof/>
        </w:rPr>
        <w:drawing>
          <wp:inline distT="0" distB="0" distL="0" distR="0" wp14:anchorId="2D384DE8" wp14:editId="64118E6D">
            <wp:extent cx="1242060" cy="617220"/>
            <wp:effectExtent l="0" t="0" r="0" b="0"/>
            <wp:docPr id="100001" name="Picture 100001"/>
            <wp:cNvGraphicFramePr>
              <a:graphicFrameLocks xmlns:a="http://purl.oclc.org/ooxml/drawingml/main"/>
            </wp:cNvGraphicFramePr>
            <a:graphic xmlns:a="http://purl.oclc.org/ooxml/drawingml/main">
              <a:graphicData uri="http://purl.oclc.org/ooxml/drawingml/picture">
                <pic:pic xmlns:pic="http://purl.oclc.org/ooxml/drawingml/picture">
                  <pic:nvPicPr>
                    <pic:cNvPr id="100001" name=""/>
                    <pic:cNvPicPr>
                      <a:picLocks/>
                    </pic:cNvPicPr>
                  </pic:nvPicPr>
                  <pic:blipFill>
                    <a:blip r:embed="rId7"/>
                    <a:stretch>
                      <a:fillRect/>
                    </a:stretch>
                  </pic:blipFill>
                  <pic:spPr>
                    <a:xfrm>
                      <a:off x="0" y="0"/>
                      <a:ext cx="1242060" cy="617220"/>
                    </a:xfrm>
                    <a:prstGeom prst="rect">
                      <a:avLst/>
                    </a:prstGeom>
                  </pic:spPr>
                </pic:pic>
              </a:graphicData>
            </a:graphic>
          </wp:inline>
        </w:drawing>
      </w:r>
    </w:p>
    <w:p w14:paraId="0FF0C4ED" w14:textId="1726ED6C" w:rsidR="001D49C2" w:rsidRDefault="00AC703F" w:rsidP="0073263D">
      <w:pPr>
        <w:shd w:val="clear" w:color="auto" w:fill="FFFFFF"/>
        <w:jc w:val="center"/>
        <w:rPr>
          <w:rFonts w:ascii="Calibri" w:eastAsia="Calibri" w:hAnsi="Calibri" w:cs="Calibri"/>
          <w:b/>
          <w:color w:val="000000" w:themeColor="text1"/>
          <w:sz w:val="28"/>
          <w:szCs w:val="28"/>
        </w:rPr>
      </w:pPr>
      <w:r>
        <w:rPr>
          <w:rFonts w:ascii="Calibri" w:eastAsia="Calibri" w:hAnsi="Calibri" w:cs="Calibri"/>
          <w:b/>
          <w:color w:val="000000" w:themeColor="text1"/>
          <w:sz w:val="28"/>
          <w:szCs w:val="28"/>
        </w:rPr>
        <w:t xml:space="preserve">Aptevo </w:t>
      </w:r>
      <w:r w:rsidR="00D41671">
        <w:rPr>
          <w:rFonts w:ascii="Calibri" w:eastAsia="Calibri" w:hAnsi="Calibri" w:cs="Calibri"/>
          <w:b/>
          <w:color w:val="000000" w:themeColor="text1"/>
          <w:sz w:val="28"/>
          <w:szCs w:val="28"/>
        </w:rPr>
        <w:t xml:space="preserve">to </w:t>
      </w:r>
      <w:r w:rsidR="00C24E3A">
        <w:rPr>
          <w:rFonts w:ascii="Calibri" w:eastAsia="Calibri" w:hAnsi="Calibri" w:cs="Calibri"/>
          <w:b/>
          <w:color w:val="000000" w:themeColor="text1"/>
          <w:sz w:val="28"/>
          <w:szCs w:val="28"/>
        </w:rPr>
        <w:t>Participat</w:t>
      </w:r>
      <w:r w:rsidR="00D41671">
        <w:rPr>
          <w:rFonts w:ascii="Calibri" w:eastAsia="Calibri" w:hAnsi="Calibri" w:cs="Calibri"/>
          <w:b/>
          <w:color w:val="000000" w:themeColor="text1"/>
          <w:sz w:val="28"/>
          <w:szCs w:val="28"/>
        </w:rPr>
        <w:t>e</w:t>
      </w:r>
      <w:r w:rsidR="00C24E3A">
        <w:rPr>
          <w:rFonts w:ascii="Calibri" w:eastAsia="Calibri" w:hAnsi="Calibri" w:cs="Calibri"/>
          <w:b/>
          <w:color w:val="000000" w:themeColor="text1"/>
          <w:sz w:val="28"/>
          <w:szCs w:val="28"/>
        </w:rPr>
        <w:t xml:space="preserve"> in </w:t>
      </w:r>
      <w:r w:rsidR="0073263D">
        <w:rPr>
          <w:rFonts w:ascii="Calibri" w:eastAsia="Calibri" w:hAnsi="Calibri" w:cs="Calibri"/>
          <w:b/>
          <w:color w:val="000000" w:themeColor="text1"/>
          <w:sz w:val="28"/>
          <w:szCs w:val="28"/>
        </w:rPr>
        <w:t xml:space="preserve">March Conferences </w:t>
      </w:r>
    </w:p>
    <w:p w14:paraId="248058B9" w14:textId="77777777" w:rsidR="001D49C2" w:rsidRPr="0084666D" w:rsidRDefault="001D49C2" w:rsidP="0073263D">
      <w:pPr>
        <w:pBdr>
          <w:top w:val="nil"/>
          <w:left w:val="nil"/>
          <w:bottom w:val="nil"/>
          <w:right w:val="nil"/>
        </w:pBdr>
        <w:rPr>
          <w:rFonts w:ascii="Calibri" w:eastAsia="Calibri" w:hAnsi="Calibri" w:cs="Calibri"/>
          <w:color w:val="000000" w:themeColor="text1"/>
          <w:sz w:val="24"/>
        </w:rPr>
      </w:pPr>
    </w:p>
    <w:p w14:paraId="30DB94D0" w14:textId="35526F50" w:rsidR="007D468E" w:rsidRDefault="00A96B66">
      <w:pPr>
        <w:pBdr>
          <w:top w:val="nil"/>
          <w:left w:val="nil"/>
          <w:bottom w:val="nil"/>
          <w:right w:val="nil"/>
        </w:pBdr>
        <w:rPr>
          <w:rFonts w:ascii="Calibri" w:eastAsia="Calibri" w:hAnsi="Calibri" w:cs="Calibri"/>
          <w:color w:val="000000" w:themeColor="text1"/>
          <w:sz w:val="24"/>
        </w:rPr>
      </w:pPr>
      <w:r w:rsidRPr="0084666D">
        <w:rPr>
          <w:rFonts w:ascii="Calibri" w:eastAsia="Calibri" w:hAnsi="Calibri" w:cs="Calibri"/>
          <w:b/>
          <w:color w:val="000000" w:themeColor="text1"/>
          <w:sz w:val="24"/>
        </w:rPr>
        <w:t xml:space="preserve">SEATTLE, WA – </w:t>
      </w:r>
      <w:r w:rsidR="00C24E3A">
        <w:rPr>
          <w:rFonts w:ascii="Calibri" w:eastAsia="Calibri" w:hAnsi="Calibri" w:cs="Calibri"/>
          <w:b/>
          <w:color w:val="000000" w:themeColor="text1"/>
          <w:sz w:val="24"/>
        </w:rPr>
        <w:t>March</w:t>
      </w:r>
      <w:r w:rsidRPr="0084666D">
        <w:rPr>
          <w:rFonts w:ascii="Calibri" w:eastAsia="Calibri" w:hAnsi="Calibri" w:cs="Calibri"/>
          <w:b/>
          <w:color w:val="000000" w:themeColor="text1"/>
          <w:sz w:val="24"/>
        </w:rPr>
        <w:t xml:space="preserve"> </w:t>
      </w:r>
      <w:r w:rsidR="008A7460" w:rsidRPr="008A7460">
        <w:rPr>
          <w:rFonts w:ascii="Calibri" w:eastAsia="Calibri" w:hAnsi="Calibri" w:cs="Calibri"/>
          <w:b/>
          <w:color w:val="000000" w:themeColor="text1"/>
          <w:sz w:val="24"/>
        </w:rPr>
        <w:t>6</w:t>
      </w:r>
      <w:r w:rsidR="00EE3A41" w:rsidRPr="008A7460">
        <w:rPr>
          <w:rFonts w:ascii="Calibri" w:eastAsia="Calibri" w:hAnsi="Calibri" w:cs="Calibri"/>
          <w:b/>
          <w:color w:val="000000" w:themeColor="text1"/>
          <w:sz w:val="24"/>
        </w:rPr>
        <w:t>,</w:t>
      </w:r>
      <w:r w:rsidR="00EE3A41">
        <w:rPr>
          <w:rFonts w:ascii="Calibri" w:eastAsia="Calibri" w:hAnsi="Calibri" w:cs="Calibri"/>
          <w:b/>
          <w:color w:val="000000" w:themeColor="text1"/>
          <w:sz w:val="24"/>
        </w:rPr>
        <w:t xml:space="preserve"> 2</w:t>
      </w:r>
      <w:r w:rsidRPr="0084666D">
        <w:rPr>
          <w:rFonts w:ascii="Calibri" w:eastAsia="Calibri" w:hAnsi="Calibri" w:cs="Calibri"/>
          <w:b/>
          <w:color w:val="000000" w:themeColor="text1"/>
          <w:sz w:val="24"/>
        </w:rPr>
        <w:t>02</w:t>
      </w:r>
      <w:r w:rsidR="00D577C9">
        <w:rPr>
          <w:rFonts w:ascii="Calibri" w:eastAsia="Calibri" w:hAnsi="Calibri" w:cs="Calibri"/>
          <w:b/>
          <w:color w:val="000000" w:themeColor="text1"/>
          <w:sz w:val="24"/>
        </w:rPr>
        <w:t>5</w:t>
      </w:r>
      <w:r w:rsidRPr="0084666D">
        <w:rPr>
          <w:rFonts w:ascii="Calibri" w:eastAsia="Calibri" w:hAnsi="Calibri" w:cs="Calibri"/>
          <w:color w:val="000000" w:themeColor="text1"/>
          <w:sz w:val="24"/>
        </w:rPr>
        <w:t xml:space="preserve"> – Aptevo Therapeutics Inc. (Nasdaq: APVO), a clinical-stage biotechnology company focused on developing novel immuno-oncology therapeutics based on its proprietary ADAPTIR</w:t>
      </w:r>
      <w:r w:rsidR="00714824">
        <w:rPr>
          <w:rFonts w:ascii="Calibri" w:eastAsia="Calibri" w:hAnsi="Calibri" w:cs="Calibri"/>
          <w:color w:val="000000" w:themeColor="text1"/>
          <w:sz w:val="24"/>
        </w:rPr>
        <w:t>®</w:t>
      </w:r>
      <w:r w:rsidRPr="0084666D">
        <w:rPr>
          <w:rFonts w:ascii="Calibri" w:eastAsia="Calibri" w:hAnsi="Calibri" w:cs="Calibri"/>
          <w:color w:val="000000" w:themeColor="text1"/>
          <w:sz w:val="24"/>
        </w:rPr>
        <w:t xml:space="preserve"> and ADAPTIR-FLEX</w:t>
      </w:r>
      <w:r w:rsidR="00714824">
        <w:rPr>
          <w:rFonts w:ascii="Calibri" w:eastAsia="Calibri" w:hAnsi="Calibri" w:cs="Calibri"/>
          <w:color w:val="000000" w:themeColor="text1"/>
          <w:sz w:val="24"/>
        </w:rPr>
        <w:t>®</w:t>
      </w:r>
      <w:r w:rsidRPr="0084666D">
        <w:rPr>
          <w:rFonts w:ascii="Calibri" w:eastAsia="Calibri" w:hAnsi="Calibri" w:cs="Calibri"/>
          <w:color w:val="000000" w:themeColor="text1"/>
          <w:sz w:val="24"/>
        </w:rPr>
        <w:t xml:space="preserve"> platform technologies, today </w:t>
      </w:r>
      <w:r w:rsidR="007D468E">
        <w:rPr>
          <w:rFonts w:ascii="Calibri" w:eastAsia="Calibri" w:hAnsi="Calibri" w:cs="Calibri"/>
          <w:color w:val="000000" w:themeColor="text1"/>
          <w:sz w:val="24"/>
        </w:rPr>
        <w:t>announced</w:t>
      </w:r>
      <w:r w:rsidR="005553BE">
        <w:rPr>
          <w:rFonts w:ascii="Calibri" w:eastAsia="Calibri" w:hAnsi="Calibri" w:cs="Calibri"/>
          <w:color w:val="000000" w:themeColor="text1"/>
          <w:sz w:val="24"/>
        </w:rPr>
        <w:t xml:space="preserve"> </w:t>
      </w:r>
      <w:r w:rsidR="006A7EE1">
        <w:rPr>
          <w:rFonts w:ascii="Calibri" w:eastAsia="Calibri" w:hAnsi="Calibri" w:cs="Calibri"/>
          <w:color w:val="000000" w:themeColor="text1"/>
          <w:sz w:val="24"/>
        </w:rPr>
        <w:t>that the Company is participating in two conferences in March, as follows:</w:t>
      </w:r>
    </w:p>
    <w:p w14:paraId="4B0C9DD7" w14:textId="77777777" w:rsidR="006A7EE1" w:rsidRDefault="006A7EE1">
      <w:pPr>
        <w:pBdr>
          <w:top w:val="nil"/>
          <w:left w:val="nil"/>
          <w:bottom w:val="nil"/>
          <w:right w:val="nil"/>
        </w:pBdr>
        <w:rPr>
          <w:rFonts w:ascii="Calibri" w:eastAsia="Calibri" w:hAnsi="Calibri" w:cs="Calibri"/>
          <w:color w:val="000000" w:themeColor="text1"/>
          <w:sz w:val="24"/>
        </w:rPr>
      </w:pPr>
    </w:p>
    <w:p w14:paraId="0A8D6B99" w14:textId="0DF45F0E" w:rsidR="006A7EE1" w:rsidRDefault="006A7EE1">
      <w:pPr>
        <w:pBdr>
          <w:top w:val="nil"/>
          <w:left w:val="nil"/>
          <w:bottom w:val="nil"/>
          <w:right w:val="nil"/>
        </w:pBdr>
        <w:rPr>
          <w:rFonts w:asciiTheme="minorHAnsi" w:hAnsiTheme="minorHAnsi" w:cstheme="minorHAnsi"/>
          <w:sz w:val="24"/>
        </w:rPr>
      </w:pPr>
      <w:r w:rsidRPr="00511229">
        <w:rPr>
          <w:rFonts w:asciiTheme="minorHAnsi" w:hAnsiTheme="minorHAnsi" w:cstheme="minorHAnsi"/>
          <w:b/>
          <w:bCs/>
          <w:sz w:val="24"/>
        </w:rPr>
        <w:t>The 37th Annual Roth Conference</w:t>
      </w:r>
      <w:r w:rsidR="00511229">
        <w:rPr>
          <w:rFonts w:asciiTheme="minorHAnsi" w:hAnsiTheme="minorHAnsi" w:cstheme="minorHAnsi"/>
          <w:b/>
          <w:bCs/>
          <w:sz w:val="24"/>
        </w:rPr>
        <w:t xml:space="preserve"> </w:t>
      </w:r>
      <w:r w:rsidR="00511229">
        <w:rPr>
          <w:rFonts w:asciiTheme="minorHAnsi" w:hAnsiTheme="minorHAnsi" w:cstheme="minorHAnsi"/>
          <w:sz w:val="24"/>
        </w:rPr>
        <w:t xml:space="preserve">March 16-18, 2025 in Dana Point, CA.  Aptevo will participate in a fireside chat with covering analyst Jonathan Aschoff while onsite. </w:t>
      </w:r>
    </w:p>
    <w:p w14:paraId="36AD39C7" w14:textId="77777777" w:rsidR="007A3DD2" w:rsidRDefault="007A3DD2">
      <w:pPr>
        <w:pBdr>
          <w:top w:val="nil"/>
          <w:left w:val="nil"/>
          <w:bottom w:val="nil"/>
          <w:right w:val="nil"/>
        </w:pBdr>
        <w:rPr>
          <w:rFonts w:asciiTheme="minorHAnsi" w:hAnsiTheme="minorHAnsi" w:cstheme="minorHAnsi"/>
          <w:sz w:val="24"/>
        </w:rPr>
      </w:pPr>
    </w:p>
    <w:p w14:paraId="2448A885" w14:textId="3D08E01A" w:rsidR="007A3DD2" w:rsidRPr="007A3DD2" w:rsidRDefault="007A3DD2">
      <w:pPr>
        <w:pBdr>
          <w:top w:val="nil"/>
          <w:left w:val="nil"/>
          <w:bottom w:val="nil"/>
          <w:right w:val="nil"/>
        </w:pBdr>
        <w:rPr>
          <w:rFonts w:asciiTheme="minorHAnsi" w:hAnsiTheme="minorHAnsi" w:cstheme="minorHAnsi"/>
          <w:sz w:val="24"/>
        </w:rPr>
      </w:pPr>
      <w:r w:rsidRPr="007A3DD2">
        <w:rPr>
          <w:rFonts w:asciiTheme="minorHAnsi" w:hAnsiTheme="minorHAnsi" w:cstheme="minorHAnsi"/>
          <w:sz w:val="24"/>
        </w:rPr>
        <w:t>Th</w:t>
      </w:r>
      <w:r>
        <w:rPr>
          <w:rFonts w:asciiTheme="minorHAnsi" w:hAnsiTheme="minorHAnsi" w:cstheme="minorHAnsi"/>
          <w:sz w:val="24"/>
        </w:rPr>
        <w:t>e</w:t>
      </w:r>
      <w:r w:rsidRPr="007A3DD2">
        <w:rPr>
          <w:rFonts w:asciiTheme="minorHAnsi" w:hAnsiTheme="minorHAnsi" w:cstheme="minorHAnsi"/>
          <w:sz w:val="24"/>
        </w:rPr>
        <w:t xml:space="preserve"> </w:t>
      </w:r>
      <w:r w:rsidR="0073263D">
        <w:rPr>
          <w:rFonts w:asciiTheme="minorHAnsi" w:hAnsiTheme="minorHAnsi" w:cstheme="minorHAnsi"/>
          <w:sz w:val="24"/>
        </w:rPr>
        <w:t>conference</w:t>
      </w:r>
      <w:r w:rsidRPr="007A3DD2">
        <w:rPr>
          <w:rFonts w:asciiTheme="minorHAnsi" w:hAnsiTheme="minorHAnsi" w:cstheme="minorHAnsi"/>
          <w:sz w:val="24"/>
        </w:rPr>
        <w:t xml:space="preserve"> will consist of 1-on-1 / small group meetings, analyst-selected fireside chats, industry keynotes and panels with executive management attending from approximately 450 private and public companies in a variety of growth sectors</w:t>
      </w:r>
    </w:p>
    <w:p w14:paraId="61E8D7B0" w14:textId="77777777" w:rsidR="00511229" w:rsidRPr="007A3DD2" w:rsidRDefault="00511229">
      <w:pPr>
        <w:pBdr>
          <w:top w:val="nil"/>
          <w:left w:val="nil"/>
          <w:bottom w:val="nil"/>
          <w:right w:val="nil"/>
        </w:pBdr>
        <w:rPr>
          <w:rFonts w:asciiTheme="minorHAnsi" w:hAnsiTheme="minorHAnsi" w:cstheme="minorHAnsi"/>
          <w:sz w:val="24"/>
        </w:rPr>
      </w:pPr>
    </w:p>
    <w:p w14:paraId="0C11F621" w14:textId="13011A6F" w:rsidR="00511229" w:rsidRPr="00511229" w:rsidRDefault="00511229">
      <w:pPr>
        <w:pBdr>
          <w:top w:val="nil"/>
          <w:left w:val="nil"/>
          <w:bottom w:val="nil"/>
          <w:right w:val="nil"/>
        </w:pBdr>
        <w:rPr>
          <w:rFonts w:asciiTheme="minorHAnsi" w:eastAsia="Calibri" w:hAnsiTheme="minorHAnsi" w:cstheme="minorHAnsi"/>
          <w:color w:val="000000" w:themeColor="text1"/>
          <w:sz w:val="24"/>
        </w:rPr>
      </w:pPr>
      <w:r>
        <w:rPr>
          <w:rFonts w:asciiTheme="minorHAnsi" w:hAnsiTheme="minorHAnsi" w:cstheme="minorHAnsi"/>
          <w:b/>
          <w:bCs/>
          <w:sz w:val="24"/>
        </w:rPr>
        <w:t xml:space="preserve">Bio-Europe Springtime Partnering Event </w:t>
      </w:r>
      <w:r>
        <w:rPr>
          <w:rFonts w:asciiTheme="minorHAnsi" w:hAnsiTheme="minorHAnsi" w:cstheme="minorHAnsi"/>
          <w:sz w:val="24"/>
        </w:rPr>
        <w:t>March 17-19, 2025 in Milan, Italy.</w:t>
      </w:r>
    </w:p>
    <w:p w14:paraId="634A76B7" w14:textId="77777777" w:rsidR="007D468E" w:rsidRDefault="007D468E">
      <w:pPr>
        <w:pBdr>
          <w:top w:val="nil"/>
          <w:left w:val="nil"/>
          <w:bottom w:val="nil"/>
          <w:right w:val="nil"/>
        </w:pBdr>
        <w:rPr>
          <w:rFonts w:ascii="Calibri" w:eastAsia="Calibri" w:hAnsi="Calibri" w:cs="Calibri"/>
          <w:color w:val="000000" w:themeColor="text1"/>
          <w:sz w:val="24"/>
        </w:rPr>
      </w:pPr>
    </w:p>
    <w:p w14:paraId="0DA09C76" w14:textId="65482675" w:rsidR="001D49C2" w:rsidRDefault="00C24E3A">
      <w:pPr>
        <w:pBdr>
          <w:top w:val="nil"/>
          <w:left w:val="nil"/>
          <w:bottom w:val="nil"/>
          <w:right w:val="nil"/>
        </w:pBdr>
        <w:rPr>
          <w:rFonts w:ascii="Calibri" w:eastAsia="Calibri" w:hAnsi="Calibri" w:cs="Calibri"/>
          <w:color w:val="000000" w:themeColor="text1"/>
          <w:sz w:val="24"/>
        </w:rPr>
      </w:pPr>
      <w:r>
        <w:rPr>
          <w:rFonts w:ascii="Calibri" w:eastAsia="Calibri" w:hAnsi="Calibri" w:cs="Calibri"/>
          <w:color w:val="000000" w:themeColor="text1"/>
          <w:sz w:val="24"/>
        </w:rPr>
        <w:t>Th</w:t>
      </w:r>
      <w:r w:rsidR="008A7460">
        <w:rPr>
          <w:rFonts w:ascii="Calibri" w:eastAsia="Calibri" w:hAnsi="Calibri" w:cs="Calibri"/>
          <w:color w:val="000000" w:themeColor="text1"/>
          <w:sz w:val="24"/>
        </w:rPr>
        <w:t>e</w:t>
      </w:r>
      <w:r>
        <w:rPr>
          <w:rFonts w:ascii="Calibri" w:eastAsia="Calibri" w:hAnsi="Calibri" w:cs="Calibri"/>
          <w:color w:val="000000" w:themeColor="text1"/>
          <w:sz w:val="24"/>
        </w:rPr>
        <w:t xml:space="preserve"> </w:t>
      </w:r>
      <w:r w:rsidR="008A7460">
        <w:rPr>
          <w:rFonts w:ascii="Calibri" w:eastAsia="Calibri" w:hAnsi="Calibri" w:cs="Calibri"/>
          <w:color w:val="000000" w:themeColor="text1"/>
          <w:sz w:val="24"/>
        </w:rPr>
        <w:t>event</w:t>
      </w:r>
      <w:r w:rsidR="0073263D">
        <w:rPr>
          <w:rFonts w:ascii="Calibri" w:eastAsia="Calibri" w:hAnsi="Calibri" w:cs="Calibri"/>
          <w:color w:val="000000" w:themeColor="text1"/>
          <w:sz w:val="24"/>
        </w:rPr>
        <w:t xml:space="preserve"> </w:t>
      </w:r>
      <w:r w:rsidR="001B7C02">
        <w:rPr>
          <w:rFonts w:ascii="Calibri" w:eastAsia="Calibri" w:hAnsi="Calibri" w:cs="Calibri"/>
          <w:color w:val="000000" w:themeColor="text1"/>
          <w:sz w:val="24"/>
        </w:rPr>
        <w:t>brings together almost 4,000 attendees, facilit</w:t>
      </w:r>
      <w:r w:rsidR="00A064E4">
        <w:rPr>
          <w:rFonts w:ascii="Calibri" w:eastAsia="Calibri" w:hAnsi="Calibri" w:cs="Calibri"/>
          <w:color w:val="000000" w:themeColor="text1"/>
          <w:sz w:val="24"/>
        </w:rPr>
        <w:t>at</w:t>
      </w:r>
      <w:r w:rsidR="001B7C02">
        <w:rPr>
          <w:rFonts w:ascii="Calibri" w:eastAsia="Calibri" w:hAnsi="Calibri" w:cs="Calibri"/>
          <w:color w:val="000000" w:themeColor="text1"/>
          <w:sz w:val="24"/>
        </w:rPr>
        <w:t xml:space="preserve">es relationship building and meetings between and among companies across the biotechnology and biopharmaceutical industries.  </w:t>
      </w:r>
    </w:p>
    <w:p w14:paraId="718192D7" w14:textId="77777777" w:rsidR="006A7EE1" w:rsidRDefault="006A7EE1">
      <w:pPr>
        <w:pBdr>
          <w:top w:val="nil"/>
          <w:left w:val="nil"/>
          <w:bottom w:val="nil"/>
          <w:right w:val="nil"/>
        </w:pBdr>
        <w:rPr>
          <w:rFonts w:ascii="Calibri" w:eastAsia="Calibri" w:hAnsi="Calibri" w:cs="Calibri"/>
          <w:b/>
          <w:color w:val="000000"/>
          <w:sz w:val="24"/>
        </w:rPr>
      </w:pPr>
    </w:p>
    <w:p w14:paraId="7CDDDACC" w14:textId="77777777" w:rsidR="006A7EE1" w:rsidRPr="006A7EE1" w:rsidRDefault="006A7EE1" w:rsidP="006A7EE1">
      <w:pPr>
        <w:rPr>
          <w:rFonts w:asciiTheme="minorHAnsi" w:hAnsiTheme="minorHAnsi" w:cstheme="minorHAnsi"/>
          <w:b/>
          <w:bCs/>
          <w:color w:val="000000" w:themeColor="text1"/>
          <w:sz w:val="24"/>
        </w:rPr>
      </w:pPr>
      <w:r w:rsidRPr="006A7EE1">
        <w:rPr>
          <w:rFonts w:asciiTheme="minorHAnsi" w:hAnsiTheme="minorHAnsi" w:cstheme="minorHAnsi"/>
          <w:b/>
          <w:bCs/>
          <w:color w:val="000000" w:themeColor="text1"/>
          <w:sz w:val="24"/>
        </w:rPr>
        <w:t>About Aptevo Therapeutics</w:t>
      </w:r>
    </w:p>
    <w:p w14:paraId="661FAF2E" w14:textId="30CB329B" w:rsidR="006A7EE1" w:rsidRPr="006A7EE1" w:rsidRDefault="006A7EE1" w:rsidP="006A7EE1">
      <w:pPr>
        <w:rPr>
          <w:rFonts w:asciiTheme="minorHAnsi" w:hAnsiTheme="minorHAnsi" w:cstheme="minorHAnsi"/>
          <w:color w:val="000000" w:themeColor="text1"/>
          <w:sz w:val="24"/>
        </w:rPr>
      </w:pPr>
      <w:r w:rsidRPr="006A7EE1">
        <w:rPr>
          <w:rFonts w:asciiTheme="minorHAnsi" w:hAnsiTheme="minorHAnsi" w:cstheme="minorHAnsi"/>
          <w:color w:val="000000" w:themeColor="text1"/>
          <w:sz w:val="24"/>
        </w:rPr>
        <w:t>Aptevo Therapeutics Inc. (Nasdaq: APVO) is a clinical-stage biotechnology company focused on developing novel bispecific immunotherapies for the treatment of cancer. The company has two clinical candidates.  Mipletamig is currently being evaluated in RAINIER, a Phase 1b/2 trial for the treatment of frontline acute myeloid leukemia in combination with standard-of-care venetoclax + azacitidine.  Mipletamig has received orphan drug designation ("orphan status") for AML according to the Orphan Drug Act. ALG.APV-527, a bispecific conditional 4-1BB agonist, only active upon simultaneous binding to 4-1BB and 5T4, is being co-developed with Alligator Bioscience and is being evaluated in a Phase 1 clinical trial for the treatment of multiple solid tumor types likely to express 5T4.  The Company has three pre-clinical candidates with different mechanisms of action designed to target a range of solid tumors.  All pipeline candidates were created from two proprietary platforms, ADAPTIR</w:t>
      </w:r>
      <w:r w:rsidR="008A7460">
        <w:rPr>
          <w:rFonts w:ascii="Calibri" w:eastAsia="Calibri" w:hAnsi="Calibri" w:cs="Calibri"/>
          <w:color w:val="000000" w:themeColor="text1"/>
          <w:sz w:val="24"/>
        </w:rPr>
        <w:t>®</w:t>
      </w:r>
      <w:r w:rsidR="008A7460" w:rsidRPr="0084666D">
        <w:rPr>
          <w:rFonts w:ascii="Calibri" w:eastAsia="Calibri" w:hAnsi="Calibri" w:cs="Calibri"/>
          <w:color w:val="000000" w:themeColor="text1"/>
          <w:sz w:val="24"/>
        </w:rPr>
        <w:t xml:space="preserve"> </w:t>
      </w:r>
      <w:r w:rsidRPr="006A7EE1">
        <w:rPr>
          <w:rFonts w:asciiTheme="minorHAnsi" w:hAnsiTheme="minorHAnsi" w:cstheme="minorHAnsi"/>
          <w:color w:val="000000" w:themeColor="text1"/>
          <w:sz w:val="24"/>
          <w:vertAlign w:val="superscript"/>
        </w:rPr>
        <w:t xml:space="preserve"> </w:t>
      </w:r>
      <w:r w:rsidRPr="006A7EE1">
        <w:rPr>
          <w:rFonts w:asciiTheme="minorHAnsi" w:hAnsiTheme="minorHAnsi" w:cstheme="minorHAnsi"/>
          <w:color w:val="000000" w:themeColor="text1"/>
          <w:sz w:val="24"/>
        </w:rPr>
        <w:t>and ADAPTIR-FLEX</w:t>
      </w:r>
      <w:r w:rsidR="008A7460">
        <w:rPr>
          <w:rFonts w:ascii="Calibri" w:eastAsia="Calibri" w:hAnsi="Calibri" w:cs="Calibri"/>
          <w:color w:val="000000" w:themeColor="text1"/>
          <w:sz w:val="24"/>
        </w:rPr>
        <w:t>®</w:t>
      </w:r>
      <w:r w:rsidR="008A7460" w:rsidRPr="0084666D">
        <w:rPr>
          <w:rFonts w:ascii="Calibri" w:eastAsia="Calibri" w:hAnsi="Calibri" w:cs="Calibri"/>
          <w:color w:val="000000" w:themeColor="text1"/>
          <w:sz w:val="24"/>
        </w:rPr>
        <w:t xml:space="preserve"> </w:t>
      </w:r>
      <w:r w:rsidRPr="006A7EE1">
        <w:rPr>
          <w:rFonts w:asciiTheme="minorHAnsi" w:hAnsiTheme="minorHAnsi" w:cstheme="minorHAnsi"/>
          <w:color w:val="000000" w:themeColor="text1"/>
          <w:sz w:val="24"/>
        </w:rPr>
        <w:t xml:space="preserve"> The Aptevo mission is to improve treatment outcomes and transform the lives of cancer patients. For more information, please visit </w:t>
      </w:r>
      <w:hyperlink r:id="rId8">
        <w:r w:rsidRPr="006A7EE1">
          <w:rPr>
            <w:rStyle w:val="Hyperlink"/>
            <w:rFonts w:asciiTheme="minorHAnsi" w:hAnsiTheme="minorHAnsi" w:cstheme="minorHAnsi"/>
            <w:sz w:val="24"/>
          </w:rPr>
          <w:t>www.aptevotherapeutics.com</w:t>
        </w:r>
      </w:hyperlink>
      <w:r w:rsidRPr="006A7EE1">
        <w:rPr>
          <w:rFonts w:asciiTheme="minorHAnsi" w:hAnsiTheme="minorHAnsi" w:cstheme="minorHAnsi"/>
          <w:color w:val="000000" w:themeColor="text1"/>
          <w:sz w:val="24"/>
        </w:rPr>
        <w:t>.</w:t>
      </w:r>
    </w:p>
    <w:p w14:paraId="422D6A7E" w14:textId="77777777" w:rsidR="007F6DC8" w:rsidRDefault="007F6DC8" w:rsidP="006A7EE1">
      <w:pPr>
        <w:pBdr>
          <w:top w:val="nil"/>
          <w:left w:val="nil"/>
          <w:bottom w:val="nil"/>
          <w:right w:val="nil"/>
        </w:pBdr>
        <w:rPr>
          <w:rFonts w:ascii="Calibri" w:eastAsia="Calibri" w:hAnsi="Calibri" w:cs="Calibri"/>
          <w:b/>
          <w:color w:val="000000"/>
          <w:sz w:val="24"/>
        </w:rPr>
      </w:pPr>
    </w:p>
    <w:p w14:paraId="6A519CF2" w14:textId="46017D36" w:rsidR="006A7EE1" w:rsidRDefault="00A96B66" w:rsidP="006A7EE1">
      <w:pPr>
        <w:pBdr>
          <w:top w:val="nil"/>
          <w:left w:val="nil"/>
          <w:bottom w:val="nil"/>
          <w:right w:val="nil"/>
        </w:pBdr>
        <w:rPr>
          <w:rFonts w:ascii="Calibri" w:eastAsia="Calibri" w:hAnsi="Calibri" w:cs="Calibri"/>
          <w:b/>
          <w:color w:val="000000"/>
          <w:sz w:val="24"/>
        </w:rPr>
      </w:pPr>
      <w:r>
        <w:rPr>
          <w:rFonts w:ascii="Calibri" w:eastAsia="Calibri" w:hAnsi="Calibri" w:cs="Calibri"/>
          <w:b/>
          <w:color w:val="000000"/>
          <w:sz w:val="24"/>
        </w:rPr>
        <w:t>Safe Harbor Statement</w:t>
      </w:r>
    </w:p>
    <w:p w14:paraId="74024D40" w14:textId="44C8E6F8" w:rsidR="001D49C2" w:rsidRPr="006A7EE1" w:rsidRDefault="00A96B66" w:rsidP="006A7EE1">
      <w:pPr>
        <w:pBdr>
          <w:top w:val="nil"/>
          <w:left w:val="nil"/>
          <w:bottom w:val="nil"/>
          <w:right w:val="nil"/>
        </w:pBdr>
        <w:rPr>
          <w:rFonts w:ascii="Calibri" w:eastAsia="Calibri" w:hAnsi="Calibri" w:cs="Calibri"/>
          <w:b/>
          <w:color w:val="000000"/>
          <w:sz w:val="24"/>
        </w:rPr>
      </w:pPr>
      <w:r>
        <w:rPr>
          <w:rFonts w:ascii="Calibri" w:eastAsia="Calibri" w:hAnsi="Calibri" w:cs="Calibri"/>
          <w:color w:val="000000"/>
          <w:sz w:val="24"/>
        </w:rPr>
        <w:t>This press release includes forward-looking statements within the meaning of the Private Securities Litigation Reform Act of 1995. All statements, other than statements of historical fact, including, without limitation, Aptevo’s expectations about the activity, efficacy and safety of its therapeutic candidates and potential use of any such candidates as therapeutics for treatment of disease, its expectations regarding the effectiveness of its ADAPTIR and ADAPTIR-</w:t>
      </w:r>
      <w:r>
        <w:rPr>
          <w:rFonts w:ascii="Calibri" w:eastAsia="Calibri" w:hAnsi="Calibri" w:cs="Calibri"/>
          <w:color w:val="000000"/>
          <w:sz w:val="24"/>
        </w:rPr>
        <w:lastRenderedPageBreak/>
        <w:t>FLEX platforms, statements related to the progress of Aptevo’s clinical programs and any other statements containing the words “may,” “continue to,” “believes,” “expects,” “optimism,” “potential,” “designed,” “promising,” “plans,” “will” and similar expressions are intended to identify forward-looking statements. These forward-looking statements are based on Aptevo’s current intentions, beliefs, and expectations regarding future events. Aptevo cannot guarantee that any forward-looking statement will be accurate. Investors should realize that if underlying assumptions prove inaccurate or unknown risks or uncertainties materialize, actual results could differ materially from Aptevo’s expectations. Investors are, therefore, cautioned not to place undue reliance on any forward-looking statement.</w:t>
      </w:r>
    </w:p>
    <w:p w14:paraId="5318F49A" w14:textId="0EBCBC4F" w:rsidR="00D41671" w:rsidRDefault="00A96B66" w:rsidP="00D41671">
      <w:pPr>
        <w:pBdr>
          <w:top w:val="nil"/>
          <w:left w:val="nil"/>
          <w:bottom w:val="nil"/>
          <w:right w:val="nil"/>
        </w:pBdr>
        <w:spacing w:before="10.50pt" w:after="10pt"/>
        <w:rPr>
          <w:rFonts w:ascii="Calibri" w:eastAsia="Calibri" w:hAnsi="Calibri" w:cs="Calibri"/>
          <w:color w:val="000000"/>
          <w:sz w:val="24"/>
        </w:rPr>
      </w:pPr>
      <w:r>
        <w:rPr>
          <w:rFonts w:ascii="Calibri" w:eastAsia="Calibri" w:hAnsi="Calibri" w:cs="Calibri"/>
          <w:color w:val="000000"/>
          <w:sz w:val="24"/>
        </w:rPr>
        <w:t xml:space="preserve">There are several important factors that could cause Aptevo’s actual results to differ materially from those indicated by such forward-looking statements, including a deterioration in Aptevo’s business or prospects; further assessment of preliminary data or different results from later clinical trials; adverse events and unanticipated problems, adverse developments in clinical development, including unexpected safety issues observed during a clinical trial; and changes in regulatory, social, macroeconomic and political conditions. For instance, actual results may differ materially from those indicated by such forward-looking statements as a result of various important factors, including the uncertainties inherent in the results of preliminary data and preclinical studies being predictive of the results of later-stage clinical trials, initiation, enrollment and maintenance of patients, and the completion of clinical trials, the availability and timing of data from ongoing clinical trials, the trial design includes combination therapies that may make it difficult to accurately ascertain the benefits of </w:t>
      </w:r>
      <w:r w:rsidR="00714824">
        <w:rPr>
          <w:rFonts w:ascii="Calibri" w:eastAsia="Calibri" w:hAnsi="Calibri" w:cs="Calibri"/>
          <w:color w:val="000000"/>
          <w:sz w:val="24"/>
        </w:rPr>
        <w:t>mipletamig</w:t>
      </w:r>
      <w:r>
        <w:rPr>
          <w:rFonts w:ascii="Calibri" w:eastAsia="Calibri" w:hAnsi="Calibri" w:cs="Calibri"/>
          <w:color w:val="000000"/>
          <w:sz w:val="24"/>
        </w:rPr>
        <w:t>, expectations for the timing and steps required in the regulatory review process, expectations for regulatory approvals, the impact of competitive products, our ability to enter into agreements with strategic partners or raise funds on acceptable terms or at all and other matters that could affect the availability or commercial potential of Aptevo’s product candidates, business or economic disruptions due to catastrophes or other events, including natural disasters or public health crises such as the coronavirus (referred to as COVID-19), geopolitical risks, including the current war between Russia and Ukraine</w:t>
      </w:r>
      <w:r w:rsidR="00FD5F22">
        <w:rPr>
          <w:rFonts w:ascii="Calibri" w:eastAsia="Calibri" w:hAnsi="Calibri" w:cs="Calibri"/>
          <w:color w:val="000000"/>
          <w:sz w:val="24"/>
        </w:rPr>
        <w:t xml:space="preserve"> and the </w:t>
      </w:r>
      <w:r w:rsidR="00714824">
        <w:rPr>
          <w:rFonts w:ascii="Calibri" w:eastAsia="Calibri" w:hAnsi="Calibri" w:cs="Calibri"/>
          <w:color w:val="000000"/>
          <w:sz w:val="24"/>
        </w:rPr>
        <w:t>war between Hamas and Israel</w:t>
      </w:r>
      <w:r>
        <w:rPr>
          <w:rFonts w:ascii="Calibri" w:eastAsia="Calibri" w:hAnsi="Calibri" w:cs="Calibri"/>
          <w:color w:val="000000"/>
          <w:sz w:val="24"/>
        </w:rPr>
        <w:t>, and macroeconomic conditions such as economic uncertainty, rising inflation and interest rates, increased market volatility and decreased consumer confidence. These risks are not exhaustive, Aptevo faces known and unknown risks. Additional risks and factors that may affect results are set forth in Aptevo’s filings with the Securities and Exchange Commission, including its Annual Report on Form 10-K for the fiscal year ended December 31, 202</w:t>
      </w:r>
      <w:r w:rsidR="00714824">
        <w:rPr>
          <w:rFonts w:ascii="Calibri" w:eastAsia="Calibri" w:hAnsi="Calibri" w:cs="Calibri"/>
          <w:color w:val="000000"/>
          <w:sz w:val="24"/>
        </w:rPr>
        <w:t>4</w:t>
      </w:r>
      <w:r>
        <w:rPr>
          <w:rFonts w:ascii="Calibri" w:eastAsia="Calibri" w:hAnsi="Calibri" w:cs="Calibri"/>
          <w:color w:val="000000"/>
          <w:sz w:val="24"/>
        </w:rPr>
        <w:t>, and its subsequent reports on Form 10-Q and current reports on Form 8-K. The foregoing sets forth many, but not all, of the factors that could cause actual results to differ from Aptevo’s expectations in any forward-looking statement. Any forward-looking statement speaks only as of the date of this press release, and, except as required by law, Aptevo does not assume any obligation to update any forward-looking statement to reflect new information, events, or circumstances.</w:t>
      </w:r>
    </w:p>
    <w:p w14:paraId="64E12419" w14:textId="77777777" w:rsidR="00D41671" w:rsidRDefault="00A96B66" w:rsidP="00D41671">
      <w:pPr>
        <w:pBdr>
          <w:top w:val="nil"/>
          <w:left w:val="nil"/>
          <w:bottom w:val="nil"/>
          <w:right w:val="nil"/>
        </w:pBdr>
        <w:rPr>
          <w:rFonts w:ascii="Calibri" w:eastAsia="Calibri" w:hAnsi="Calibri" w:cs="Calibri"/>
          <w:color w:val="000000"/>
          <w:sz w:val="24"/>
        </w:rPr>
      </w:pPr>
      <w:r>
        <w:rPr>
          <w:rFonts w:ascii="Calibri" w:eastAsia="Calibri" w:hAnsi="Calibri" w:cs="Calibri"/>
          <w:b/>
          <w:color w:val="000000"/>
          <w:sz w:val="24"/>
        </w:rPr>
        <w:t>CONTACT:</w:t>
      </w:r>
      <w:r>
        <w:rPr>
          <w:rFonts w:ascii="Calibri" w:eastAsia="Calibri" w:hAnsi="Calibri" w:cs="Calibri"/>
          <w:color w:val="000000"/>
          <w:sz w:val="24"/>
        </w:rPr>
        <w:br/>
        <w:t>Miriam Weber Miller</w:t>
      </w:r>
    </w:p>
    <w:p w14:paraId="2EFC17CA" w14:textId="6B9C43C7" w:rsidR="001D49C2" w:rsidRDefault="00A96B66" w:rsidP="00D41671">
      <w:pPr>
        <w:pBdr>
          <w:top w:val="nil"/>
          <w:left w:val="nil"/>
          <w:bottom w:val="nil"/>
          <w:right w:val="nil"/>
        </w:pBdr>
        <w:rPr>
          <w:rFonts w:ascii="Calibri" w:eastAsia="Calibri" w:hAnsi="Calibri" w:cs="Calibri"/>
          <w:color w:val="000000"/>
          <w:sz w:val="24"/>
        </w:rPr>
      </w:pPr>
      <w:r>
        <w:rPr>
          <w:rFonts w:ascii="Calibri" w:eastAsia="Calibri" w:hAnsi="Calibri" w:cs="Calibri"/>
          <w:color w:val="000000"/>
          <w:sz w:val="24"/>
        </w:rPr>
        <w:t>Aptevo Therapeutics</w:t>
      </w:r>
    </w:p>
    <w:p w14:paraId="18295A28" w14:textId="77777777" w:rsidR="001D49C2" w:rsidRDefault="00A96B66" w:rsidP="00D41671">
      <w:pPr>
        <w:pBdr>
          <w:top w:val="nil"/>
          <w:left w:val="nil"/>
          <w:bottom w:val="nil"/>
          <w:right w:val="nil"/>
        </w:pBdr>
        <w:rPr>
          <w:rFonts w:ascii="Calibri" w:eastAsia="Calibri" w:hAnsi="Calibri" w:cs="Calibri"/>
          <w:color w:val="000000"/>
          <w:sz w:val="24"/>
        </w:rPr>
      </w:pPr>
      <w:r>
        <w:rPr>
          <w:rFonts w:ascii="Calibri" w:eastAsia="Calibri" w:hAnsi="Calibri" w:cs="Calibri"/>
          <w:color w:val="000000"/>
          <w:sz w:val="24"/>
        </w:rPr>
        <w:t>Email: IR@apvo.com or Millerm@apvo.com</w:t>
      </w:r>
    </w:p>
    <w:p w14:paraId="1BDE0FEF" w14:textId="7990CA1C" w:rsidR="001D49C2" w:rsidRDefault="00A96B66">
      <w:pPr>
        <w:pBdr>
          <w:top w:val="nil"/>
          <w:left w:val="nil"/>
          <w:bottom w:val="nil"/>
          <w:right w:val="nil"/>
        </w:pBdr>
        <w:rPr>
          <w:rFonts w:ascii="Calibri" w:eastAsia="Calibri" w:hAnsi="Calibri" w:cs="Calibri"/>
          <w:color w:val="000000"/>
          <w:sz w:val="24"/>
        </w:rPr>
      </w:pPr>
      <w:r>
        <w:rPr>
          <w:rFonts w:ascii="Calibri" w:eastAsia="Calibri" w:hAnsi="Calibri" w:cs="Calibri"/>
          <w:color w:val="000000"/>
          <w:sz w:val="24"/>
        </w:rPr>
        <w:t>Phone: 206-859-6628</w:t>
      </w:r>
      <w:r>
        <w:rPr>
          <w:rFonts w:ascii="Calibri" w:eastAsia="Calibri" w:hAnsi="Calibri" w:cs="Calibri"/>
          <w:color w:val="000000"/>
          <w:sz w:val="24"/>
        </w:rPr>
        <w:br/>
      </w:r>
    </w:p>
    <w:p w14:paraId="3115F44E" w14:textId="77777777" w:rsidR="001D49C2" w:rsidRDefault="001D49C2">
      <w:pPr>
        <w:pBdr>
          <w:top w:val="nil"/>
          <w:left w:val="nil"/>
          <w:bottom w:val="nil"/>
          <w:right w:val="nil"/>
        </w:pBdr>
        <w:jc w:val="center"/>
        <w:rPr>
          <w:rFonts w:ascii="Arial" w:eastAsia="Arial" w:hAnsi="Arial" w:cs="Arial"/>
          <w:color w:val="000000"/>
          <w:sz w:val="24"/>
        </w:rPr>
      </w:pPr>
    </w:p>
    <w:p w14:paraId="324A1BD2" w14:textId="77777777" w:rsidR="001D49C2" w:rsidRDefault="001D49C2">
      <w:pPr>
        <w:pBdr>
          <w:top w:val="nil"/>
          <w:left w:val="nil"/>
          <w:bottom w:val="nil"/>
          <w:right w:val="nil"/>
        </w:pBdr>
        <w:spacing w:after="10pt" w:line="13.80pt" w:lineRule="auto"/>
        <w:rPr>
          <w:color w:val="000000"/>
        </w:rPr>
      </w:pPr>
    </w:p>
    <w:sectPr w:rsidR="001D49C2">
      <w:headerReference w:type="default" r:id="rId9"/>
      <w:footerReference w:type="default" r:id="rId10"/>
      <w:pgSz w:w="612pt" w:h="792pt"/>
      <w:pgMar w:top="49.70pt" w:right="72pt" w:bottom="72pt" w:left="72pt" w:header="36pt" w:footer="36pt" w:gutter="0pt"/>
      <w:pgBorders>
        <w:top w:val="nil"/>
        <w:left w:val="nil"/>
        <w:bottom w:val="nil"/>
        <w:right w:val="nil"/>
      </w:pgBorders>
      <w:pgNumType w:start="1"/>
      <w:cols w:space="36pt"/>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1DF8FC09" w14:textId="77777777" w:rsidR="00926B6F" w:rsidRDefault="00926B6F">
      <w:r>
        <w:separator/>
      </w:r>
    </w:p>
  </w:endnote>
  <w:endnote w:type="continuationSeparator" w:id="0">
    <w:p w14:paraId="6442214C" w14:textId="77777777" w:rsidR="00926B6F" w:rsidRDefault="00926B6F">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family w:val="decorative"/>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charset w:characterSet="macintosh"/>
    <w:family w:val="decorative"/>
    <w:pitch w:val="variable"/>
    <w:sig w:usb0="00000003" w:usb1="00000000" w:usb2="00000000" w:usb3="00000000" w:csb0="80000001" w:csb1="00000000"/>
  </w:font>
  <w:font w:name="Arial">
    <w:panose1 w:val="020B0604020202020204"/>
    <w:charset w:characterSet="iso-8859-1"/>
    <w:family w:val="swiss"/>
    <w:pitch w:val="variable"/>
    <w:sig w:usb0="E0002AFF" w:usb1="C0007843" w:usb2="00000009" w:usb3="00000000" w:csb0="000001FF" w:csb1="00000000"/>
  </w:font>
  <w:font w:name="Calibri">
    <w:panose1 w:val="020F0502020204030204"/>
    <w:charset w:characterSet="iso-8859-1"/>
    <w:family w:val="swiss"/>
    <w:pitch w:val="variable"/>
    <w:sig w:usb0="E0002AFF" w:usb1="C000247B" w:usb2="00000009" w:usb3="00000000" w:csb0="000001FF" w:csb1="00000000"/>
  </w:font>
  <w:font w:name="Cambria">
    <w:panose1 w:val="02040503050406030204"/>
    <w:charset w:characterSet="iso-8859-1"/>
    <w:family w:val="roman"/>
    <w:pitch w:val="variable"/>
    <w:sig w:usb0="E00006FF" w:usb1="420024FF" w:usb2="02000000" w:usb3="00000000" w:csb0="0000019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5DB3CFDA" w14:textId="77777777" w:rsidR="001D49C2" w:rsidRDefault="001D49C2">
    <w:pPr>
      <w:pBdr>
        <w:top w:val="nil"/>
        <w:left w:val="nil"/>
        <w:bottom w:val="nil"/>
        <w:right w:val="nil"/>
      </w:pBdr>
      <w:jc w:val="center"/>
      <w:rPr>
        <w:rFonts w:ascii="Calibri" w:eastAsia="Calibri" w:hAnsi="Calibri" w:cs="Calibri"/>
        <w:color w:val="000000"/>
        <w:sz w:val="22"/>
      </w:rPr>
    </w:pPr>
  </w:p>
  <w:p w14:paraId="5639CE49" w14:textId="77777777" w:rsidR="001D49C2" w:rsidRDefault="00A96B66">
    <w:pPr>
      <w:pBdr>
        <w:top w:val="nil"/>
        <w:left w:val="nil"/>
        <w:bottom w:val="nil"/>
        <w:right w:val="nil"/>
      </w:pBdr>
      <w:jc w:val="center"/>
      <w:rPr>
        <w:color w:val="000000"/>
      </w:rPr>
    </w:pPr>
    <w:r>
      <w:rPr>
        <w:color w:val="000000"/>
      </w:rPr>
      <w:fldChar w:fldCharType="begin"/>
    </w:r>
    <w:r>
      <w:rPr>
        <w:color w:val="000000"/>
        <w:sz w:val="24"/>
      </w:rPr>
      <w:instrText xml:space="preserve"> PAGE </w:instrText>
    </w:r>
    <w:r>
      <w:rPr>
        <w:color w:val="000000"/>
      </w:rPr>
      <w:fldChar w:fldCharType="separate"/>
    </w:r>
    <w:r>
      <w:rPr>
        <w:color w:val="000000"/>
        <w:sz w:val="24"/>
      </w:rPr>
      <w:t>2</w:t>
    </w:r>
    <w:r>
      <w:rPr>
        <w:color w:val="000000"/>
      </w:rPr>
      <w:fldChar w:fldCharType="end"/>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5B58289E" w14:textId="77777777" w:rsidR="00926B6F" w:rsidRDefault="00926B6F">
      <w:r>
        <w:separator/>
      </w:r>
    </w:p>
  </w:footnote>
  <w:footnote w:type="continuationSeparator" w:id="0">
    <w:p w14:paraId="0D5D3835" w14:textId="77777777" w:rsidR="00926B6F" w:rsidRDefault="00926B6F">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3D6EE4ED" w14:textId="77777777" w:rsidR="001D49C2" w:rsidRDefault="001D49C2">
    <w:pPr>
      <w:pBdr>
        <w:top w:val="nil"/>
        <w:left w:val="nil"/>
        <w:bottom w:val="nil"/>
        <w:right w:val="nil"/>
      </w:pBdr>
      <w:rPr>
        <w:rFonts w:ascii="Calibri" w:eastAsia="Calibri" w:hAnsi="Calibri" w:cs="Calibri"/>
        <w:color w:val="000000"/>
        <w:sz w:val="22"/>
      </w:rPr>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00000001"/>
    <w:multiLevelType w:val="multilevel"/>
    <w:tmpl w:val="00000001"/>
    <w:styleLink w:val="BulletedListPmjSAYz8"/>
    <w:lvl w:ilvl="0">
      <w:start w:val="1"/>
      <w:numFmt w:val="bullet"/>
      <w:lvlText w:val=""/>
      <w:lvlJc w:val="start"/>
      <w:pPr>
        <w:tabs>
          <w:tab w:val="num" w:pos="0pt"/>
        </w:tabs>
        <w:ind w:start="42.50pt" w:hanging="18pt"/>
      </w:pPr>
    </w:lvl>
    <w:lvl w:ilvl="1">
      <w:start w:val="1"/>
      <w:numFmt w:val="bullet"/>
      <w:lvlText w:val="o"/>
      <w:lvlJc w:val="start"/>
      <w:pPr>
        <w:tabs>
          <w:tab w:val="num" w:pos="0pt"/>
        </w:tabs>
        <w:ind w:start="78.50pt" w:hanging="18pt"/>
      </w:pPr>
    </w:lvl>
    <w:lvl w:ilvl="2">
      <w:start w:val="1"/>
      <w:numFmt w:val="bullet"/>
      <w:lvlText w:val=""/>
      <w:lvlJc w:val="start"/>
      <w:pPr>
        <w:tabs>
          <w:tab w:val="num" w:pos="0pt"/>
        </w:tabs>
        <w:ind w:start="114.50pt" w:hanging="18pt"/>
      </w:pPr>
    </w:lvl>
    <w:lvl w:ilvl="3">
      <w:start w:val="1"/>
      <w:numFmt w:val="bullet"/>
      <w:lvlText w:val=""/>
      <w:lvlJc w:val="start"/>
      <w:pPr>
        <w:tabs>
          <w:tab w:val="num" w:pos="0pt"/>
        </w:tabs>
        <w:ind w:start="150.50pt" w:hanging="18pt"/>
      </w:pPr>
    </w:lvl>
    <w:lvl w:ilvl="4">
      <w:start w:val="1"/>
      <w:numFmt w:val="bullet"/>
      <w:lvlText w:val="o"/>
      <w:lvlJc w:val="start"/>
      <w:pPr>
        <w:tabs>
          <w:tab w:val="num" w:pos="0pt"/>
        </w:tabs>
        <w:ind w:start="186.50pt" w:hanging="18pt"/>
      </w:pPr>
    </w:lvl>
    <w:lvl w:ilvl="5">
      <w:start w:val="1"/>
      <w:numFmt w:val="bullet"/>
      <w:lvlText w:val=""/>
      <w:lvlJc w:val="start"/>
      <w:pPr>
        <w:tabs>
          <w:tab w:val="num" w:pos="0pt"/>
        </w:tabs>
        <w:ind w:start="222.50pt" w:hanging="18pt"/>
      </w:pPr>
    </w:lvl>
    <w:lvl w:ilvl="6">
      <w:start w:val="1"/>
      <w:numFmt w:val="bullet"/>
      <w:lvlText w:val=""/>
      <w:lvlJc w:val="start"/>
      <w:pPr>
        <w:tabs>
          <w:tab w:val="num" w:pos="0pt"/>
        </w:tabs>
        <w:ind w:start="258.50pt" w:hanging="18pt"/>
      </w:pPr>
    </w:lvl>
    <w:lvl w:ilvl="7">
      <w:start w:val="1"/>
      <w:numFmt w:val="bullet"/>
      <w:lvlText w:val="o"/>
      <w:lvlJc w:val="start"/>
      <w:pPr>
        <w:tabs>
          <w:tab w:val="num" w:pos="0pt"/>
        </w:tabs>
        <w:ind w:start="294.50pt" w:hanging="18pt"/>
      </w:pPr>
    </w:lvl>
    <w:lvl w:ilvl="8">
      <w:start w:val="1"/>
      <w:numFmt w:val="bullet"/>
      <w:lvlText w:val=""/>
      <w:lvlJc w:val="start"/>
      <w:pPr>
        <w:tabs>
          <w:tab w:val="num" w:pos="0pt"/>
        </w:tabs>
        <w:ind w:start="330.50pt" w:hanging="18pt"/>
      </w:pPr>
    </w:lvl>
  </w:abstractNum>
  <w:abstractNum w:abstractNumId="1" w15:restartNumberingAfterBreak="0">
    <w:nsid w:val="00000002"/>
    <w:multiLevelType w:val="multilevel"/>
    <w:tmpl w:val="00000001"/>
    <w:lvl w:ilvl="0">
      <w:start w:val="1"/>
      <w:numFmt w:val="bullet"/>
      <w:lvlText w:val=""/>
      <w:lvlJc w:val="start"/>
      <w:pPr>
        <w:tabs>
          <w:tab w:val="num" w:pos="0pt"/>
        </w:tabs>
        <w:ind w:start="42.50pt" w:hanging="18pt"/>
      </w:pPr>
      <w:rPr>
        <w:rFonts w:ascii="Symbol" w:eastAsia="Symbol" w:hAnsi="Symbol" w:cs="Symbol"/>
        <w:b w:val="0"/>
        <w:i w:val="0"/>
        <w:caps w:val="0"/>
        <w:smallCaps w:val="0"/>
        <w:strike w:val="0"/>
        <w:color w:val="000000"/>
        <w:sz w:val="24"/>
        <w:u w:val="none"/>
        <w:shd w:val="clear" w:color="auto" w:fill="FFFFFF"/>
        <w:vertAlign w:val="baseline"/>
      </w:rPr>
    </w:lvl>
    <w:lvl w:ilvl="1">
      <w:start w:val="1"/>
      <w:numFmt w:val="bullet"/>
      <w:lvlText w:val="o"/>
      <w:lvlJc w:val="start"/>
      <w:pPr>
        <w:tabs>
          <w:tab w:val="num" w:pos="0pt"/>
        </w:tabs>
        <w:ind w:start="78.50pt" w:hanging="18pt"/>
      </w:pPr>
    </w:lvl>
    <w:lvl w:ilvl="2">
      <w:start w:val="1"/>
      <w:numFmt w:val="bullet"/>
      <w:lvlText w:val=""/>
      <w:lvlJc w:val="start"/>
      <w:pPr>
        <w:tabs>
          <w:tab w:val="num" w:pos="0pt"/>
        </w:tabs>
        <w:ind w:start="114.50pt" w:hanging="18pt"/>
      </w:pPr>
    </w:lvl>
    <w:lvl w:ilvl="3">
      <w:start w:val="1"/>
      <w:numFmt w:val="bullet"/>
      <w:lvlText w:val=""/>
      <w:lvlJc w:val="start"/>
      <w:pPr>
        <w:tabs>
          <w:tab w:val="num" w:pos="0pt"/>
        </w:tabs>
        <w:ind w:start="150.50pt" w:hanging="18pt"/>
      </w:pPr>
    </w:lvl>
    <w:lvl w:ilvl="4">
      <w:start w:val="1"/>
      <w:numFmt w:val="bullet"/>
      <w:lvlText w:val="o"/>
      <w:lvlJc w:val="start"/>
      <w:pPr>
        <w:tabs>
          <w:tab w:val="num" w:pos="0pt"/>
        </w:tabs>
        <w:ind w:start="186.50pt" w:hanging="18pt"/>
      </w:pPr>
    </w:lvl>
    <w:lvl w:ilvl="5">
      <w:start w:val="1"/>
      <w:numFmt w:val="bullet"/>
      <w:lvlText w:val=""/>
      <w:lvlJc w:val="start"/>
      <w:pPr>
        <w:tabs>
          <w:tab w:val="num" w:pos="0pt"/>
        </w:tabs>
        <w:ind w:start="222.50pt" w:hanging="18pt"/>
      </w:pPr>
    </w:lvl>
    <w:lvl w:ilvl="6">
      <w:start w:val="1"/>
      <w:numFmt w:val="bullet"/>
      <w:lvlText w:val=""/>
      <w:lvlJc w:val="start"/>
      <w:pPr>
        <w:tabs>
          <w:tab w:val="num" w:pos="0pt"/>
        </w:tabs>
        <w:ind w:start="258.50pt" w:hanging="18pt"/>
      </w:pPr>
    </w:lvl>
    <w:lvl w:ilvl="7">
      <w:start w:val="1"/>
      <w:numFmt w:val="bullet"/>
      <w:lvlText w:val="o"/>
      <w:lvlJc w:val="start"/>
      <w:pPr>
        <w:tabs>
          <w:tab w:val="num" w:pos="0pt"/>
        </w:tabs>
        <w:ind w:start="294.50pt" w:hanging="18pt"/>
      </w:pPr>
    </w:lvl>
    <w:lvl w:ilvl="8">
      <w:start w:val="1"/>
      <w:numFmt w:val="bullet"/>
      <w:lvlText w:val=""/>
      <w:lvlJc w:val="start"/>
      <w:pPr>
        <w:tabs>
          <w:tab w:val="num" w:pos="0pt"/>
        </w:tabs>
        <w:ind w:start="330.50pt" w:hanging="18pt"/>
      </w:pPr>
    </w:lvl>
  </w:abstractNum>
  <w:abstractNum w:abstractNumId="2" w15:restartNumberingAfterBreak="0">
    <w:nsid w:val="00000003"/>
    <w:multiLevelType w:val="hybridMultilevel"/>
    <w:tmpl w:val="00000003"/>
    <w:lvl w:ilvl="0" w:tplc="8A46224A">
      <w:start w:val="1"/>
      <w:numFmt w:val="bullet"/>
      <w:lvlText w:val=""/>
      <w:lvlJc w:val="start"/>
      <w:pPr>
        <w:tabs>
          <w:tab w:val="num" w:pos="36pt"/>
        </w:tabs>
        <w:ind w:start="36pt" w:hanging="18pt"/>
      </w:pPr>
      <w:rPr>
        <w:rFonts w:ascii="Symbol" w:hAnsi="Symbol"/>
      </w:rPr>
    </w:lvl>
    <w:lvl w:ilvl="1" w:tplc="F0523AAC">
      <w:start w:val="1"/>
      <w:numFmt w:val="bullet"/>
      <w:lvlText w:val="o"/>
      <w:lvlJc w:val="start"/>
      <w:pPr>
        <w:tabs>
          <w:tab w:val="num" w:pos="72pt"/>
        </w:tabs>
        <w:ind w:start="72pt" w:hanging="18pt"/>
      </w:pPr>
      <w:rPr>
        <w:rFonts w:ascii="Courier New" w:hAnsi="Courier New"/>
      </w:rPr>
    </w:lvl>
    <w:lvl w:ilvl="2" w:tplc="574C797E">
      <w:start w:val="1"/>
      <w:numFmt w:val="bullet"/>
      <w:lvlText w:val=""/>
      <w:lvlJc w:val="start"/>
      <w:pPr>
        <w:tabs>
          <w:tab w:val="num" w:pos="108pt"/>
        </w:tabs>
        <w:ind w:start="108pt" w:hanging="18pt"/>
      </w:pPr>
      <w:rPr>
        <w:rFonts w:ascii="Wingdings" w:hAnsi="Wingdings"/>
      </w:rPr>
    </w:lvl>
    <w:lvl w:ilvl="3" w:tplc="6B04D1A2">
      <w:start w:val="1"/>
      <w:numFmt w:val="bullet"/>
      <w:lvlText w:val=""/>
      <w:lvlJc w:val="start"/>
      <w:pPr>
        <w:tabs>
          <w:tab w:val="num" w:pos="144pt"/>
        </w:tabs>
        <w:ind w:start="144pt" w:hanging="18pt"/>
      </w:pPr>
      <w:rPr>
        <w:rFonts w:ascii="Symbol" w:hAnsi="Symbol"/>
      </w:rPr>
    </w:lvl>
    <w:lvl w:ilvl="4" w:tplc="CFFEC40C">
      <w:start w:val="1"/>
      <w:numFmt w:val="bullet"/>
      <w:lvlText w:val="o"/>
      <w:lvlJc w:val="start"/>
      <w:pPr>
        <w:tabs>
          <w:tab w:val="num" w:pos="180pt"/>
        </w:tabs>
        <w:ind w:start="180pt" w:hanging="18pt"/>
      </w:pPr>
      <w:rPr>
        <w:rFonts w:ascii="Courier New" w:hAnsi="Courier New"/>
      </w:rPr>
    </w:lvl>
    <w:lvl w:ilvl="5" w:tplc="93267C22">
      <w:start w:val="1"/>
      <w:numFmt w:val="bullet"/>
      <w:lvlText w:val=""/>
      <w:lvlJc w:val="start"/>
      <w:pPr>
        <w:tabs>
          <w:tab w:val="num" w:pos="216pt"/>
        </w:tabs>
        <w:ind w:start="216pt" w:hanging="18pt"/>
      </w:pPr>
      <w:rPr>
        <w:rFonts w:ascii="Wingdings" w:hAnsi="Wingdings"/>
      </w:rPr>
    </w:lvl>
    <w:lvl w:ilvl="6" w:tplc="8B522D0C">
      <w:start w:val="1"/>
      <w:numFmt w:val="bullet"/>
      <w:lvlText w:val=""/>
      <w:lvlJc w:val="start"/>
      <w:pPr>
        <w:tabs>
          <w:tab w:val="num" w:pos="252pt"/>
        </w:tabs>
        <w:ind w:start="252pt" w:hanging="18pt"/>
      </w:pPr>
      <w:rPr>
        <w:rFonts w:ascii="Symbol" w:hAnsi="Symbol"/>
      </w:rPr>
    </w:lvl>
    <w:lvl w:ilvl="7" w:tplc="7FCE970E">
      <w:start w:val="1"/>
      <w:numFmt w:val="bullet"/>
      <w:lvlText w:val="o"/>
      <w:lvlJc w:val="start"/>
      <w:pPr>
        <w:tabs>
          <w:tab w:val="num" w:pos="288pt"/>
        </w:tabs>
        <w:ind w:start="288pt" w:hanging="18pt"/>
      </w:pPr>
      <w:rPr>
        <w:rFonts w:ascii="Courier New" w:hAnsi="Courier New"/>
      </w:rPr>
    </w:lvl>
    <w:lvl w:ilvl="8" w:tplc="6EB0AEDC">
      <w:start w:val="1"/>
      <w:numFmt w:val="bullet"/>
      <w:lvlText w:val=""/>
      <w:lvlJc w:val="start"/>
      <w:pPr>
        <w:tabs>
          <w:tab w:val="num" w:pos="324pt"/>
        </w:tabs>
        <w:ind w:start="324pt" w:hanging="18pt"/>
      </w:pPr>
      <w:rPr>
        <w:rFonts w:ascii="Wingdings" w:hAnsi="Wingdings"/>
      </w:rPr>
    </w:lvl>
  </w:abstractNum>
  <w:abstractNum w:abstractNumId="3" w15:restartNumberingAfterBreak="0">
    <w:nsid w:val="00000004"/>
    <w:multiLevelType w:val="multilevel"/>
    <w:tmpl w:val="00000004"/>
    <w:styleLink w:val="BulletedList4hfhP3cD"/>
    <w:lvl w:ilvl="0">
      <w:start w:val="1"/>
      <w:numFmt w:val="bullet"/>
      <w:lvlText w:val=""/>
      <w:lvlJc w:val="start"/>
      <w:pPr>
        <w:tabs>
          <w:tab w:val="num" w:pos="0pt"/>
        </w:tabs>
        <w:ind w:start="36pt" w:hanging="18pt"/>
      </w:pPr>
    </w:lvl>
    <w:lvl w:ilvl="1">
      <w:start w:val="1"/>
      <w:numFmt w:val="bullet"/>
      <w:lvlText w:val="o"/>
      <w:lvlJc w:val="start"/>
      <w:pPr>
        <w:tabs>
          <w:tab w:val="num" w:pos="0pt"/>
        </w:tabs>
        <w:ind w:start="72pt" w:hanging="18pt"/>
      </w:pPr>
    </w:lvl>
    <w:lvl w:ilvl="2">
      <w:start w:val="1"/>
      <w:numFmt w:val="bullet"/>
      <w:lvlText w:val=""/>
      <w:lvlJc w:val="start"/>
      <w:pPr>
        <w:tabs>
          <w:tab w:val="num" w:pos="0pt"/>
        </w:tabs>
        <w:ind w:start="108pt" w:hanging="18pt"/>
      </w:pPr>
    </w:lvl>
    <w:lvl w:ilvl="3">
      <w:start w:val="1"/>
      <w:numFmt w:val="bullet"/>
      <w:lvlText w:val=""/>
      <w:lvlJc w:val="start"/>
      <w:pPr>
        <w:tabs>
          <w:tab w:val="num" w:pos="0pt"/>
        </w:tabs>
        <w:ind w:start="144pt" w:hanging="18pt"/>
      </w:pPr>
    </w:lvl>
    <w:lvl w:ilvl="4">
      <w:start w:val="1"/>
      <w:numFmt w:val="bullet"/>
      <w:lvlText w:val="o"/>
      <w:lvlJc w:val="start"/>
      <w:pPr>
        <w:tabs>
          <w:tab w:val="num" w:pos="0pt"/>
        </w:tabs>
        <w:ind w:start="180pt" w:hanging="18pt"/>
      </w:pPr>
    </w:lvl>
    <w:lvl w:ilvl="5">
      <w:start w:val="1"/>
      <w:numFmt w:val="bullet"/>
      <w:lvlText w:val=""/>
      <w:lvlJc w:val="start"/>
      <w:pPr>
        <w:tabs>
          <w:tab w:val="num" w:pos="0pt"/>
        </w:tabs>
        <w:ind w:start="216pt" w:hanging="18pt"/>
      </w:pPr>
    </w:lvl>
    <w:lvl w:ilvl="6">
      <w:start w:val="1"/>
      <w:numFmt w:val="bullet"/>
      <w:lvlText w:val=""/>
      <w:lvlJc w:val="start"/>
      <w:pPr>
        <w:tabs>
          <w:tab w:val="num" w:pos="0pt"/>
        </w:tabs>
        <w:ind w:start="252pt" w:hanging="18pt"/>
      </w:pPr>
    </w:lvl>
    <w:lvl w:ilvl="7">
      <w:start w:val="1"/>
      <w:numFmt w:val="bullet"/>
      <w:lvlText w:val="o"/>
      <w:lvlJc w:val="start"/>
      <w:pPr>
        <w:tabs>
          <w:tab w:val="num" w:pos="0pt"/>
        </w:tabs>
        <w:ind w:start="288pt" w:hanging="18pt"/>
      </w:pPr>
    </w:lvl>
    <w:lvl w:ilvl="8">
      <w:start w:val="1"/>
      <w:numFmt w:val="bullet"/>
      <w:lvlText w:val=""/>
      <w:lvlJc w:val="start"/>
      <w:pPr>
        <w:tabs>
          <w:tab w:val="num" w:pos="0pt"/>
        </w:tabs>
        <w:ind w:start="324pt" w:hanging="18pt"/>
      </w:pPr>
    </w:lvl>
  </w:abstractNum>
  <w:abstractNum w:abstractNumId="4" w15:restartNumberingAfterBreak="0">
    <w:nsid w:val="00000005"/>
    <w:multiLevelType w:val="multilevel"/>
    <w:tmpl w:val="00000004"/>
    <w:lvl w:ilvl="0">
      <w:start w:val="1"/>
      <w:numFmt w:val="bullet"/>
      <w:lvlText w:val=""/>
      <w:lvlJc w:val="start"/>
      <w:pPr>
        <w:tabs>
          <w:tab w:val="num" w:pos="0pt"/>
        </w:tabs>
        <w:ind w:start="36pt" w:hanging="18pt"/>
      </w:pPr>
      <w:rPr>
        <w:rFonts w:ascii="Symbol" w:eastAsia="Symbol" w:hAnsi="Symbol" w:cs="Symbol"/>
        <w:b w:val="0"/>
        <w:i w:val="0"/>
        <w:caps w:val="0"/>
        <w:smallCaps w:val="0"/>
        <w:strike w:val="0"/>
        <w:color w:val="000000"/>
        <w:sz w:val="24"/>
        <w:u w:val="none"/>
        <w:shd w:val="clear" w:color="auto" w:fill="FFFFFF"/>
        <w:vertAlign w:val="baseline"/>
      </w:rPr>
    </w:lvl>
    <w:lvl w:ilvl="1">
      <w:start w:val="1"/>
      <w:numFmt w:val="bullet"/>
      <w:lvlText w:val="o"/>
      <w:lvlJc w:val="start"/>
      <w:pPr>
        <w:tabs>
          <w:tab w:val="num" w:pos="0pt"/>
        </w:tabs>
        <w:ind w:start="72pt" w:hanging="18pt"/>
      </w:pPr>
    </w:lvl>
    <w:lvl w:ilvl="2">
      <w:start w:val="1"/>
      <w:numFmt w:val="bullet"/>
      <w:lvlText w:val=""/>
      <w:lvlJc w:val="start"/>
      <w:pPr>
        <w:tabs>
          <w:tab w:val="num" w:pos="0pt"/>
        </w:tabs>
        <w:ind w:start="108pt" w:hanging="18pt"/>
      </w:pPr>
    </w:lvl>
    <w:lvl w:ilvl="3">
      <w:start w:val="1"/>
      <w:numFmt w:val="bullet"/>
      <w:lvlText w:val=""/>
      <w:lvlJc w:val="start"/>
      <w:pPr>
        <w:tabs>
          <w:tab w:val="num" w:pos="0pt"/>
        </w:tabs>
        <w:ind w:start="144pt" w:hanging="18pt"/>
      </w:pPr>
    </w:lvl>
    <w:lvl w:ilvl="4">
      <w:start w:val="1"/>
      <w:numFmt w:val="bullet"/>
      <w:lvlText w:val="o"/>
      <w:lvlJc w:val="start"/>
      <w:pPr>
        <w:tabs>
          <w:tab w:val="num" w:pos="0pt"/>
        </w:tabs>
        <w:ind w:start="180pt" w:hanging="18pt"/>
      </w:pPr>
    </w:lvl>
    <w:lvl w:ilvl="5">
      <w:start w:val="1"/>
      <w:numFmt w:val="bullet"/>
      <w:lvlText w:val=""/>
      <w:lvlJc w:val="start"/>
      <w:pPr>
        <w:tabs>
          <w:tab w:val="num" w:pos="0pt"/>
        </w:tabs>
        <w:ind w:start="216pt" w:hanging="18pt"/>
      </w:pPr>
    </w:lvl>
    <w:lvl w:ilvl="6">
      <w:start w:val="1"/>
      <w:numFmt w:val="bullet"/>
      <w:lvlText w:val=""/>
      <w:lvlJc w:val="start"/>
      <w:pPr>
        <w:tabs>
          <w:tab w:val="num" w:pos="0pt"/>
        </w:tabs>
        <w:ind w:start="252pt" w:hanging="18pt"/>
      </w:pPr>
    </w:lvl>
    <w:lvl w:ilvl="7">
      <w:start w:val="1"/>
      <w:numFmt w:val="bullet"/>
      <w:lvlText w:val="o"/>
      <w:lvlJc w:val="start"/>
      <w:pPr>
        <w:tabs>
          <w:tab w:val="num" w:pos="0pt"/>
        </w:tabs>
        <w:ind w:start="288pt" w:hanging="18pt"/>
      </w:pPr>
    </w:lvl>
    <w:lvl w:ilvl="8">
      <w:start w:val="1"/>
      <w:numFmt w:val="bullet"/>
      <w:lvlText w:val=""/>
      <w:lvlJc w:val="start"/>
      <w:pPr>
        <w:tabs>
          <w:tab w:val="num" w:pos="0pt"/>
        </w:tabs>
        <w:ind w:start="324pt" w:hanging="18pt"/>
      </w:pPr>
    </w:lvl>
  </w:abstractNum>
  <w:abstractNum w:abstractNumId="5" w15:restartNumberingAfterBreak="0">
    <w:nsid w:val="00000006"/>
    <w:multiLevelType w:val="hybridMultilevel"/>
    <w:tmpl w:val="00000006"/>
    <w:lvl w:ilvl="0" w:tplc="E440183A">
      <w:start w:val="1"/>
      <w:numFmt w:val="bullet"/>
      <w:lvlText w:val=""/>
      <w:lvlJc w:val="start"/>
      <w:pPr>
        <w:tabs>
          <w:tab w:val="num" w:pos="36pt"/>
        </w:tabs>
        <w:ind w:start="36pt" w:hanging="18pt"/>
      </w:pPr>
      <w:rPr>
        <w:rFonts w:ascii="Symbol" w:hAnsi="Symbol"/>
      </w:rPr>
    </w:lvl>
    <w:lvl w:ilvl="1" w:tplc="EA80CA42">
      <w:start w:val="1"/>
      <w:numFmt w:val="bullet"/>
      <w:lvlText w:val="o"/>
      <w:lvlJc w:val="start"/>
      <w:pPr>
        <w:tabs>
          <w:tab w:val="num" w:pos="72pt"/>
        </w:tabs>
        <w:ind w:start="72pt" w:hanging="18pt"/>
      </w:pPr>
      <w:rPr>
        <w:rFonts w:ascii="Courier New" w:hAnsi="Courier New"/>
      </w:rPr>
    </w:lvl>
    <w:lvl w:ilvl="2" w:tplc="E1A878E6">
      <w:start w:val="1"/>
      <w:numFmt w:val="bullet"/>
      <w:lvlText w:val=""/>
      <w:lvlJc w:val="start"/>
      <w:pPr>
        <w:tabs>
          <w:tab w:val="num" w:pos="108pt"/>
        </w:tabs>
        <w:ind w:start="108pt" w:hanging="18pt"/>
      </w:pPr>
      <w:rPr>
        <w:rFonts w:ascii="Wingdings" w:hAnsi="Wingdings"/>
      </w:rPr>
    </w:lvl>
    <w:lvl w:ilvl="3" w:tplc="7D4407B4">
      <w:start w:val="1"/>
      <w:numFmt w:val="bullet"/>
      <w:lvlText w:val=""/>
      <w:lvlJc w:val="start"/>
      <w:pPr>
        <w:tabs>
          <w:tab w:val="num" w:pos="144pt"/>
        </w:tabs>
        <w:ind w:start="144pt" w:hanging="18pt"/>
      </w:pPr>
      <w:rPr>
        <w:rFonts w:ascii="Symbol" w:hAnsi="Symbol"/>
      </w:rPr>
    </w:lvl>
    <w:lvl w:ilvl="4" w:tplc="F1C6E1EC">
      <w:start w:val="1"/>
      <w:numFmt w:val="bullet"/>
      <w:lvlText w:val="o"/>
      <w:lvlJc w:val="start"/>
      <w:pPr>
        <w:tabs>
          <w:tab w:val="num" w:pos="180pt"/>
        </w:tabs>
        <w:ind w:start="180pt" w:hanging="18pt"/>
      </w:pPr>
      <w:rPr>
        <w:rFonts w:ascii="Courier New" w:hAnsi="Courier New"/>
      </w:rPr>
    </w:lvl>
    <w:lvl w:ilvl="5" w:tplc="CE4AA3C0">
      <w:start w:val="1"/>
      <w:numFmt w:val="bullet"/>
      <w:lvlText w:val=""/>
      <w:lvlJc w:val="start"/>
      <w:pPr>
        <w:tabs>
          <w:tab w:val="num" w:pos="216pt"/>
        </w:tabs>
        <w:ind w:start="216pt" w:hanging="18pt"/>
      </w:pPr>
      <w:rPr>
        <w:rFonts w:ascii="Wingdings" w:hAnsi="Wingdings"/>
      </w:rPr>
    </w:lvl>
    <w:lvl w:ilvl="6" w:tplc="8DA8D300">
      <w:start w:val="1"/>
      <w:numFmt w:val="bullet"/>
      <w:lvlText w:val=""/>
      <w:lvlJc w:val="start"/>
      <w:pPr>
        <w:tabs>
          <w:tab w:val="num" w:pos="252pt"/>
        </w:tabs>
        <w:ind w:start="252pt" w:hanging="18pt"/>
      </w:pPr>
      <w:rPr>
        <w:rFonts w:ascii="Symbol" w:hAnsi="Symbol"/>
      </w:rPr>
    </w:lvl>
    <w:lvl w:ilvl="7" w:tplc="641E3BAA">
      <w:start w:val="1"/>
      <w:numFmt w:val="bullet"/>
      <w:lvlText w:val="o"/>
      <w:lvlJc w:val="start"/>
      <w:pPr>
        <w:tabs>
          <w:tab w:val="num" w:pos="288pt"/>
        </w:tabs>
        <w:ind w:start="288pt" w:hanging="18pt"/>
      </w:pPr>
      <w:rPr>
        <w:rFonts w:ascii="Courier New" w:hAnsi="Courier New"/>
      </w:rPr>
    </w:lvl>
    <w:lvl w:ilvl="8" w:tplc="7AB03242">
      <w:start w:val="1"/>
      <w:numFmt w:val="bullet"/>
      <w:lvlText w:val=""/>
      <w:lvlJc w:val="start"/>
      <w:pPr>
        <w:tabs>
          <w:tab w:val="num" w:pos="324pt"/>
        </w:tabs>
        <w:ind w:start="324pt" w:hanging="18pt"/>
      </w:pPr>
      <w:rPr>
        <w:rFonts w:ascii="Wingdings" w:hAnsi="Wingdings"/>
      </w:rPr>
    </w:lvl>
  </w:abstractNum>
  <w:abstractNum w:abstractNumId="6" w15:restartNumberingAfterBreak="0">
    <w:nsid w:val="78355D2E"/>
    <w:multiLevelType w:val="hybridMultilevel"/>
    <w:tmpl w:val="0804E420"/>
    <w:lvl w:ilvl="0" w:tplc="04090001">
      <w:start w:val="1"/>
      <w:numFmt w:val="bullet"/>
      <w:lvlText w:val=""/>
      <w:lvlJc w:val="start"/>
      <w:pPr>
        <w:ind w:start="18pt" w:hanging="18pt"/>
      </w:pPr>
      <w:rPr>
        <w:rFonts w:ascii="Symbol" w:hAnsi="Symbol" w:hint="default"/>
      </w:rPr>
    </w:lvl>
    <w:lvl w:ilvl="1" w:tplc="04090003">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num w:numId="1" w16cid:durableId="1163358102">
    <w:abstractNumId w:val="0"/>
  </w:num>
  <w:num w:numId="2" w16cid:durableId="1672489474">
    <w:abstractNumId w:val="1"/>
  </w:num>
  <w:num w:numId="3" w16cid:durableId="739712533">
    <w:abstractNumId w:val="2"/>
  </w:num>
  <w:num w:numId="4" w16cid:durableId="1673022392">
    <w:abstractNumId w:val="3"/>
  </w:num>
  <w:num w:numId="5" w16cid:durableId="429551550">
    <w:abstractNumId w:val="4"/>
  </w:num>
  <w:num w:numId="6" w16cid:durableId="405106919">
    <w:abstractNumId w:val="5"/>
  </w:num>
  <w:num w:numId="7" w16cid:durableId="2122530536">
    <w:abstractNumId w:val="6"/>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bordersDoNotSurroundHeader/>
  <w:bordersDoNotSurroundFooter/>
  <w:proofState w:spelling="clean" w:grammar="clean"/>
  <w:stylePaneFormatFilter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4.50pt"/>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B3E"/>
    <w:rsid w:val="00045A38"/>
    <w:rsid w:val="000507AC"/>
    <w:rsid w:val="00093D23"/>
    <w:rsid w:val="000B5C72"/>
    <w:rsid w:val="000E4132"/>
    <w:rsid w:val="000E5CC7"/>
    <w:rsid w:val="00106674"/>
    <w:rsid w:val="001243F0"/>
    <w:rsid w:val="001404B7"/>
    <w:rsid w:val="00196158"/>
    <w:rsid w:val="001B7766"/>
    <w:rsid w:val="001B7C02"/>
    <w:rsid w:val="001D49C2"/>
    <w:rsid w:val="001D6501"/>
    <w:rsid w:val="0022146D"/>
    <w:rsid w:val="00284EEE"/>
    <w:rsid w:val="00295C7C"/>
    <w:rsid w:val="002A3B32"/>
    <w:rsid w:val="002C50AC"/>
    <w:rsid w:val="002E5048"/>
    <w:rsid w:val="00303BE2"/>
    <w:rsid w:val="0031482F"/>
    <w:rsid w:val="00315AE3"/>
    <w:rsid w:val="00393363"/>
    <w:rsid w:val="003D3B73"/>
    <w:rsid w:val="003E2A6C"/>
    <w:rsid w:val="00511229"/>
    <w:rsid w:val="005553BE"/>
    <w:rsid w:val="005D1747"/>
    <w:rsid w:val="0061385C"/>
    <w:rsid w:val="00615B6D"/>
    <w:rsid w:val="006425C1"/>
    <w:rsid w:val="00667D98"/>
    <w:rsid w:val="006A7EE1"/>
    <w:rsid w:val="006B55A7"/>
    <w:rsid w:val="006D63DB"/>
    <w:rsid w:val="006F244A"/>
    <w:rsid w:val="007123BF"/>
    <w:rsid w:val="00714824"/>
    <w:rsid w:val="00714BF9"/>
    <w:rsid w:val="0073263D"/>
    <w:rsid w:val="007A3DD2"/>
    <w:rsid w:val="007C69C9"/>
    <w:rsid w:val="007D17E9"/>
    <w:rsid w:val="007D415C"/>
    <w:rsid w:val="007D468E"/>
    <w:rsid w:val="007D670F"/>
    <w:rsid w:val="007F6DC8"/>
    <w:rsid w:val="00827CDB"/>
    <w:rsid w:val="00844AA0"/>
    <w:rsid w:val="0084666D"/>
    <w:rsid w:val="008612CA"/>
    <w:rsid w:val="00865C14"/>
    <w:rsid w:val="008A7460"/>
    <w:rsid w:val="008B22AE"/>
    <w:rsid w:val="008C1559"/>
    <w:rsid w:val="008F4280"/>
    <w:rsid w:val="00926B6F"/>
    <w:rsid w:val="009278A0"/>
    <w:rsid w:val="00930045"/>
    <w:rsid w:val="009E76CA"/>
    <w:rsid w:val="00A00EB1"/>
    <w:rsid w:val="00A024EB"/>
    <w:rsid w:val="00A064E4"/>
    <w:rsid w:val="00A11364"/>
    <w:rsid w:val="00A15075"/>
    <w:rsid w:val="00A22A53"/>
    <w:rsid w:val="00A24B63"/>
    <w:rsid w:val="00A363B1"/>
    <w:rsid w:val="00A4366F"/>
    <w:rsid w:val="00A77B3E"/>
    <w:rsid w:val="00A87079"/>
    <w:rsid w:val="00A94394"/>
    <w:rsid w:val="00A96B66"/>
    <w:rsid w:val="00AC703F"/>
    <w:rsid w:val="00AD3471"/>
    <w:rsid w:val="00AF1084"/>
    <w:rsid w:val="00B80DD4"/>
    <w:rsid w:val="00BC0756"/>
    <w:rsid w:val="00BE159A"/>
    <w:rsid w:val="00C20F07"/>
    <w:rsid w:val="00C24E3A"/>
    <w:rsid w:val="00C400A5"/>
    <w:rsid w:val="00C57EA7"/>
    <w:rsid w:val="00C604FA"/>
    <w:rsid w:val="00CA2A55"/>
    <w:rsid w:val="00CC0016"/>
    <w:rsid w:val="00CC2D9B"/>
    <w:rsid w:val="00CE4171"/>
    <w:rsid w:val="00D41671"/>
    <w:rsid w:val="00D54F40"/>
    <w:rsid w:val="00D577C9"/>
    <w:rsid w:val="00D611BF"/>
    <w:rsid w:val="00D946AD"/>
    <w:rsid w:val="00D978F6"/>
    <w:rsid w:val="00E21A36"/>
    <w:rsid w:val="00E23252"/>
    <w:rsid w:val="00E60053"/>
    <w:rsid w:val="00EC4658"/>
    <w:rsid w:val="00ED4819"/>
    <w:rsid w:val="00ED6B6A"/>
    <w:rsid w:val="00EE3A41"/>
    <w:rsid w:val="00F06E69"/>
    <w:rsid w:val="00F40B65"/>
    <w:rsid w:val="00F4587C"/>
    <w:rsid w:val="00F70F66"/>
    <w:rsid w:val="00F723FE"/>
    <w:rsid w:val="00FD5F22"/>
    <w:rsid w:val="00FF6E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76942ABB"/>
  <w15:docId w15:val="{995693B1-8DE4-47B3-8E96-D1968CC5D90D}"/>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Cs w:val="24"/>
    </w:rPr>
  </w:style>
  <w:style w:type="paragraph" w:styleId="Heading1">
    <w:name w:val="heading 1"/>
    <w:basedOn w:val="Normal"/>
    <w:next w:val="Normal"/>
    <w:qFormat/>
    <w:rsid w:val="00EF7B96"/>
    <w:pPr>
      <w:keepNext/>
      <w:spacing w:before="12pt" w:after="3pt"/>
      <w:outlineLvl w:val="0"/>
    </w:pPr>
    <w:rPr>
      <w:rFonts w:ascii="Arial" w:hAnsi="Arial" w:cs="Arial"/>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rsid w:val="000F3DF7"/>
    <w:rPr>
      <w:szCs w:val="20"/>
    </w:rPr>
  </w:style>
  <w:style w:type="character" w:customStyle="1" w:styleId="CommentTextChar">
    <w:name w:val="Comment Text Char"/>
    <w:basedOn w:val="DefaultParagraphFont"/>
    <w:link w:val="CommentText"/>
    <w:uiPriority w:val="99"/>
    <w:rsid w:val="000F3DF7"/>
    <w:rPr>
      <w:sz w:val="20"/>
      <w:szCs w:val="20"/>
    </w:rPr>
  </w:style>
  <w:style w:type="numbering" w:customStyle="1" w:styleId="BulletedListPmjSAYz8">
    <w:name w:val="BulletedList:PmjSAYz8"/>
    <w:pPr>
      <w:numPr>
        <w:numId w:val="1"/>
      </w:numPr>
    </w:pPr>
  </w:style>
  <w:style w:type="numbering" w:customStyle="1" w:styleId="BulletedList4hfhP3cD">
    <w:name w:val="BulletedList:4hfhP3cD"/>
    <w:pPr>
      <w:numPr>
        <w:numId w:val="4"/>
      </w:numPr>
    </w:pPr>
  </w:style>
  <w:style w:type="paragraph" w:styleId="NormalWeb">
    <w:name w:val="Normal (Web)"/>
    <w:basedOn w:val="Normal"/>
    <w:uiPriority w:val="99"/>
    <w:unhideWhenUsed/>
    <w:rsid w:val="00F723FE"/>
    <w:pPr>
      <w:spacing w:before="5pt" w:beforeAutospacing="1" w:after="5pt" w:afterAutospacing="1"/>
    </w:pPr>
    <w:rPr>
      <w:sz w:val="24"/>
    </w:rPr>
  </w:style>
  <w:style w:type="character" w:styleId="Strong">
    <w:name w:val="Strong"/>
    <w:basedOn w:val="DefaultParagraphFont"/>
    <w:uiPriority w:val="22"/>
    <w:qFormat/>
    <w:rsid w:val="00F723FE"/>
    <w:rPr>
      <w:b/>
      <w:bCs/>
    </w:rPr>
  </w:style>
  <w:style w:type="paragraph" w:styleId="ListParagraph">
    <w:name w:val="List Paragraph"/>
    <w:basedOn w:val="Normal"/>
    <w:uiPriority w:val="34"/>
    <w:qFormat/>
    <w:rsid w:val="00F723FE"/>
    <w:pPr>
      <w:ind w:start="36pt"/>
      <w:contextualSpacing/>
    </w:pPr>
  </w:style>
  <w:style w:type="paragraph" w:styleId="CommentSubject">
    <w:name w:val="annotation subject"/>
    <w:basedOn w:val="CommentText"/>
    <w:next w:val="CommentText"/>
    <w:link w:val="CommentSubjectChar"/>
    <w:rsid w:val="00BC0756"/>
    <w:rPr>
      <w:b/>
      <w:bCs/>
    </w:rPr>
  </w:style>
  <w:style w:type="character" w:customStyle="1" w:styleId="CommentSubjectChar">
    <w:name w:val="Comment Subject Char"/>
    <w:basedOn w:val="CommentTextChar"/>
    <w:link w:val="CommentSubject"/>
    <w:rsid w:val="00BC0756"/>
    <w:rPr>
      <w:b/>
      <w:bCs/>
      <w:sz w:val="20"/>
      <w:szCs w:val="20"/>
    </w:rPr>
  </w:style>
  <w:style w:type="paragraph" w:styleId="Revision">
    <w:name w:val="Revision"/>
    <w:hidden/>
    <w:uiPriority w:val="99"/>
    <w:semiHidden/>
    <w:rsid w:val="00F4587C"/>
    <w:rPr>
      <w:szCs w:val="24"/>
    </w:rPr>
  </w:style>
  <w:style w:type="character" w:styleId="Hyperlink">
    <w:name w:val="Hyperlink"/>
    <w:basedOn w:val="DefaultParagraphFont"/>
    <w:uiPriority w:val="99"/>
    <w:unhideWhenUsed/>
    <w:rsid w:val="006A7EE1"/>
    <w:rPr>
      <w:color w:val="0000FF" w:themeColor="hyperlink"/>
      <w:u w:val="single"/>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240077">
      <w:bodyDiv w:val="1"/>
      <w:marLeft w:val="0pt"/>
      <w:marRight w:val="0pt"/>
      <w:marTop w:val="0pt"/>
      <w:marBottom w:val="0pt"/>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purl.oclc.org/ooxml/officeDocument/relationships/hyperlink" Target="https://pr.report/f9pmaK8b" TargetMode="External"/><Relationship Id="rId3" Type="http://purl.oclc.org/ooxml/officeDocument/relationships/settings" Target="settings.xml"/><Relationship Id="rId7" Type="http://purl.oclc.org/ooxml/officeDocument/relationships/image" Target="media/image1.png"/><Relationship Id="rId12" Type="http://purl.oclc.org/ooxml/officeDocument/relationships/theme" Target="theme/theme1.xml"/><Relationship Id="rId2" Type="http://purl.oclc.org/ooxml/officeDocument/relationships/styles" Target="styles.xml"/><Relationship Id="rId1" Type="http://purl.oclc.org/ooxml/officeDocument/relationships/numbering" Target="numbering.xml"/><Relationship Id="rId6" Type="http://purl.oclc.org/ooxml/officeDocument/relationships/endnotes" Target="endnotes.xml"/><Relationship Id="rId11" Type="http://purl.oclc.org/ooxml/officeDocument/relationships/fontTable" Target="fontTable.xml"/><Relationship Id="rId5" Type="http://purl.oclc.org/ooxml/officeDocument/relationships/footnotes" Target="footnotes.xml"/><Relationship Id="rId10" Type="http://purl.oclc.org/ooxml/officeDocument/relationships/footer" Target="footer1.xml"/><Relationship Id="rId4" Type="http://purl.oclc.org/ooxml/officeDocument/relationships/webSettings" Target="webSettings.xml"/><Relationship Id="rId9" Type="http://purl.oclc.org/ooxml/officeDocument/relationships/header" Target="header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Tibt" typeface="Microsoft Himalaya"/>
        <a:font script="Khmr" typeface="MoolBoran"/>
        <a:font script="Beng" typeface="Vrinda"/>
        <a:font script="Taml" typeface="Latha"/>
        <a:font script="Hebr" typeface="Times New Roman"/>
        <a:font script="Syrc" typeface="Estrangelo Edessa"/>
        <a:font script="Laoo" typeface="DokChampa"/>
        <a:font script="Cher" typeface="Plantagenet Cherokee"/>
        <a:font script="Thaa" typeface="MV Boli"/>
        <a:font script="Sinh" typeface="Iskoola Pota"/>
        <a:font script="Thai" typeface="Angsana New"/>
        <a:font script="Cans" typeface="Euphemia"/>
        <a:font script="Mong" typeface="Mongolian Baiti"/>
        <a:font script="Knda" typeface="Tunga"/>
        <a:font script="Viet" typeface="Times New Roman"/>
        <a:font script="Deva" typeface="Mangal"/>
        <a:font script="Arab" typeface="Times New Roman"/>
        <a:font script="Orya" typeface="Kalinga"/>
        <a:font script="Jpan" typeface="ＭＳ ゴシック"/>
        <a:font script="Hang" typeface="맑은 고딕"/>
        <a:font script="Ethi" typeface="Nyala"/>
        <a:font script="Guru" typeface="Raavi"/>
        <a:font script="Gujr" typeface="Shruti"/>
        <a:font script="Mlym" typeface="Kartika"/>
        <a:font script="Yiii" typeface="Microsoft Yi Baiti"/>
        <a:font script="Hans" typeface="宋体"/>
        <a:font script="Hant" typeface="新細明體"/>
        <a:font script="Telu" typeface="Gautami"/>
        <a:font script="Uigh" typeface="Microsoft Uighur"/>
      </a:majorFont>
      <a:minorFont>
        <a:latin typeface="Calibri"/>
        <a:ea typeface=""/>
        <a:cs typeface=""/>
        <a:font script="Tibt" typeface="Microsoft Himalaya"/>
        <a:font script="Khmr" typeface="DaunPenh"/>
        <a:font script="Beng" typeface="Vrinda"/>
        <a:font script="Taml" typeface="Latha"/>
        <a:font script="Hebr" typeface="Arial"/>
        <a:font script="Syrc" typeface="Estrangelo Edessa"/>
        <a:font script="Laoo" typeface="DokChampa"/>
        <a:font script="Cher" typeface="Plantagenet Cherokee"/>
        <a:font script="Thaa" typeface="MV Boli"/>
        <a:font script="Sinh" typeface="Iskoola Pota"/>
        <a:font script="Thai" typeface="Cordia New"/>
        <a:font script="Cans" typeface="Euphemia"/>
        <a:font script="Mong" typeface="Mongolian Baiti"/>
        <a:font script="Knda" typeface="Tunga"/>
        <a:font script="Viet" typeface="Arial"/>
        <a:font script="Deva" typeface="Mangal"/>
        <a:font script="Arab" typeface="Arial"/>
        <a:font script="Orya" typeface="Kalinga"/>
        <a:font script="Jpan" typeface="ＭＳ 明朝"/>
        <a:font script="Hang" typeface="맑은 고딕"/>
        <a:font script="Ethi" typeface="Nyala"/>
        <a:font script="Guru" typeface="Raavi"/>
        <a:font script="Gujr" typeface="Shruti"/>
        <a:font script="Mlym" typeface="Kartika"/>
        <a:font script="Yiii" typeface="Microsoft Yi Baiti"/>
        <a:font script="Hans" typeface="宋体"/>
        <a:font script="Hant" typeface="新細明體"/>
        <a:font script="Telu" typeface="Gautami"/>
        <a:font script="Uigh" typeface="Microsoft Uighur"/>
      </a:minorFont>
    </a:fontScheme>
    <a:fmtScheme name="Office">
      <a:fillStyleLst>
        <a:solidFill>
          <a:schemeClr val="phClr"/>
        </a:solidFill>
        <a:gradFill rotWithShape="1">
          <a:gsLst>
            <a:gs pos="0%">
              <a:schemeClr val="phClr">
                <a:tint val="50%"/>
                <a:satMod val="300%"/>
              </a:schemeClr>
            </a:gs>
            <a:gs pos="35%">
              <a:schemeClr val="phClr">
                <a:tint val="37%"/>
                <a:satMod val="300%"/>
              </a:schemeClr>
            </a:gs>
            <a:gs pos="100%">
              <a:schemeClr val="phClr">
                <a:tint val="15%"/>
                <a:satMod val="350%"/>
              </a:schemeClr>
            </a:gs>
          </a:gsLst>
          <a:lin ang="16200000" scaled="1"/>
        </a:gradFill>
        <a:gradFill rotWithShape="1">
          <a:gsLst>
            <a:gs pos="0%">
              <a:schemeClr val="phClr">
                <a:shade val="51%"/>
                <a:satMod val="130%"/>
              </a:schemeClr>
            </a:gs>
            <a:gs pos="80%">
              <a:schemeClr val="phClr">
                <a:shade val="93%"/>
                <a:satMod val="130%"/>
              </a:schemeClr>
            </a:gs>
            <a:gs pos="100%">
              <a:schemeClr val="phClr">
                <a:shade val="94%"/>
                <a:satMod val="135%"/>
              </a:schemeClr>
            </a:gs>
          </a:gsLst>
          <a:lin ang="16200000" scaled="0"/>
        </a:gradFill>
      </a:fillStyleLst>
      <a:lnStyleLst>
        <a:ln w="9525">
          <a:solidFill>
            <a:schemeClr val="phClr">
              <a:shade val="95%"/>
              <a:satMod val="105%"/>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
              </a:srgbClr>
            </a:outerShdw>
          </a:effectLst>
        </a:effectStyle>
        <a:effectStyle>
          <a:effectLst>
            <a:outerShdw blurRad="40000" dist="23000" dir="5400000" rotWithShape="0">
              <a:srgbClr val="000000">
                <a:alpha val="35%"/>
              </a:srgbClr>
            </a:outerShdw>
          </a:effectLst>
        </a:effectStyle>
        <a:effectStyle>
          <a:effectLst>
            <a:outerShdw blurRad="40000" dist="23000" dir="5400000" rotWithShape="0">
              <a:srgbClr val="000000">
                <a:alpha val="35%"/>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
                <a:satMod val="350%"/>
              </a:schemeClr>
            </a:gs>
            <a:gs pos="40%">
              <a:schemeClr val="phClr">
                <a:tint val="45%"/>
                <a:shade val="99%"/>
                <a:satMod val="350%"/>
              </a:schemeClr>
            </a:gs>
            <a:gs pos="100%">
              <a:schemeClr val="phClr">
                <a:shade val="20%"/>
                <a:satMod val="255%"/>
              </a:schemeClr>
            </a:gs>
          </a:gsLst>
          <a:path path="circle">
            <a:fillToRect l="50%" t="-80%" r="50%" b="180%"/>
          </a:path>
        </a:gradFill>
        <a:gradFill rotWithShape="1">
          <a:gsLst>
            <a:gs pos="0%">
              <a:schemeClr val="phClr">
                <a:tint val="80%"/>
                <a:satMod val="300%"/>
              </a:schemeClr>
            </a:gs>
            <a:gs pos="100%">
              <a:schemeClr val="phClr">
                <a:shade val="30%"/>
                <a:satMod val="200%"/>
              </a:schemeClr>
            </a:gs>
          </a:gsLst>
          <a:path path="circle">
            <a:fillToRect l="50%" t="50%" r="50%" b="50%"/>
          </a:path>
        </a:gradFill>
      </a:bgFillStyleLst>
    </a:fmtScheme>
  </a:themeElements>
  <a:objectDefaults/>
  <a:extraClrSchemeLst/>
</a:theme>
</file>

<file path=docProps/app.xml><?xml version="1.0" encoding="utf-8"?>
<Properties xmlns="http://purl.oclc.org/ooxml/officeDocument/extendedProperties" xmlns:vt="http://purl.oclc.org/ooxml/officeDocument/docPropsVTypes">
  <Template>Normal.dotm</Template>
  <TotalTime>15</TotalTime>
  <Pages>3</Pages>
  <Words>956</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Kaila Truong</dc:creator>
  <cp:lastModifiedBy>Miriam Miller</cp:lastModifiedBy>
  <cp:revision>4</cp:revision>
  <dcterms:created xsi:type="dcterms:W3CDTF">2025-03-04T02:10:00Z</dcterms:created>
  <dcterms:modified xsi:type="dcterms:W3CDTF">2025-03-05T20:59:00Z</dcterms:modified>
</cp:coreProperties>
</file>