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33C6442F" w14:textId="379E3CB2" w:rsidR="00C13D02" w:rsidRDefault="001E445D">
      <w:pPr>
        <w:jc w:val="center"/>
        <w:rPr>
          <w:b/>
          <w:sz w:val="28"/>
          <w:szCs w:val="28"/>
        </w:rPr>
      </w:pPr>
      <w:r>
        <w:rPr>
          <w:b/>
          <w:sz w:val="28"/>
          <w:szCs w:val="28"/>
        </w:rPr>
        <w:t xml:space="preserve">LQR House Inc. Board of Directors Approves </w:t>
      </w:r>
      <w:r w:rsidR="00A5137E">
        <w:rPr>
          <w:b/>
          <w:sz w:val="28"/>
          <w:szCs w:val="28"/>
        </w:rPr>
        <w:t xml:space="preserve">Purchase of up to $1M </w:t>
      </w:r>
      <w:r>
        <w:rPr>
          <w:b/>
          <w:sz w:val="28"/>
          <w:szCs w:val="28"/>
        </w:rPr>
        <w:t xml:space="preserve">Bitcoin as Treasury Reserve Asset and </w:t>
      </w:r>
      <w:r w:rsidR="00A5137E">
        <w:rPr>
          <w:b/>
          <w:sz w:val="28"/>
          <w:szCs w:val="28"/>
        </w:rPr>
        <w:t xml:space="preserve">Retention of </w:t>
      </w:r>
      <w:r>
        <w:rPr>
          <w:b/>
          <w:sz w:val="28"/>
          <w:szCs w:val="28"/>
        </w:rPr>
        <w:t xml:space="preserve">up to $10M </w:t>
      </w:r>
      <w:r w:rsidR="00A5137E">
        <w:rPr>
          <w:b/>
          <w:sz w:val="28"/>
          <w:szCs w:val="28"/>
        </w:rPr>
        <w:t>Crypto Payments on</w:t>
      </w:r>
      <w:r>
        <w:rPr>
          <w:b/>
          <w:sz w:val="28"/>
          <w:szCs w:val="28"/>
        </w:rPr>
        <w:t xml:space="preserve"> CWSpirits.com</w:t>
      </w:r>
    </w:p>
    <w:p w14:paraId="5832905F" w14:textId="77777777" w:rsidR="00C13D02" w:rsidRDefault="00C13D02">
      <w:pPr>
        <w:rPr>
          <w:b/>
          <w:sz w:val="26"/>
          <w:szCs w:val="26"/>
        </w:rPr>
      </w:pPr>
    </w:p>
    <w:p w14:paraId="26D9696D" w14:textId="54F1628F" w:rsidR="00C13D02" w:rsidRDefault="001E445D">
      <w:pPr>
        <w:rPr>
          <w:color w:val="222222"/>
        </w:rPr>
      </w:pPr>
      <w:r>
        <w:t xml:space="preserve">MIAMI BEACH, FL / ACCESSWIRE / November </w:t>
      </w:r>
      <w:r w:rsidR="00FE7785">
        <w:t>19</w:t>
      </w:r>
      <w:r>
        <w:t>, 2024 / LQR House Inc. (the “Company” or “LQR House”) (</w:t>
      </w:r>
      <w:proofErr w:type="gramStart"/>
      <w:r>
        <w:t>NASDAQ:LQR</w:t>
      </w:r>
      <w:proofErr w:type="gramEnd"/>
      <w:r>
        <w:t xml:space="preserve">), a niche e-commerce platform specializing in the spirits and beverage industry, </w:t>
      </w:r>
      <w:r>
        <w:rPr>
          <w:color w:val="222222"/>
        </w:rPr>
        <w:t>today announced that its Board of Directors has approved the purchase of up to $1 million in Bitcoin as part of its treasury management strategy.</w:t>
      </w:r>
    </w:p>
    <w:p w14:paraId="7DAE3710" w14:textId="77777777" w:rsidR="00C13D02" w:rsidRDefault="001E445D">
      <w:pPr>
        <w:shd w:val="clear" w:color="auto" w:fill="FFFFFF"/>
        <w:spacing w:before="200" w:after="200"/>
      </w:pPr>
      <w:r>
        <w:rPr>
          <w:color w:val="222222"/>
        </w:rPr>
        <w:t xml:space="preserve">In addition, the Company will now accept cryptocurrency payments on </w:t>
      </w:r>
      <w:r>
        <w:rPr>
          <w:b/>
          <w:color w:val="222222"/>
        </w:rPr>
        <w:t>CWSpirits.com</w:t>
      </w:r>
      <w:r>
        <w:rPr>
          <w:color w:val="222222"/>
        </w:rPr>
        <w:t>, giving customers the flexibility to purchase alcohol using digital currencies. As part of this initiative, LQR House has adopted a policy to retain up to $10 million of these crypto payments in Bitcoin, reflecting the Company’s confidence in the long-term potential and value of digital assets.</w:t>
      </w:r>
    </w:p>
    <w:p w14:paraId="1F83510F" w14:textId="3C321A4B" w:rsidR="00C13D02" w:rsidRDefault="001E445D">
      <w:pPr>
        <w:spacing w:before="240" w:after="240"/>
      </w:pPr>
      <w:r>
        <w:t>“As Bitcoin continues to gain traction as a</w:t>
      </w:r>
      <w:r w:rsidR="00A5137E">
        <w:t>n</w:t>
      </w:r>
      <w:r>
        <w:t xml:space="preserve"> accepted asset class, we see a unique opportunity to strengthen our treasury with a</w:t>
      </w:r>
      <w:r w:rsidR="00A5137E">
        <w:t>n</w:t>
      </w:r>
      <w:r>
        <w:t xml:space="preserve"> innovative investment,” said Sean Dollinger, CEO of LQR House. “In our opinion, Bitcoin’s inherent scarcity and finite supply position it as a modern hedge against inflation and </w:t>
      </w:r>
      <w:proofErr w:type="gramStart"/>
      <w:r>
        <w:t>a safe haven</w:t>
      </w:r>
      <w:proofErr w:type="gramEnd"/>
      <w:r>
        <w:t xml:space="preserve"> in times of economic uncertainty. We believe Bitcoin aligns with our forward-thinking strategy and complements our mission to drive innovation across all aspects of our business.”</w:t>
      </w:r>
    </w:p>
    <w:p w14:paraId="0BC963D3" w14:textId="69279047" w:rsidR="00C13D02" w:rsidRDefault="001E445D">
      <w:pPr>
        <w:spacing w:before="240" w:after="240"/>
      </w:pPr>
      <w:r>
        <w:t>While Bitcoin will now be integrated into LQR House’s diversified strategy, the Company remains firmly committed to its core operations. This includes executing its previously announced cost-cutting initiatives aimed at enhancing profitability and collaborating closely with its new board members to define and implement the most effective strategies for sustainable growth.</w:t>
      </w:r>
    </w:p>
    <w:p w14:paraId="4807520B" w14:textId="77777777" w:rsidR="00C13D02" w:rsidRDefault="001E445D">
      <w:pPr>
        <w:spacing w:before="240" w:after="240"/>
      </w:pPr>
      <w:r>
        <w:t>LQR House will monitor its Bitcoin holdings closely, ensuring they align with market conditions and the Company’s cash flow requirements.</w:t>
      </w:r>
    </w:p>
    <w:p w14:paraId="5BE35945" w14:textId="77777777" w:rsidR="00C13D02" w:rsidRDefault="00C13D02"/>
    <w:p w14:paraId="3BE48DC6" w14:textId="77777777" w:rsidR="00C13D02" w:rsidRDefault="001E445D">
      <w:pPr>
        <w:jc w:val="both"/>
        <w:rPr>
          <w:b/>
        </w:rPr>
      </w:pPr>
      <w:r>
        <w:rPr>
          <w:b/>
        </w:rPr>
        <w:t>About LQR House Inc.</w:t>
      </w:r>
    </w:p>
    <w:p w14:paraId="4A1FB960" w14:textId="77777777" w:rsidR="00C13D02" w:rsidRDefault="001E445D">
      <w:pPr>
        <w:jc w:val="both"/>
      </w:pPr>
      <w:r>
        <w:t xml:space="preserve">LQR House intends to become a prominent force in the wine and spirits e-commerce sector, epitomized by its flagship alcohol marketplace, cwspirits.com. This platform seamlessly delivers a diverse range of emerging, premium, and luxury spirits, wines, and champagnes from esteemed retail partners like Country Wine &amp; Spirits. Functioning as a technology-driven hub, LQR House utilizes software, data analytics, and artificial intelligence to elevate the consumer experience. CWSpirits.com stands out as the go-to destination for modern, convenience-oriented shoppers, providing a curated selection of alcohol products delivered to homes across the United States. Beyond its role in an e-commerce sector, LQR House is a marketing agency with a specialized focus on the alcohol industry. The Company measures campaign success by directly correlating it with sales on CWSpirits.com, demonstrating a return on investment. Backed by an influential </w:t>
      </w:r>
      <w:r>
        <w:lastRenderedPageBreak/>
        <w:t>network of over 550 figures in the alcohol space, LQR House strategically drives traffic to CWSpirits.com, enhancing brand visibility. LQR House intends to disrupt the traditional landscape of the alcohol industry, driven by its dedication to providing an unparalleled online purchasing experience and delivering tailored marketing solutions.</w:t>
      </w:r>
    </w:p>
    <w:p w14:paraId="3E17668D" w14:textId="77777777" w:rsidR="00C13D02" w:rsidRDefault="00C13D02">
      <w:pPr>
        <w:jc w:val="both"/>
      </w:pPr>
    </w:p>
    <w:p w14:paraId="2E6FAE5D" w14:textId="77777777" w:rsidR="00C13D02" w:rsidRDefault="00C13D02"/>
    <w:p w14:paraId="0D80FC1B" w14:textId="77777777" w:rsidR="00C13D02" w:rsidRDefault="00C13D02">
      <w:pPr>
        <w:rPr>
          <w:b/>
        </w:rPr>
      </w:pPr>
    </w:p>
    <w:p w14:paraId="285454E0" w14:textId="77777777" w:rsidR="00C13D02" w:rsidRDefault="001E445D">
      <w:pPr>
        <w:jc w:val="both"/>
        <w:rPr>
          <w:b/>
        </w:rPr>
      </w:pPr>
      <w:r>
        <w:rPr>
          <w:b/>
        </w:rPr>
        <w:t>Forward-Looking Statements</w:t>
      </w:r>
    </w:p>
    <w:p w14:paraId="4648F0A3" w14:textId="77777777" w:rsidR="00C13D02" w:rsidRDefault="001E445D">
      <w:pPr>
        <w:jc w:val="both"/>
        <w:rPr>
          <w:b/>
        </w:rPr>
      </w:pPr>
      <w:r>
        <w:rPr>
          <w:b/>
        </w:rPr>
        <w:t xml:space="preserve"> </w:t>
      </w:r>
    </w:p>
    <w:p w14:paraId="77448031" w14:textId="77777777" w:rsidR="00C13D02" w:rsidRDefault="001E445D">
      <w:pPr>
        <w:jc w:val="both"/>
      </w:pPr>
      <w:r>
        <w:t>Certain statements in this announcement are forward-looking statements. These forward-looking statements involve known and unknown risks and uncertainties and are based on the Company’s current expectations and projections about future events that the Company believes may affect its financial condition, results of operations, business strategy and financial needs. Shareholders can identify these forward-looking statements by words or phrases such as “may,” “will,” “expect,” “anticipate,” “aim,” “estimate,” “intend,” “plan,” “believe,” “is/are likely to,” “potential,” “continue” or other similar expressions. Forward-looking statements contained in this press release are made only as of the date of this press release. The Company undertakes no obligation to update or revise publicly any forward-looking statements to reflect subsequent occurring events or circumstances, or changes in its expectations that arise after the date hereof, except as may be required by law. These statements are subject to uncertainties and risks including, but not limited to, the uncertainties related to market conditions, and other factors discussed in the “Risk Factors” section of the Company’s Annual Report on Form 10-K for the fiscal year ended December 31, 2023, and in other reports and documents that the Company files from time to time with the United States Securities and Exchange Commission (the "SEC"). You are urged to carefully review and consider any cautionary statements and other disclosures, including the statements made under the headings "Risk Factors". Although the Company believes that the expectations expressed in these forward-looking statements are reasonable, it cannot assure you that such expectations will turn out to be correct, and the Company cautions investors that actual results may differ materially from the anticipated results and encourages investors to review other factors that may affect its future results described in the Company’s Annual Report on Form 10-K for the fiscal year ended December 31, 2023, and in other reports and documents that the Company files from time to time with the SEC. Additional factors are discussed in the Company’s filings with the SEC, which are available for review at</w:t>
      </w:r>
      <w:hyperlink r:id="rId7">
        <w:r>
          <w:rPr>
            <w:color w:val="0000FF"/>
          </w:rPr>
          <w:t xml:space="preserve"> </w:t>
        </w:r>
      </w:hyperlink>
      <w:hyperlink r:id="rId8">
        <w:r>
          <w:rPr>
            <w:color w:val="1155CC"/>
            <w:u w:val="single"/>
          </w:rPr>
          <w:t>www.sec.gov</w:t>
        </w:r>
      </w:hyperlink>
      <w:r>
        <w:t>. References and links to websites have been provided as a convenience, and the information contained on such websites has not been incorporated by reference into this press release.</w:t>
      </w:r>
    </w:p>
    <w:p w14:paraId="19F6D5FC" w14:textId="77777777" w:rsidR="00C13D02" w:rsidRDefault="001E445D">
      <w:pPr>
        <w:jc w:val="both"/>
      </w:pPr>
      <w:r>
        <w:t xml:space="preserve"> </w:t>
      </w:r>
    </w:p>
    <w:p w14:paraId="2D7BD387" w14:textId="77777777" w:rsidR="00C13D02" w:rsidRDefault="001E445D">
      <w:pPr>
        <w:jc w:val="both"/>
      </w:pPr>
      <w:r>
        <w:t>Investor and Media Contact:</w:t>
      </w:r>
    </w:p>
    <w:p w14:paraId="026EB79D" w14:textId="77777777" w:rsidR="00C13D02" w:rsidRDefault="001E445D">
      <w:pPr>
        <w:jc w:val="both"/>
      </w:pPr>
      <w:r>
        <w:t>info@lqrhouse.com</w:t>
      </w:r>
    </w:p>
    <w:p w14:paraId="6C86C625" w14:textId="77777777" w:rsidR="00C13D02" w:rsidRDefault="001E445D">
      <w:pPr>
        <w:jc w:val="both"/>
        <w:rPr>
          <w:b/>
        </w:rPr>
      </w:pPr>
      <w:r>
        <w:rPr>
          <w:b/>
        </w:rPr>
        <w:t xml:space="preserve"> </w:t>
      </w:r>
    </w:p>
    <w:p w14:paraId="096C578F" w14:textId="77777777" w:rsidR="00C13D02" w:rsidRDefault="00C13D02"/>
    <w:sectPr w:rsidR="00C13D02">
      <w:headerReference w:type="default" r:id="rId9"/>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1EF43857" w14:textId="77777777" w:rsidR="001241CB" w:rsidRDefault="001241CB">
      <w:pPr>
        <w:spacing w:line="240" w:lineRule="auto"/>
      </w:pPr>
      <w:r>
        <w:separator/>
      </w:r>
    </w:p>
  </w:endnote>
  <w:endnote w:type="continuationSeparator" w:id="0">
    <w:p w14:paraId="2B8F15C6" w14:textId="77777777" w:rsidR="001241CB" w:rsidRDefault="001241CB">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0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85638E0" w14:textId="77777777" w:rsidR="001241CB" w:rsidRDefault="001241CB">
      <w:pPr>
        <w:spacing w:line="240" w:lineRule="auto"/>
      </w:pPr>
      <w:r>
        <w:separator/>
      </w:r>
    </w:p>
  </w:footnote>
  <w:footnote w:type="continuationSeparator" w:id="0">
    <w:p w14:paraId="1A2003AE" w14:textId="77777777" w:rsidR="001241CB" w:rsidRDefault="001241CB">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6BF9F25" w14:textId="77777777" w:rsidR="00C13D02" w:rsidRDefault="001E445D">
    <w:r>
      <w:rPr>
        <w:noProof/>
      </w:rPr>
      <w:drawing>
        <wp:inline distT="114300" distB="114300" distL="114300" distR="114300" wp14:anchorId="78E13E84" wp14:editId="74283DAB">
          <wp:extent cx="1211382" cy="623888"/>
          <wp:effectExtent l="0" t="0" r="0" b="0"/>
          <wp:docPr id="1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1211382" cy="623888"/>
                  </a:xfrm>
                  <a:prstGeom prst="rect">
                    <a:avLst/>
                  </a:prstGeom>
                  <a:ln/>
                </pic:spPr>
              </pic:pic>
            </a:graphicData>
          </a:graphic>
        </wp:inline>
      </w:drawing>
    </w:r>
  </w:p>
  <w:p w14:paraId="104925E3" w14:textId="77777777" w:rsidR="00C13D02" w:rsidRDefault="00C13D02">
    <w:pPr>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6"/>
  <w:proofState w:spelling="clean" w:grammar="clean"/>
  <w:trackRevision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13D02"/>
    <w:rsid w:val="001241CB"/>
    <w:rsid w:val="001E445D"/>
    <w:rsid w:val="00233AF2"/>
    <w:rsid w:val="00A5137E"/>
    <w:rsid w:val="00C13D02"/>
    <w:rsid w:val="00DF4B7C"/>
    <w:rsid w:val="00EC7DD3"/>
    <w:rsid w:val="00EE0343"/>
    <w:rsid w:val="00FE778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E855248"/>
  <w15:docId w15:val="{43D4CD7C-8F38-456B-8088-6FF80633F6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Arial" w:eastAsia="Arial" w:hAnsi="Arial" w:cs="Arial"/>
        <w:sz w:val="22"/>
        <w:szCs w:val="22"/>
        <w:lang w:val="en"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Revision">
    <w:name w:val="Revision"/>
    <w:hidden/>
    <w:uiPriority w:val="99"/>
    <w:semiHidden/>
    <w:rsid w:val="00233AF2"/>
    <w:pPr>
      <w:spacing w:line="240" w:lineRule="auto"/>
    </w:pPr>
  </w:style>
  <w:style w:type="character" w:styleId="CommentReference">
    <w:name w:val="annotation reference"/>
    <w:basedOn w:val="DefaultParagraphFont"/>
    <w:uiPriority w:val="99"/>
    <w:semiHidden/>
    <w:unhideWhenUsed/>
    <w:rsid w:val="00233AF2"/>
    <w:rPr>
      <w:sz w:val="16"/>
      <w:szCs w:val="16"/>
    </w:rPr>
  </w:style>
  <w:style w:type="paragraph" w:styleId="CommentText">
    <w:name w:val="annotation text"/>
    <w:basedOn w:val="Normal"/>
    <w:link w:val="CommentTextChar"/>
    <w:uiPriority w:val="99"/>
    <w:unhideWhenUsed/>
    <w:rsid w:val="00233AF2"/>
    <w:pPr>
      <w:spacing w:line="240" w:lineRule="auto"/>
    </w:pPr>
    <w:rPr>
      <w:sz w:val="20"/>
      <w:szCs w:val="20"/>
    </w:rPr>
  </w:style>
  <w:style w:type="character" w:customStyle="1" w:styleId="CommentTextChar">
    <w:name w:val="Comment Text Char"/>
    <w:basedOn w:val="DefaultParagraphFont"/>
    <w:link w:val="CommentText"/>
    <w:uiPriority w:val="99"/>
    <w:rsid w:val="00233AF2"/>
    <w:rPr>
      <w:sz w:val="20"/>
      <w:szCs w:val="20"/>
    </w:rPr>
  </w:style>
  <w:style w:type="paragraph" w:styleId="CommentSubject">
    <w:name w:val="annotation subject"/>
    <w:basedOn w:val="CommentText"/>
    <w:next w:val="CommentText"/>
    <w:link w:val="CommentSubjectChar"/>
    <w:uiPriority w:val="99"/>
    <w:semiHidden/>
    <w:unhideWhenUsed/>
    <w:rsid w:val="00233AF2"/>
    <w:rPr>
      <w:b/>
      <w:bCs/>
    </w:rPr>
  </w:style>
  <w:style w:type="character" w:customStyle="1" w:styleId="CommentSubjectChar">
    <w:name w:val="Comment Subject Char"/>
    <w:basedOn w:val="CommentTextChar"/>
    <w:link w:val="CommentSubject"/>
    <w:uiPriority w:val="99"/>
    <w:semiHidden/>
    <w:rsid w:val="00233AF2"/>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s://pr.report/JnzM-ZDU" TargetMode="External"/><Relationship Id="rId3" Type="http://schemas.openxmlformats.org/officeDocument/2006/relationships/settings" Target="settings.xml"/><Relationship Id="rId7" Type="http://schemas.openxmlformats.org/officeDocument/2006/relationships/hyperlink" Target="https://pr.report/JnzM-ZDU"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CwcQmWveMvSwZUjj/BKb9dfrJ1A==">CgMxLjA4AHIhMVI1VUxQdEgtYXV5eTdRY1dzR25qeW85YmZVN1YweGpF</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866</Words>
  <Characters>4938</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Anna Chaykina</dc:creator>
  <cp:lastModifiedBy>Alex Hoff</cp:lastModifiedBy>
  <cp:revision>2</cp:revision>
  <dcterms:created xsi:type="dcterms:W3CDTF">2024-11-19T00:40:00Z</dcterms:created>
  <dcterms:modified xsi:type="dcterms:W3CDTF">2024-11-19T00:40:00Z</dcterms:modified>
</cp:coreProperties>
</file>