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8D96B1" w14:textId="6D80B28D" w:rsidR="00F37323" w:rsidRPr="003C556E" w:rsidRDefault="00571692" w:rsidP="003C556E">
      <w:pPr>
        <w:jc w:val="center"/>
        <w:rPr>
          <w:rFonts w:ascii="Roboto" w:hAnsi="Roboto"/>
          <w:b/>
          <w:bCs/>
          <w:sz w:val="32"/>
          <w:szCs w:val="32"/>
        </w:rPr>
      </w:pPr>
      <w:r>
        <w:rPr>
          <w:rFonts w:ascii="Roboto" w:hAnsi="Roboto"/>
          <w:b/>
          <w:bCs/>
          <w:sz w:val="32"/>
          <w:szCs w:val="32"/>
        </w:rPr>
        <w:t>LIFT</w:t>
      </w:r>
      <w:r w:rsidR="00F37323" w:rsidRPr="00E31871">
        <w:rPr>
          <w:rFonts w:ascii="Roboto" w:hAnsi="Roboto"/>
          <w:b/>
          <w:bCs/>
          <w:sz w:val="32"/>
          <w:szCs w:val="32"/>
        </w:rPr>
        <w:t xml:space="preserve"> announces </w:t>
      </w:r>
      <w:r w:rsidR="003C556E">
        <w:rPr>
          <w:rFonts w:ascii="Roboto" w:hAnsi="Roboto"/>
          <w:b/>
          <w:bCs/>
          <w:sz w:val="32"/>
          <w:szCs w:val="32"/>
        </w:rPr>
        <w:t>i</w:t>
      </w:r>
      <w:r w:rsidR="00F37323" w:rsidRPr="00E31871">
        <w:rPr>
          <w:rFonts w:ascii="Roboto" w:hAnsi="Roboto"/>
          <w:b/>
          <w:bCs/>
          <w:sz w:val="32"/>
          <w:szCs w:val="32"/>
        </w:rPr>
        <w:t>nitial Mineral Resource</w:t>
      </w:r>
      <w:r w:rsidR="00F32632">
        <w:rPr>
          <w:rFonts w:ascii="Roboto" w:hAnsi="Roboto"/>
          <w:b/>
          <w:bCs/>
          <w:sz w:val="32"/>
          <w:szCs w:val="32"/>
        </w:rPr>
        <w:t xml:space="preserve"> of </w:t>
      </w:r>
      <w:r w:rsidR="00F37323" w:rsidRPr="00E31871">
        <w:rPr>
          <w:rFonts w:ascii="Roboto" w:hAnsi="Roboto"/>
          <w:b/>
          <w:bCs/>
          <w:sz w:val="32"/>
          <w:szCs w:val="32"/>
        </w:rPr>
        <w:t>50.4</w:t>
      </w:r>
      <w:r w:rsidR="00F32632">
        <w:rPr>
          <w:rFonts w:ascii="Roboto" w:hAnsi="Roboto"/>
          <w:b/>
          <w:bCs/>
          <w:sz w:val="32"/>
          <w:szCs w:val="32"/>
        </w:rPr>
        <w:t xml:space="preserve"> million </w:t>
      </w:r>
      <w:proofErr w:type="spellStart"/>
      <w:r w:rsidR="00F32632">
        <w:rPr>
          <w:rFonts w:ascii="Roboto" w:hAnsi="Roboto"/>
          <w:b/>
          <w:bCs/>
          <w:sz w:val="32"/>
          <w:szCs w:val="32"/>
        </w:rPr>
        <w:t>tonnes</w:t>
      </w:r>
      <w:proofErr w:type="spellEnd"/>
      <w:r w:rsidR="00F37323" w:rsidRPr="00E31871">
        <w:rPr>
          <w:rFonts w:ascii="Roboto" w:hAnsi="Roboto"/>
          <w:b/>
          <w:bCs/>
          <w:sz w:val="32"/>
          <w:szCs w:val="32"/>
        </w:rPr>
        <w:t xml:space="preserve"> </w:t>
      </w:r>
      <w:r w:rsidR="00F32632">
        <w:rPr>
          <w:rFonts w:ascii="Roboto" w:hAnsi="Roboto"/>
          <w:b/>
          <w:bCs/>
          <w:sz w:val="32"/>
          <w:szCs w:val="32"/>
        </w:rPr>
        <w:t>at</w:t>
      </w:r>
      <w:r w:rsidR="00F37323" w:rsidRPr="00E31871">
        <w:rPr>
          <w:rFonts w:ascii="Roboto" w:hAnsi="Roboto"/>
          <w:b/>
          <w:bCs/>
          <w:sz w:val="32"/>
          <w:szCs w:val="32"/>
        </w:rPr>
        <w:t xml:space="preserve"> 1.00% Li</w:t>
      </w:r>
      <w:r w:rsidR="00F37323" w:rsidRPr="00E31871">
        <w:rPr>
          <w:rFonts w:ascii="Roboto" w:hAnsi="Roboto"/>
          <w:b/>
          <w:bCs/>
          <w:sz w:val="32"/>
          <w:szCs w:val="32"/>
          <w:vertAlign w:val="subscript"/>
        </w:rPr>
        <w:t>2</w:t>
      </w:r>
      <w:r w:rsidR="00F37323" w:rsidRPr="00E31871">
        <w:rPr>
          <w:rFonts w:ascii="Roboto" w:hAnsi="Roboto"/>
          <w:b/>
          <w:bCs/>
          <w:sz w:val="32"/>
          <w:szCs w:val="32"/>
        </w:rPr>
        <w:t>O, at the Yellowknife Lithium Project, NWT</w:t>
      </w:r>
      <w:r w:rsidR="00FB00C6">
        <w:rPr>
          <w:rFonts w:ascii="Roboto" w:hAnsi="Roboto"/>
          <w:b/>
          <w:bCs/>
          <w:sz w:val="32"/>
          <w:szCs w:val="32"/>
        </w:rPr>
        <w:t>, Canada</w:t>
      </w:r>
    </w:p>
    <w:p w14:paraId="049D8550" w14:textId="2D3362B4" w:rsidR="003E1FF4" w:rsidRPr="003E1FF4" w:rsidRDefault="003E1FF4" w:rsidP="003E1FF4">
      <w:pPr>
        <w:jc w:val="both"/>
        <w:rPr>
          <w:rFonts w:ascii="Roboto" w:hAnsi="Roboto"/>
          <w:b/>
          <w:bCs/>
          <w:lang w:val="en-CA"/>
        </w:rPr>
      </w:pPr>
      <w:r w:rsidRPr="003E1FF4">
        <w:rPr>
          <w:rFonts w:ascii="Roboto" w:hAnsi="Roboto"/>
          <w:b/>
          <w:bCs/>
          <w:lang w:val="en-CA"/>
        </w:rPr>
        <w:t>Highlights:</w:t>
      </w:r>
    </w:p>
    <w:p w14:paraId="429F223D" w14:textId="17F77442" w:rsidR="003E1FF4" w:rsidRPr="003E1FF4" w:rsidRDefault="003E1FF4" w:rsidP="003E1FF4">
      <w:pPr>
        <w:numPr>
          <w:ilvl w:val="0"/>
          <w:numId w:val="4"/>
        </w:numPr>
        <w:jc w:val="both"/>
        <w:rPr>
          <w:rFonts w:ascii="Roboto" w:hAnsi="Roboto"/>
        </w:rPr>
      </w:pPr>
      <w:r w:rsidRPr="003E1FF4">
        <w:rPr>
          <w:rFonts w:ascii="Roboto" w:hAnsi="Roboto"/>
          <w:lang w:val="en-CA"/>
        </w:rPr>
        <w:t>The maiden resource estimate at the Yellowknife Lithium Project represents the 3</w:t>
      </w:r>
      <w:r w:rsidRPr="003E1FF4">
        <w:rPr>
          <w:rFonts w:ascii="Roboto" w:hAnsi="Roboto"/>
          <w:vertAlign w:val="superscript"/>
          <w:lang w:val="en-CA"/>
        </w:rPr>
        <w:t>rd</w:t>
      </w:r>
      <w:r w:rsidRPr="003E1FF4">
        <w:rPr>
          <w:rFonts w:ascii="Roboto" w:hAnsi="Roboto"/>
          <w:lang w:val="en-CA"/>
        </w:rPr>
        <w:t xml:space="preserve"> largest hard-rock maiden resource estimate in Canada and the 10</w:t>
      </w:r>
      <w:r w:rsidRPr="003E1FF4">
        <w:rPr>
          <w:rFonts w:ascii="Roboto" w:hAnsi="Roboto"/>
          <w:vertAlign w:val="superscript"/>
          <w:lang w:val="en-CA"/>
        </w:rPr>
        <w:t>th</w:t>
      </w:r>
      <w:r w:rsidRPr="003E1FF4">
        <w:rPr>
          <w:rFonts w:ascii="Roboto" w:hAnsi="Roboto"/>
          <w:lang w:val="en-CA"/>
        </w:rPr>
        <w:t xml:space="preserve"> largest hosted in the Western Hemisphere.</w:t>
      </w:r>
    </w:p>
    <w:p w14:paraId="5BE9EAC7" w14:textId="46E8195B" w:rsidR="003E1FF4" w:rsidRPr="003E1FF4" w:rsidRDefault="003E1FF4" w:rsidP="003E1FF4">
      <w:pPr>
        <w:numPr>
          <w:ilvl w:val="0"/>
          <w:numId w:val="4"/>
        </w:numPr>
        <w:jc w:val="both"/>
        <w:rPr>
          <w:rFonts w:ascii="Roboto" w:hAnsi="Roboto"/>
          <w:lang w:val="en-CA"/>
        </w:rPr>
      </w:pPr>
      <w:r w:rsidRPr="003E1FF4">
        <w:rPr>
          <w:rFonts w:ascii="Roboto" w:hAnsi="Roboto"/>
          <w:lang w:val="en-CA"/>
        </w:rPr>
        <w:t>6 of the 8 spodumene dykes included in the maiden resource estimate have unconstrained mineralization, providing significant opportunity for growth.</w:t>
      </w:r>
    </w:p>
    <w:p w14:paraId="44597F6F" w14:textId="6385480A" w:rsidR="003E1FF4" w:rsidRDefault="003E1FF4" w:rsidP="003E1FF4">
      <w:pPr>
        <w:numPr>
          <w:ilvl w:val="0"/>
          <w:numId w:val="4"/>
        </w:numPr>
        <w:jc w:val="both"/>
        <w:rPr>
          <w:rFonts w:ascii="Roboto" w:hAnsi="Roboto"/>
          <w:lang w:val="en-CA"/>
        </w:rPr>
      </w:pPr>
      <w:r w:rsidRPr="003E1FF4">
        <w:rPr>
          <w:rFonts w:ascii="Roboto" w:hAnsi="Roboto"/>
          <w:lang w:val="en-CA"/>
        </w:rPr>
        <w:t>5 undrilled spodumene dykes hosted within the Yellowknife Lithium Project that were not included in the maiden resource estimate have excellent potential to further expand the resource profile.</w:t>
      </w:r>
    </w:p>
    <w:p w14:paraId="36300EA5" w14:textId="338859CE" w:rsidR="003E1FF4" w:rsidRPr="003E1FF4" w:rsidRDefault="003E1FF4" w:rsidP="003E1FF4">
      <w:pPr>
        <w:numPr>
          <w:ilvl w:val="0"/>
          <w:numId w:val="4"/>
        </w:numPr>
        <w:jc w:val="both"/>
        <w:rPr>
          <w:rFonts w:ascii="Roboto" w:hAnsi="Roboto"/>
          <w:lang w:val="en-CA"/>
        </w:rPr>
      </w:pPr>
      <w:r w:rsidRPr="003E1FF4">
        <w:rPr>
          <w:rFonts w:ascii="Roboto" w:hAnsi="Roboto"/>
          <w:lang w:val="en-CA"/>
        </w:rPr>
        <w:t>The maiden resource estimate is only based on 10 months and 4</w:t>
      </w:r>
      <w:r w:rsidR="00CE37FA">
        <w:rPr>
          <w:rFonts w:ascii="Roboto" w:hAnsi="Roboto"/>
          <w:lang w:val="en-CA"/>
        </w:rPr>
        <w:t>9</w:t>
      </w:r>
      <w:r w:rsidRPr="003E1FF4">
        <w:rPr>
          <w:rFonts w:ascii="Roboto" w:hAnsi="Roboto"/>
          <w:lang w:val="en-CA"/>
        </w:rPr>
        <w:t>,5</w:t>
      </w:r>
      <w:r w:rsidR="00CE37FA">
        <w:rPr>
          <w:rFonts w:ascii="Roboto" w:hAnsi="Roboto"/>
          <w:lang w:val="en-CA"/>
        </w:rPr>
        <w:t>4</w:t>
      </w:r>
      <w:r w:rsidRPr="003E1FF4">
        <w:rPr>
          <w:rFonts w:ascii="Roboto" w:hAnsi="Roboto"/>
          <w:lang w:val="en-CA"/>
        </w:rPr>
        <w:t>8 m of drilling (286 drill holes from June 2023 to April 2024).</w:t>
      </w:r>
    </w:p>
    <w:p w14:paraId="52C0255C" w14:textId="4B7E4870" w:rsidR="003E1FF4" w:rsidRDefault="003E1FF4" w:rsidP="003E1FF4">
      <w:pPr>
        <w:numPr>
          <w:ilvl w:val="0"/>
          <w:numId w:val="4"/>
        </w:numPr>
        <w:jc w:val="both"/>
        <w:rPr>
          <w:rFonts w:ascii="Roboto" w:hAnsi="Roboto"/>
          <w:lang w:val="en-CA"/>
        </w:rPr>
      </w:pPr>
      <w:r w:rsidRPr="003E1FF4">
        <w:rPr>
          <w:rFonts w:ascii="Roboto" w:hAnsi="Roboto"/>
          <w:lang w:val="en-CA"/>
        </w:rPr>
        <w:t>The maiden resource estimate further positions the Yellowknife Lithium Project as a globally significant source of spodumene and will underpin a preliminary economic assessment that is on track to be completed in Q2 2025.</w:t>
      </w:r>
    </w:p>
    <w:p w14:paraId="293F6084" w14:textId="4A74CF90" w:rsidR="00FB00C6" w:rsidRPr="00FB00C6" w:rsidRDefault="00FB00C6" w:rsidP="00FB00C6">
      <w:pPr>
        <w:pStyle w:val="ListParagraph"/>
        <w:numPr>
          <w:ilvl w:val="0"/>
          <w:numId w:val="4"/>
        </w:numPr>
        <w:spacing w:line="240" w:lineRule="auto"/>
        <w:jc w:val="both"/>
        <w:rPr>
          <w:rFonts w:ascii="Roboto" w:hAnsi="Roboto"/>
        </w:rPr>
      </w:pPr>
      <w:r w:rsidRPr="003E1FF4">
        <w:rPr>
          <w:rFonts w:ascii="Roboto" w:hAnsi="Roboto"/>
        </w:rPr>
        <w:t>Excellent access to infrastructure</w:t>
      </w:r>
      <w:r w:rsidRPr="00741DFC">
        <w:rPr>
          <w:rFonts w:ascii="Roboto" w:hAnsi="Roboto"/>
        </w:rPr>
        <w:t xml:space="preserve">, including the Ingraham Trail running through part of </w:t>
      </w:r>
      <w:r>
        <w:rPr>
          <w:rFonts w:ascii="Roboto" w:hAnsi="Roboto"/>
        </w:rPr>
        <w:t xml:space="preserve">the </w:t>
      </w:r>
      <w:r w:rsidRPr="00741DFC">
        <w:rPr>
          <w:rFonts w:ascii="Roboto" w:hAnsi="Roboto"/>
        </w:rPr>
        <w:t>mineral resource, proximity to rail at Hay River,</w:t>
      </w:r>
      <w:r>
        <w:rPr>
          <w:rFonts w:ascii="Roboto" w:hAnsi="Roboto"/>
        </w:rPr>
        <w:t xml:space="preserve"> existing powerlines outside of Yellowknife,</w:t>
      </w:r>
      <w:r w:rsidRPr="00741DFC">
        <w:rPr>
          <w:rFonts w:ascii="Roboto" w:hAnsi="Roboto"/>
        </w:rPr>
        <w:t xml:space="preserve"> and access to major ports in Prince Rupert and Vancouver for shipment</w:t>
      </w:r>
      <w:r>
        <w:rPr>
          <w:rFonts w:ascii="Roboto" w:hAnsi="Roboto"/>
        </w:rPr>
        <w:t xml:space="preserve"> to Asian markets</w:t>
      </w:r>
      <w:r w:rsidRPr="00741DFC">
        <w:rPr>
          <w:rFonts w:ascii="Roboto" w:hAnsi="Roboto"/>
        </w:rPr>
        <w:t xml:space="preserve">. </w:t>
      </w:r>
    </w:p>
    <w:p w14:paraId="5A03FEE7" w14:textId="496135B3" w:rsidR="003E1FF4" w:rsidRPr="003E1FF4" w:rsidRDefault="003E1FF4" w:rsidP="003E1FF4">
      <w:pPr>
        <w:numPr>
          <w:ilvl w:val="0"/>
          <w:numId w:val="4"/>
        </w:numPr>
        <w:jc w:val="both"/>
        <w:rPr>
          <w:rFonts w:ascii="Roboto" w:hAnsi="Roboto"/>
        </w:rPr>
      </w:pPr>
      <w:r w:rsidRPr="003E1FF4">
        <w:rPr>
          <w:rFonts w:ascii="Roboto" w:hAnsi="Roboto"/>
          <w:lang w:val="en-CA"/>
        </w:rPr>
        <w:t>The x-ray diffraction analysis and pilot-scale testing completed as part of the Yellowknife Lithium Project metallurgical program (see press release dated September 23, 2024) provides confirmation of simple lithium mineralogy and that low-cost dense medium separation (“DMS”) is suitable for the spodumene dykes included the maiden resource estimate.</w:t>
      </w:r>
    </w:p>
    <w:p w14:paraId="5EA25C9D" w14:textId="77777777" w:rsidR="00FB00C6" w:rsidRPr="00FB00C6" w:rsidRDefault="00FB00C6" w:rsidP="00FB00C6">
      <w:pPr>
        <w:pStyle w:val="ListParagraph"/>
        <w:spacing w:line="240" w:lineRule="auto"/>
        <w:ind w:left="360"/>
        <w:jc w:val="both"/>
        <w:rPr>
          <w:rFonts w:ascii="Roboto" w:hAnsi="Roboto"/>
        </w:rPr>
      </w:pPr>
    </w:p>
    <w:p w14:paraId="404431C1" w14:textId="6F139FC1" w:rsidR="00F32632" w:rsidRDefault="00F37323" w:rsidP="00E31871">
      <w:pPr>
        <w:jc w:val="both"/>
        <w:rPr>
          <w:rFonts w:ascii="Roboto" w:hAnsi="Roboto"/>
        </w:rPr>
      </w:pPr>
      <w:r w:rsidRPr="00E31871">
        <w:rPr>
          <w:rFonts w:ascii="Roboto" w:hAnsi="Roboto"/>
          <w:b/>
          <w:bCs/>
        </w:rPr>
        <w:t>October 1, 2024 – Vancouver, B.C., </w:t>
      </w:r>
      <w:r w:rsidRPr="00E31871">
        <w:rPr>
          <w:rFonts w:ascii="Roboto" w:hAnsi="Roboto"/>
        </w:rPr>
        <w:t>Li-FT Power Ltd. (“</w:t>
      </w:r>
      <w:r w:rsidRPr="00E31871">
        <w:rPr>
          <w:rFonts w:ascii="Roboto" w:hAnsi="Roboto"/>
          <w:b/>
          <w:bCs/>
        </w:rPr>
        <w:t>LIFT</w:t>
      </w:r>
      <w:r w:rsidRPr="00E31871">
        <w:rPr>
          <w:rFonts w:ascii="Roboto" w:hAnsi="Roboto"/>
        </w:rPr>
        <w:t>” or the “</w:t>
      </w:r>
      <w:r w:rsidRPr="00E31871">
        <w:rPr>
          <w:rFonts w:ascii="Roboto" w:hAnsi="Roboto"/>
          <w:b/>
          <w:bCs/>
        </w:rPr>
        <w:t>Company</w:t>
      </w:r>
      <w:r w:rsidRPr="00E31871">
        <w:rPr>
          <w:rFonts w:ascii="Roboto" w:hAnsi="Roboto"/>
        </w:rPr>
        <w:t>”) (</w:t>
      </w:r>
      <w:r w:rsidRPr="00E31871">
        <w:rPr>
          <w:rFonts w:ascii="Roboto" w:hAnsi="Roboto"/>
          <w:b/>
          <w:bCs/>
        </w:rPr>
        <w:t>TSXV: LIFT</w:t>
      </w:r>
      <w:r w:rsidRPr="00E31871">
        <w:rPr>
          <w:rFonts w:ascii="Roboto" w:hAnsi="Roboto"/>
        </w:rPr>
        <w:t>) (</w:t>
      </w:r>
      <w:r w:rsidRPr="00E31871">
        <w:rPr>
          <w:rFonts w:ascii="Roboto" w:hAnsi="Roboto"/>
          <w:b/>
          <w:bCs/>
        </w:rPr>
        <w:t>OTCQX: LIFFF</w:t>
      </w:r>
      <w:r w:rsidRPr="00E31871">
        <w:rPr>
          <w:rFonts w:ascii="Roboto" w:hAnsi="Roboto"/>
        </w:rPr>
        <w:t>) (</w:t>
      </w:r>
      <w:r w:rsidRPr="00E31871">
        <w:rPr>
          <w:rFonts w:ascii="Roboto" w:hAnsi="Roboto"/>
          <w:b/>
          <w:bCs/>
        </w:rPr>
        <w:t>Frankfurt:</w:t>
      </w:r>
      <w:r w:rsidRPr="00E31871">
        <w:rPr>
          <w:rFonts w:ascii="Roboto" w:hAnsi="Roboto"/>
        </w:rPr>
        <w:t> </w:t>
      </w:r>
      <w:r w:rsidRPr="00E31871">
        <w:rPr>
          <w:rFonts w:ascii="Roboto" w:hAnsi="Roboto"/>
          <w:b/>
          <w:bCs/>
        </w:rPr>
        <w:t>WS0</w:t>
      </w:r>
      <w:r w:rsidRPr="00E31871">
        <w:rPr>
          <w:rFonts w:ascii="Roboto" w:hAnsi="Roboto"/>
        </w:rPr>
        <w:t xml:space="preserve">) is pleased to announce the </w:t>
      </w:r>
      <w:r w:rsidR="00F32632">
        <w:rPr>
          <w:rFonts w:ascii="Roboto" w:hAnsi="Roboto"/>
        </w:rPr>
        <w:t xml:space="preserve">initial (i.e. </w:t>
      </w:r>
      <w:r w:rsidRPr="00E31871">
        <w:rPr>
          <w:rFonts w:ascii="Roboto" w:hAnsi="Roboto"/>
        </w:rPr>
        <w:t>first</w:t>
      </w:r>
      <w:r w:rsidR="00F32632">
        <w:rPr>
          <w:rFonts w:ascii="Roboto" w:hAnsi="Roboto"/>
        </w:rPr>
        <w:t>)</w:t>
      </w:r>
      <w:r w:rsidRPr="00E31871">
        <w:rPr>
          <w:rFonts w:ascii="Roboto" w:hAnsi="Roboto"/>
        </w:rPr>
        <w:t xml:space="preserve"> </w:t>
      </w:r>
      <w:r w:rsidR="00BC48A2">
        <w:rPr>
          <w:rFonts w:ascii="Roboto" w:hAnsi="Roboto"/>
        </w:rPr>
        <w:t>National Instrument</w:t>
      </w:r>
      <w:r w:rsidR="00BC48A2" w:rsidRPr="00E31871">
        <w:rPr>
          <w:rFonts w:ascii="Roboto" w:hAnsi="Roboto"/>
        </w:rPr>
        <w:t xml:space="preserve"> </w:t>
      </w:r>
      <w:r w:rsidRPr="00E31871">
        <w:rPr>
          <w:rFonts w:ascii="Roboto" w:hAnsi="Roboto"/>
        </w:rPr>
        <w:t xml:space="preserve">43-101 </w:t>
      </w:r>
      <w:r w:rsidR="00EC164F">
        <w:rPr>
          <w:rFonts w:ascii="Roboto" w:hAnsi="Roboto"/>
        </w:rPr>
        <w:t xml:space="preserve">(“NI 43-101”) </w:t>
      </w:r>
      <w:r w:rsidRPr="00E31871">
        <w:rPr>
          <w:rFonts w:ascii="Roboto" w:hAnsi="Roboto"/>
        </w:rPr>
        <w:t xml:space="preserve">compliant </w:t>
      </w:r>
      <w:r w:rsidR="00BC48A2">
        <w:rPr>
          <w:rFonts w:ascii="Roboto" w:hAnsi="Roboto"/>
        </w:rPr>
        <w:t>m</w:t>
      </w:r>
      <w:r w:rsidRPr="00E31871">
        <w:rPr>
          <w:rFonts w:ascii="Roboto" w:hAnsi="Roboto"/>
        </w:rPr>
        <w:t xml:space="preserve">ineral </w:t>
      </w:r>
      <w:r w:rsidR="00BC48A2">
        <w:rPr>
          <w:rFonts w:ascii="Roboto" w:hAnsi="Roboto"/>
        </w:rPr>
        <w:t>r</w:t>
      </w:r>
      <w:r w:rsidRPr="00E31871">
        <w:rPr>
          <w:rFonts w:ascii="Roboto" w:hAnsi="Roboto"/>
        </w:rPr>
        <w:t xml:space="preserve">esource </w:t>
      </w:r>
      <w:r w:rsidR="00BC48A2">
        <w:rPr>
          <w:rFonts w:ascii="Roboto" w:hAnsi="Roboto"/>
        </w:rPr>
        <w:t>e</w:t>
      </w:r>
      <w:r w:rsidRPr="00E31871">
        <w:rPr>
          <w:rFonts w:ascii="Roboto" w:hAnsi="Roboto"/>
        </w:rPr>
        <w:t>stimate (“MRE”) for the Yellowknife Lithium Project</w:t>
      </w:r>
      <w:r w:rsidR="00323CFA">
        <w:rPr>
          <w:rFonts w:ascii="Roboto" w:hAnsi="Roboto"/>
        </w:rPr>
        <w:t xml:space="preserve"> (“YLP”)</w:t>
      </w:r>
      <w:r w:rsidRPr="00E31871">
        <w:rPr>
          <w:rFonts w:ascii="Roboto" w:hAnsi="Roboto"/>
        </w:rPr>
        <w:t>, located in the Northwest Territories.  The mineral resource estimate covers 8 of 13 spodumene</w:t>
      </w:r>
      <w:r w:rsidR="003358B5">
        <w:rPr>
          <w:rFonts w:ascii="Roboto" w:hAnsi="Roboto"/>
        </w:rPr>
        <w:t>-bearing pegmatite</w:t>
      </w:r>
      <w:r w:rsidRPr="00E31871">
        <w:rPr>
          <w:rFonts w:ascii="Roboto" w:hAnsi="Roboto"/>
        </w:rPr>
        <w:t xml:space="preserve"> dykes </w:t>
      </w:r>
      <w:r w:rsidR="00AA6628">
        <w:rPr>
          <w:rFonts w:ascii="Roboto" w:hAnsi="Roboto"/>
        </w:rPr>
        <w:t>that comprise LIFT’s YLP</w:t>
      </w:r>
      <w:r w:rsidR="00AE602E">
        <w:rPr>
          <w:rFonts w:ascii="Roboto" w:hAnsi="Roboto"/>
        </w:rPr>
        <w:t xml:space="preserve"> (Figure 1)</w:t>
      </w:r>
      <w:r w:rsidRPr="00E31871">
        <w:rPr>
          <w:rFonts w:ascii="Roboto" w:hAnsi="Roboto"/>
        </w:rPr>
        <w:t xml:space="preserve">. </w:t>
      </w:r>
      <w:r w:rsidR="003B4E59">
        <w:rPr>
          <w:rFonts w:ascii="Roboto" w:hAnsi="Roboto"/>
        </w:rPr>
        <w:t>The</w:t>
      </w:r>
      <w:r w:rsidRPr="00E31871">
        <w:rPr>
          <w:rFonts w:ascii="Roboto" w:hAnsi="Roboto"/>
        </w:rPr>
        <w:t xml:space="preserve"> consolidated in-pit </w:t>
      </w:r>
      <w:r w:rsidR="003B4E59">
        <w:rPr>
          <w:rFonts w:ascii="Roboto" w:hAnsi="Roboto"/>
        </w:rPr>
        <w:t xml:space="preserve">MRE </w:t>
      </w:r>
      <w:r w:rsidRPr="00E31871">
        <w:rPr>
          <w:rFonts w:ascii="Roboto" w:hAnsi="Roboto"/>
        </w:rPr>
        <w:t xml:space="preserve">is </w:t>
      </w:r>
      <w:r w:rsidR="003C556E">
        <w:rPr>
          <w:rFonts w:ascii="Roboto" w:hAnsi="Roboto"/>
        </w:rPr>
        <w:t>reported at</w:t>
      </w:r>
      <w:r w:rsidRPr="00E31871">
        <w:rPr>
          <w:rFonts w:ascii="Roboto" w:hAnsi="Roboto"/>
        </w:rPr>
        <w:t xml:space="preserve"> 50.4 </w:t>
      </w:r>
      <w:r w:rsidR="00F32632">
        <w:rPr>
          <w:rFonts w:ascii="Roboto" w:hAnsi="Roboto"/>
        </w:rPr>
        <w:t xml:space="preserve">million </w:t>
      </w:r>
      <w:proofErr w:type="spellStart"/>
      <w:r w:rsidR="00F32632">
        <w:rPr>
          <w:rFonts w:ascii="Roboto" w:hAnsi="Roboto"/>
        </w:rPr>
        <w:t>tonnes</w:t>
      </w:r>
      <w:proofErr w:type="spellEnd"/>
      <w:r w:rsidR="00F32632" w:rsidRPr="00E31871">
        <w:rPr>
          <w:rFonts w:ascii="Roboto" w:hAnsi="Roboto"/>
        </w:rPr>
        <w:t xml:space="preserve"> </w:t>
      </w:r>
      <w:r w:rsidR="00A0172D">
        <w:rPr>
          <w:rFonts w:ascii="Roboto" w:hAnsi="Roboto"/>
        </w:rPr>
        <w:t xml:space="preserve">(Mt) </w:t>
      </w:r>
      <w:r w:rsidRPr="00E31871">
        <w:rPr>
          <w:rFonts w:ascii="Roboto" w:hAnsi="Roboto"/>
        </w:rPr>
        <w:t>grading 1.00% Li</w:t>
      </w:r>
      <w:r w:rsidRPr="003C556E">
        <w:rPr>
          <w:rFonts w:ascii="Roboto" w:hAnsi="Roboto"/>
          <w:vertAlign w:val="subscript"/>
        </w:rPr>
        <w:t>2</w:t>
      </w:r>
      <w:r w:rsidRPr="00E31871">
        <w:rPr>
          <w:rFonts w:ascii="Roboto" w:hAnsi="Roboto"/>
        </w:rPr>
        <w:t xml:space="preserve">O for 506,000 </w:t>
      </w:r>
      <w:proofErr w:type="spellStart"/>
      <w:r w:rsidR="00F32632">
        <w:rPr>
          <w:rFonts w:ascii="Roboto" w:hAnsi="Roboto"/>
        </w:rPr>
        <w:t>tonnes</w:t>
      </w:r>
      <w:proofErr w:type="spellEnd"/>
      <w:r w:rsidR="00F32632" w:rsidRPr="00E31871">
        <w:rPr>
          <w:rFonts w:ascii="Roboto" w:hAnsi="Roboto"/>
        </w:rPr>
        <w:t xml:space="preserve"> </w:t>
      </w:r>
      <w:r w:rsidRPr="00E31871">
        <w:rPr>
          <w:rFonts w:ascii="Roboto" w:hAnsi="Roboto"/>
        </w:rPr>
        <w:t>of Li</w:t>
      </w:r>
      <w:r w:rsidRPr="003C556E">
        <w:rPr>
          <w:rFonts w:ascii="Roboto" w:hAnsi="Roboto"/>
          <w:vertAlign w:val="subscript"/>
        </w:rPr>
        <w:t>2</w:t>
      </w:r>
      <w:r w:rsidRPr="00E31871">
        <w:rPr>
          <w:rFonts w:ascii="Roboto" w:hAnsi="Roboto"/>
        </w:rPr>
        <w:t xml:space="preserve">O (1.25 </w:t>
      </w:r>
      <w:r w:rsidR="003C556E">
        <w:rPr>
          <w:rFonts w:ascii="Roboto" w:hAnsi="Roboto"/>
        </w:rPr>
        <w:t xml:space="preserve">million </w:t>
      </w:r>
      <w:proofErr w:type="spellStart"/>
      <w:r w:rsidR="003C556E">
        <w:rPr>
          <w:rFonts w:ascii="Roboto" w:hAnsi="Roboto"/>
        </w:rPr>
        <w:t>tonnes</w:t>
      </w:r>
      <w:proofErr w:type="spellEnd"/>
      <w:r w:rsidRPr="00E31871">
        <w:rPr>
          <w:rFonts w:ascii="Roboto" w:hAnsi="Roboto"/>
        </w:rPr>
        <w:t xml:space="preserve"> of LCE)</w:t>
      </w:r>
      <w:r w:rsidR="003B4E59">
        <w:rPr>
          <w:rFonts w:ascii="Roboto" w:hAnsi="Roboto"/>
        </w:rPr>
        <w:t xml:space="preserve"> </w:t>
      </w:r>
      <w:r w:rsidR="003B4E59" w:rsidRPr="003B4E59">
        <w:rPr>
          <w:rFonts w:ascii="Roboto" w:hAnsi="Roboto"/>
        </w:rPr>
        <w:t>in the inferred category and will form the basis of a Preliminary Economic Assessment (PEA) targeted for delivery in Q2 2025</w:t>
      </w:r>
      <w:r w:rsidRPr="00E31871">
        <w:rPr>
          <w:rFonts w:ascii="Roboto" w:hAnsi="Roboto"/>
        </w:rPr>
        <w:t>.</w:t>
      </w:r>
    </w:p>
    <w:p w14:paraId="3410EB92" w14:textId="77777777" w:rsidR="003C6FE4" w:rsidRDefault="003C6FE4" w:rsidP="00E31871">
      <w:pPr>
        <w:jc w:val="both"/>
        <w:rPr>
          <w:rFonts w:ascii="Roboto" w:hAnsi="Roboto"/>
        </w:rPr>
        <w:sectPr w:rsidR="003C6FE4">
          <w:headerReference w:type="default" r:id="rId7"/>
          <w:pgSz w:w="12240" w:h="15840"/>
          <w:pgMar w:top="1440" w:right="1440" w:bottom="1440" w:left="1440" w:header="720" w:footer="720" w:gutter="0"/>
          <w:cols w:space="720"/>
          <w:docGrid w:linePitch="360"/>
        </w:sectPr>
      </w:pPr>
    </w:p>
    <w:p w14:paraId="54EE790B" w14:textId="77777777" w:rsidR="003C6FE4" w:rsidRPr="00E31871" w:rsidRDefault="003C6FE4" w:rsidP="00E31871">
      <w:pPr>
        <w:jc w:val="both"/>
        <w:rPr>
          <w:rFonts w:ascii="Roboto" w:hAnsi="Roboto"/>
        </w:rPr>
      </w:pPr>
    </w:p>
    <w:p w14:paraId="1C099D3A" w14:textId="1D4AFD38" w:rsidR="00F37323" w:rsidRPr="00E31871" w:rsidRDefault="00CE37FA" w:rsidP="00E31871">
      <w:pPr>
        <w:jc w:val="center"/>
        <w:rPr>
          <w:rFonts w:ascii="Roboto" w:hAnsi="Roboto"/>
        </w:rPr>
      </w:pPr>
      <w:bookmarkStart w:id="0" w:name="_Ref492470577"/>
      <w:bookmarkStart w:id="1" w:name="_Ref493485996"/>
      <w:r>
        <w:rPr>
          <w:rFonts w:ascii="Roboto" w:hAnsi="Roboto"/>
          <w:noProof/>
        </w:rPr>
        <w:drawing>
          <wp:inline distT="0" distB="0" distL="0" distR="0" wp14:anchorId="60E11785" wp14:editId="08729240">
            <wp:extent cx="5943600" cy="4163695"/>
            <wp:effectExtent l="0" t="0" r="0" b="8255"/>
            <wp:docPr id="1806080112" name="Picture 2"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80112" name="Picture 2" descr="A map of the worl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163695"/>
                    </a:xfrm>
                    <a:prstGeom prst="rect">
                      <a:avLst/>
                    </a:prstGeom>
                  </pic:spPr>
                </pic:pic>
              </a:graphicData>
            </a:graphic>
          </wp:inline>
        </w:drawing>
      </w:r>
    </w:p>
    <w:bookmarkEnd w:id="0"/>
    <w:bookmarkEnd w:id="1"/>
    <w:p w14:paraId="0E853069" w14:textId="747BEFF8" w:rsidR="004D0E94" w:rsidRDefault="00F37323" w:rsidP="00F37323">
      <w:pPr>
        <w:spacing w:before="120" w:after="0" w:line="240" w:lineRule="auto"/>
        <w:jc w:val="both"/>
        <w:rPr>
          <w:rFonts w:ascii="Roboto" w:hAnsi="Roboto" w:cstheme="minorHAnsi"/>
          <w:i/>
          <w:iCs/>
          <w:sz w:val="16"/>
          <w:szCs w:val="16"/>
        </w:rPr>
      </w:pPr>
      <w:r w:rsidRPr="006F7097">
        <w:rPr>
          <w:rFonts w:ascii="Roboto" w:hAnsi="Roboto" w:cstheme="minorHAnsi"/>
          <w:i/>
          <w:iCs/>
          <w:sz w:val="16"/>
          <w:szCs w:val="16"/>
        </w:rPr>
        <w:t xml:space="preserve">Figure 1 – Location of LIFT’s Yellowknife Lithium Project. Drilling </w:t>
      </w:r>
      <w:r>
        <w:rPr>
          <w:rFonts w:ascii="Roboto" w:hAnsi="Roboto" w:cstheme="minorHAnsi"/>
          <w:i/>
          <w:iCs/>
          <w:sz w:val="16"/>
          <w:szCs w:val="16"/>
        </w:rPr>
        <w:t>has been</w:t>
      </w:r>
      <w:r w:rsidRPr="006F7097">
        <w:rPr>
          <w:rFonts w:ascii="Roboto" w:hAnsi="Roboto" w:cstheme="minorHAnsi"/>
          <w:i/>
          <w:iCs/>
          <w:sz w:val="16"/>
          <w:szCs w:val="16"/>
        </w:rPr>
        <w:t xml:space="preserve"> </w:t>
      </w:r>
      <w:r>
        <w:rPr>
          <w:rFonts w:ascii="Roboto" w:hAnsi="Roboto" w:cstheme="minorHAnsi"/>
          <w:i/>
          <w:iCs/>
          <w:sz w:val="16"/>
          <w:szCs w:val="16"/>
        </w:rPr>
        <w:t xml:space="preserve">thus far mainly </w:t>
      </w:r>
      <w:r w:rsidRPr="006F7097">
        <w:rPr>
          <w:rFonts w:ascii="Roboto" w:hAnsi="Roboto" w:cstheme="minorHAnsi"/>
          <w:i/>
          <w:iCs/>
          <w:sz w:val="16"/>
          <w:szCs w:val="16"/>
        </w:rPr>
        <w:t xml:space="preserve">focused on the </w:t>
      </w:r>
      <w:r>
        <w:rPr>
          <w:rFonts w:ascii="Roboto" w:hAnsi="Roboto" w:cstheme="minorHAnsi"/>
          <w:i/>
          <w:iCs/>
          <w:sz w:val="16"/>
          <w:szCs w:val="16"/>
        </w:rPr>
        <w:t>Near Field</w:t>
      </w:r>
      <w:r w:rsidRPr="006F7097">
        <w:rPr>
          <w:rFonts w:ascii="Roboto" w:hAnsi="Roboto" w:cstheme="minorHAnsi"/>
          <w:i/>
          <w:iCs/>
          <w:sz w:val="16"/>
          <w:szCs w:val="16"/>
        </w:rPr>
        <w:t xml:space="preserve"> Group of pegmatites which are located to the east of the city of Yellowknife along a government-maintained paved highway, a</w:t>
      </w:r>
      <w:r>
        <w:rPr>
          <w:rFonts w:ascii="Roboto" w:hAnsi="Roboto" w:cstheme="minorHAnsi"/>
          <w:i/>
          <w:iCs/>
          <w:sz w:val="16"/>
          <w:szCs w:val="16"/>
        </w:rPr>
        <w:t>nd advancing to</w:t>
      </w:r>
      <w:r w:rsidRPr="006F7097">
        <w:rPr>
          <w:rFonts w:ascii="Roboto" w:hAnsi="Roboto" w:cstheme="minorHAnsi"/>
          <w:i/>
          <w:iCs/>
          <w:sz w:val="16"/>
          <w:szCs w:val="16"/>
        </w:rPr>
        <w:t xml:space="preserve"> the Echo target</w:t>
      </w:r>
      <w:r>
        <w:rPr>
          <w:rFonts w:ascii="Roboto" w:hAnsi="Roboto" w:cstheme="minorHAnsi"/>
          <w:i/>
          <w:iCs/>
          <w:sz w:val="16"/>
          <w:szCs w:val="16"/>
        </w:rPr>
        <w:t>, the first drilling</w:t>
      </w:r>
      <w:r w:rsidRPr="006F7097">
        <w:rPr>
          <w:rFonts w:ascii="Roboto" w:hAnsi="Roboto" w:cstheme="minorHAnsi"/>
          <w:i/>
          <w:iCs/>
          <w:sz w:val="16"/>
          <w:szCs w:val="16"/>
        </w:rPr>
        <w:t xml:space="preserve"> in the Further Afield Group. </w:t>
      </w:r>
    </w:p>
    <w:p w14:paraId="1E8E31CB" w14:textId="77777777" w:rsidR="003B4E59" w:rsidRDefault="003B4E59" w:rsidP="003B4E59">
      <w:pPr>
        <w:jc w:val="both"/>
        <w:rPr>
          <w:rFonts w:ascii="Roboto" w:hAnsi="Roboto"/>
        </w:rPr>
      </w:pPr>
    </w:p>
    <w:p w14:paraId="1745C776" w14:textId="37EFF939" w:rsidR="003B4E59" w:rsidRPr="00E31871" w:rsidRDefault="003B4E59" w:rsidP="003B4E59">
      <w:pPr>
        <w:jc w:val="both"/>
        <w:rPr>
          <w:rFonts w:ascii="Roboto" w:hAnsi="Roboto"/>
        </w:rPr>
      </w:pPr>
      <w:r w:rsidRPr="00E31871">
        <w:rPr>
          <w:rFonts w:ascii="Roboto" w:hAnsi="Roboto"/>
        </w:rPr>
        <w:t xml:space="preserve">Francis MacDonald, CEO of LIFT comments, “The announcement of Li-FT’s first </w:t>
      </w:r>
      <w:r w:rsidR="00EC164F">
        <w:rPr>
          <w:rFonts w:ascii="Roboto" w:hAnsi="Roboto"/>
        </w:rPr>
        <w:t>NI 43-101</w:t>
      </w:r>
      <w:r w:rsidRPr="00E31871">
        <w:rPr>
          <w:rFonts w:ascii="Roboto" w:hAnsi="Roboto"/>
        </w:rPr>
        <w:t xml:space="preserve"> </w:t>
      </w:r>
      <w:r>
        <w:rPr>
          <w:rFonts w:ascii="Roboto" w:hAnsi="Roboto"/>
        </w:rPr>
        <w:t>mineral resource estimate</w:t>
      </w:r>
      <w:r w:rsidRPr="00E31871">
        <w:rPr>
          <w:rFonts w:ascii="Roboto" w:hAnsi="Roboto"/>
        </w:rPr>
        <w:t xml:space="preserve"> for the Yellowknife Lithium Project marks a significant milestone for both the </w:t>
      </w:r>
      <w:r>
        <w:rPr>
          <w:rFonts w:ascii="Roboto" w:hAnsi="Roboto"/>
        </w:rPr>
        <w:t>C</w:t>
      </w:r>
      <w:r w:rsidRPr="00E31871">
        <w:rPr>
          <w:rFonts w:ascii="Roboto" w:hAnsi="Roboto"/>
        </w:rPr>
        <w:t xml:space="preserve">ompany and the Northwest Territories. With an estimated 50.4 million </w:t>
      </w:r>
      <w:proofErr w:type="spellStart"/>
      <w:r>
        <w:rPr>
          <w:rFonts w:ascii="Roboto" w:hAnsi="Roboto"/>
        </w:rPr>
        <w:t>tonnes</w:t>
      </w:r>
      <w:proofErr w:type="spellEnd"/>
      <w:r w:rsidRPr="00E31871">
        <w:rPr>
          <w:rFonts w:ascii="Roboto" w:hAnsi="Roboto"/>
        </w:rPr>
        <w:t xml:space="preserve"> at a grade of 1.0</w:t>
      </w:r>
      <w:r>
        <w:rPr>
          <w:rFonts w:ascii="Roboto" w:hAnsi="Roboto"/>
        </w:rPr>
        <w:t>0</w:t>
      </w:r>
      <w:r w:rsidRPr="00E31871">
        <w:rPr>
          <w:rFonts w:ascii="Roboto" w:hAnsi="Roboto"/>
        </w:rPr>
        <w:t xml:space="preserve">% </w:t>
      </w:r>
      <w:proofErr w:type="spellStart"/>
      <w:r w:rsidRPr="00E31871">
        <w:rPr>
          <w:rFonts w:ascii="Roboto" w:hAnsi="Roboto"/>
        </w:rPr>
        <w:t>Li</w:t>
      </w:r>
      <w:r w:rsidRPr="00E31871">
        <w:rPr>
          <w:rFonts w:ascii="Times New Roman" w:hAnsi="Times New Roman" w:cs="Times New Roman"/>
        </w:rPr>
        <w:t>₂</w:t>
      </w:r>
      <w:r w:rsidRPr="00E31871">
        <w:rPr>
          <w:rFonts w:ascii="Roboto" w:hAnsi="Roboto"/>
        </w:rPr>
        <w:t>O</w:t>
      </w:r>
      <w:proofErr w:type="spellEnd"/>
      <w:r>
        <w:rPr>
          <w:rFonts w:ascii="Roboto" w:hAnsi="Roboto"/>
        </w:rPr>
        <w:t xml:space="preserve"> based only on the initial drill</w:t>
      </w:r>
      <w:r w:rsidR="00EC164F">
        <w:rPr>
          <w:rFonts w:ascii="Roboto" w:hAnsi="Roboto"/>
        </w:rPr>
        <w:t>ing</w:t>
      </w:r>
      <w:r>
        <w:rPr>
          <w:rFonts w:ascii="Roboto" w:hAnsi="Roboto"/>
        </w:rPr>
        <w:t xml:space="preserve"> program,</w:t>
      </w:r>
      <w:r w:rsidRPr="00E31871">
        <w:rPr>
          <w:rFonts w:ascii="Roboto" w:hAnsi="Roboto"/>
        </w:rPr>
        <w:t xml:space="preserve"> the </w:t>
      </w:r>
      <w:r>
        <w:rPr>
          <w:rFonts w:ascii="Roboto" w:hAnsi="Roboto"/>
        </w:rPr>
        <w:t>Yellowknife Lithium Project</w:t>
      </w:r>
      <w:r w:rsidRPr="00E31871">
        <w:rPr>
          <w:rFonts w:ascii="Roboto" w:hAnsi="Roboto"/>
        </w:rPr>
        <w:t xml:space="preserve"> </w:t>
      </w:r>
      <w:r w:rsidRPr="003B4E59">
        <w:rPr>
          <w:rFonts w:ascii="Roboto" w:hAnsi="Roboto"/>
        </w:rPr>
        <w:t>already ranks among the top 10 largest spodumene projects in the Americas</w:t>
      </w:r>
      <w:r w:rsidRPr="00E31871">
        <w:rPr>
          <w:rFonts w:ascii="Roboto" w:hAnsi="Roboto"/>
        </w:rPr>
        <w:t xml:space="preserve">. </w:t>
      </w:r>
      <w:proofErr w:type="gramStart"/>
      <w:r>
        <w:rPr>
          <w:rFonts w:ascii="Roboto" w:hAnsi="Roboto"/>
        </w:rPr>
        <w:t>The m</w:t>
      </w:r>
      <w:r w:rsidRPr="003B4E59">
        <w:rPr>
          <w:rFonts w:ascii="Roboto" w:hAnsi="Roboto"/>
        </w:rPr>
        <w:t>ajority of</w:t>
      </w:r>
      <w:proofErr w:type="gramEnd"/>
      <w:r w:rsidRPr="003B4E59">
        <w:rPr>
          <w:rFonts w:ascii="Roboto" w:hAnsi="Roboto"/>
        </w:rPr>
        <w:t xml:space="preserve"> the deposits included in the MRE have not yet been constrained by the drilling completed to-date and have excellent potential to significantly grow through further drill programs. This resource will be pivotal in advancing the PEA we are targeting for Q2 2025.”</w:t>
      </w:r>
    </w:p>
    <w:p w14:paraId="0453B470" w14:textId="77777777" w:rsidR="003B4E59" w:rsidRDefault="003B4E59" w:rsidP="00F37323">
      <w:pPr>
        <w:spacing w:before="120" w:after="0" w:line="240" w:lineRule="auto"/>
        <w:jc w:val="both"/>
        <w:rPr>
          <w:rFonts w:ascii="Roboto" w:hAnsi="Roboto" w:cstheme="minorHAnsi"/>
          <w:i/>
          <w:iCs/>
          <w:sz w:val="20"/>
          <w:szCs w:val="20"/>
        </w:rPr>
      </w:pPr>
    </w:p>
    <w:p w14:paraId="3B01F387" w14:textId="77777777" w:rsidR="003B4E59" w:rsidRDefault="003B4E59" w:rsidP="00F37323">
      <w:pPr>
        <w:spacing w:before="120" w:after="0" w:line="240" w:lineRule="auto"/>
        <w:jc w:val="both"/>
        <w:rPr>
          <w:rFonts w:ascii="Roboto" w:hAnsi="Roboto" w:cstheme="minorHAnsi"/>
          <w:i/>
          <w:iCs/>
          <w:sz w:val="20"/>
          <w:szCs w:val="20"/>
        </w:rPr>
      </w:pPr>
    </w:p>
    <w:p w14:paraId="71927957" w14:textId="77777777" w:rsidR="003B4E59" w:rsidRDefault="003B4E59" w:rsidP="00F37323">
      <w:pPr>
        <w:spacing w:before="120" w:after="0" w:line="240" w:lineRule="auto"/>
        <w:jc w:val="both"/>
        <w:rPr>
          <w:rFonts w:ascii="Roboto" w:hAnsi="Roboto" w:cstheme="minorHAnsi"/>
          <w:i/>
          <w:iCs/>
          <w:sz w:val="20"/>
          <w:szCs w:val="20"/>
        </w:rPr>
      </w:pPr>
    </w:p>
    <w:p w14:paraId="2CCC41E5" w14:textId="77777777" w:rsidR="00FB00C6" w:rsidRDefault="00FB00C6" w:rsidP="00F37323">
      <w:pPr>
        <w:spacing w:before="120" w:after="0" w:line="240" w:lineRule="auto"/>
        <w:jc w:val="both"/>
        <w:rPr>
          <w:rFonts w:ascii="Roboto" w:hAnsi="Roboto" w:cstheme="minorHAnsi"/>
          <w:i/>
          <w:iCs/>
          <w:sz w:val="20"/>
          <w:szCs w:val="20"/>
        </w:rPr>
      </w:pPr>
    </w:p>
    <w:p w14:paraId="644ABF9A" w14:textId="77777777" w:rsidR="003B4E59" w:rsidRDefault="003B4E59" w:rsidP="00F37323">
      <w:pPr>
        <w:spacing w:before="120" w:after="0" w:line="240" w:lineRule="auto"/>
        <w:jc w:val="both"/>
        <w:rPr>
          <w:rFonts w:ascii="Roboto" w:hAnsi="Roboto" w:cstheme="minorHAnsi"/>
          <w:i/>
          <w:iCs/>
          <w:sz w:val="20"/>
          <w:szCs w:val="20"/>
        </w:rPr>
      </w:pPr>
    </w:p>
    <w:p w14:paraId="7B671E00" w14:textId="77777777" w:rsidR="00CE37FA" w:rsidRDefault="00CE37FA" w:rsidP="00F37323">
      <w:pPr>
        <w:spacing w:before="120" w:after="0" w:line="240" w:lineRule="auto"/>
        <w:jc w:val="both"/>
        <w:rPr>
          <w:rFonts w:ascii="Roboto" w:hAnsi="Roboto" w:cstheme="minorHAnsi"/>
          <w:i/>
          <w:iCs/>
          <w:sz w:val="20"/>
          <w:szCs w:val="20"/>
        </w:rPr>
      </w:pPr>
    </w:p>
    <w:p w14:paraId="3C800A56" w14:textId="77777777" w:rsidR="003B4E59" w:rsidRPr="004D0E94" w:rsidRDefault="003B4E59" w:rsidP="00F37323">
      <w:pPr>
        <w:spacing w:before="120" w:after="0" w:line="240" w:lineRule="auto"/>
        <w:jc w:val="both"/>
        <w:rPr>
          <w:rFonts w:ascii="Roboto" w:hAnsi="Roboto" w:cstheme="minorHAnsi"/>
          <w:i/>
          <w:iCs/>
          <w:sz w:val="20"/>
          <w:szCs w:val="20"/>
        </w:rPr>
      </w:pPr>
    </w:p>
    <w:p w14:paraId="4A44B58B" w14:textId="363A2983" w:rsidR="005762DB" w:rsidRPr="004D0E94" w:rsidRDefault="005762DB" w:rsidP="005762DB">
      <w:pPr>
        <w:pStyle w:val="Caption"/>
        <w:rPr>
          <w:rFonts w:ascii="Roboto" w:hAnsi="Roboto"/>
          <w:sz w:val="20"/>
          <w:lang w:val="en-CA"/>
        </w:rPr>
      </w:pPr>
      <w:r w:rsidRPr="004D0E94">
        <w:rPr>
          <w:rFonts w:ascii="Roboto" w:hAnsi="Roboto"/>
          <w:sz w:val="20"/>
        </w:rPr>
        <w:t>Table 1-</w:t>
      </w:r>
      <w:r w:rsidRPr="004D0E94">
        <w:rPr>
          <w:rFonts w:ascii="Roboto" w:hAnsi="Roboto"/>
          <w:b w:val="0"/>
          <w:bCs w:val="0"/>
          <w:sz w:val="20"/>
          <w:lang w:val="en-CA"/>
        </w:rPr>
        <w:t xml:space="preserve">Yellowknife Lithium </w:t>
      </w:r>
      <w:r w:rsidR="00A0172D" w:rsidRPr="004D0E94">
        <w:rPr>
          <w:rFonts w:ascii="Roboto" w:hAnsi="Roboto"/>
          <w:b w:val="0"/>
          <w:bCs w:val="0"/>
          <w:sz w:val="20"/>
          <w:lang w:val="en-CA"/>
        </w:rPr>
        <w:t>P</w:t>
      </w:r>
      <w:r w:rsidRPr="004D0E94">
        <w:rPr>
          <w:rFonts w:ascii="Roboto" w:hAnsi="Roboto"/>
          <w:b w:val="0"/>
          <w:bCs w:val="0"/>
          <w:sz w:val="20"/>
          <w:lang w:val="en-CA"/>
        </w:rPr>
        <w:t>roject Deposit In-pit Mineral Resource Estimate</w:t>
      </w:r>
    </w:p>
    <w:p w14:paraId="78DF50DA" w14:textId="77777777" w:rsidR="005762DB" w:rsidRDefault="005762DB" w:rsidP="00E31871">
      <w:pPr>
        <w:spacing w:before="120" w:after="0" w:line="240" w:lineRule="auto"/>
        <w:jc w:val="both"/>
        <w:rPr>
          <w:rFonts w:ascii="Roboto" w:hAnsi="Roboto" w:cstheme="minorHAnsi"/>
          <w:i/>
          <w:iCs/>
          <w:sz w:val="16"/>
          <w:szCs w:val="16"/>
          <w:lang w:val="en-CA"/>
        </w:rPr>
      </w:pPr>
    </w:p>
    <w:tbl>
      <w:tblPr>
        <w:tblW w:w="9396" w:type="dxa"/>
        <w:jc w:val="center"/>
        <w:tblLook w:val="04A0" w:firstRow="1" w:lastRow="0" w:firstColumn="1" w:lastColumn="0" w:noHBand="0" w:noVBand="1"/>
      </w:tblPr>
      <w:tblGrid>
        <w:gridCol w:w="993"/>
        <w:gridCol w:w="1958"/>
        <w:gridCol w:w="1334"/>
        <w:gridCol w:w="994"/>
        <w:gridCol w:w="1028"/>
        <w:gridCol w:w="1296"/>
        <w:gridCol w:w="1571"/>
        <w:gridCol w:w="222"/>
      </w:tblGrid>
      <w:tr w:rsidR="00A0172D" w:rsidRPr="00A0172D" w14:paraId="27D7F542" w14:textId="77777777" w:rsidTr="00D43726">
        <w:trPr>
          <w:gridAfter w:val="1"/>
          <w:wAfter w:w="222" w:type="dxa"/>
          <w:trHeight w:val="450"/>
          <w:jc w:val="center"/>
        </w:trPr>
        <w:tc>
          <w:tcPr>
            <w:tcW w:w="993"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1987CAA4"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Cut-off Grade (Li</w:t>
            </w:r>
            <w:r w:rsidRPr="00A0172D">
              <w:rPr>
                <w:rFonts w:ascii="Roboto" w:eastAsia="Times New Roman" w:hAnsi="Roboto" w:cs="Times New Roman"/>
                <w:b/>
                <w:bCs/>
                <w:color w:val="FFFFFF"/>
                <w:kern w:val="0"/>
                <w:vertAlign w:val="subscript"/>
                <w:lang w:val="en-CA" w:eastAsia="en-CA"/>
                <w14:ligatures w14:val="none"/>
              </w:rPr>
              <w:t>2</w:t>
            </w:r>
            <w:r w:rsidRPr="00A0172D">
              <w:rPr>
                <w:rFonts w:ascii="Roboto" w:eastAsia="Times New Roman" w:hAnsi="Roboto" w:cs="Times New Roman"/>
                <w:b/>
                <w:bCs/>
                <w:color w:val="FFFFFF"/>
                <w:kern w:val="0"/>
                <w:lang w:val="en-CA" w:eastAsia="en-CA"/>
                <w14:ligatures w14:val="none"/>
              </w:rPr>
              <w:t>O%)</w:t>
            </w:r>
          </w:p>
        </w:tc>
        <w:tc>
          <w:tcPr>
            <w:tcW w:w="1958"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0975AFF3"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Pegmatite Deposit</w:t>
            </w:r>
          </w:p>
        </w:tc>
        <w:tc>
          <w:tcPr>
            <w:tcW w:w="1334"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02EBC3DD"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Tonnes</w:t>
            </w:r>
          </w:p>
        </w:tc>
        <w:tc>
          <w:tcPr>
            <w:tcW w:w="994"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29C5ACCF"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Li</w:t>
            </w:r>
            <w:r w:rsidRPr="00A0172D">
              <w:rPr>
                <w:rFonts w:ascii="Roboto" w:eastAsia="Times New Roman" w:hAnsi="Roboto" w:cs="Times New Roman"/>
                <w:b/>
                <w:bCs/>
                <w:color w:val="FFFFFF"/>
                <w:kern w:val="0"/>
                <w:vertAlign w:val="subscript"/>
                <w:lang w:val="en-CA" w:eastAsia="en-CA"/>
                <w14:ligatures w14:val="none"/>
              </w:rPr>
              <w:t>2</w:t>
            </w:r>
            <w:r w:rsidRPr="00A0172D">
              <w:rPr>
                <w:rFonts w:ascii="Roboto" w:eastAsia="Times New Roman" w:hAnsi="Roboto" w:cs="Times New Roman"/>
                <w:b/>
                <w:bCs/>
                <w:color w:val="FFFFFF"/>
                <w:kern w:val="0"/>
                <w:lang w:val="en-CA" w:eastAsia="en-CA"/>
                <w14:ligatures w14:val="none"/>
              </w:rPr>
              <w:t>O Grade (%)</w:t>
            </w:r>
          </w:p>
        </w:tc>
        <w:tc>
          <w:tcPr>
            <w:tcW w:w="1028"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1F834B88"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Li</w:t>
            </w:r>
            <w:r w:rsidRPr="00A0172D">
              <w:rPr>
                <w:rFonts w:ascii="Roboto" w:eastAsia="Times New Roman" w:hAnsi="Roboto" w:cs="Times New Roman"/>
                <w:b/>
                <w:bCs/>
                <w:color w:val="FFFFFF"/>
                <w:kern w:val="0"/>
                <w:vertAlign w:val="subscript"/>
                <w:lang w:val="en-CA" w:eastAsia="en-CA"/>
                <w14:ligatures w14:val="none"/>
              </w:rPr>
              <w:t>2</w:t>
            </w:r>
            <w:r w:rsidRPr="00A0172D">
              <w:rPr>
                <w:rFonts w:ascii="Roboto" w:eastAsia="Times New Roman" w:hAnsi="Roboto" w:cs="Times New Roman"/>
                <w:b/>
                <w:bCs/>
                <w:color w:val="FFFFFF"/>
                <w:kern w:val="0"/>
                <w:lang w:val="en-CA" w:eastAsia="en-CA"/>
                <w14:ligatures w14:val="none"/>
              </w:rPr>
              <w:t>O (t)</w:t>
            </w:r>
          </w:p>
        </w:tc>
        <w:tc>
          <w:tcPr>
            <w:tcW w:w="1296"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0AF57215"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LCE (t)*</w:t>
            </w:r>
          </w:p>
        </w:tc>
        <w:tc>
          <w:tcPr>
            <w:tcW w:w="1571" w:type="dxa"/>
            <w:vMerge w:val="restart"/>
            <w:tcBorders>
              <w:top w:val="single" w:sz="8" w:space="0" w:color="auto"/>
              <w:left w:val="single" w:sz="8" w:space="0" w:color="auto"/>
              <w:bottom w:val="single" w:sz="8" w:space="0" w:color="000000"/>
              <w:right w:val="single" w:sz="8" w:space="0" w:color="auto"/>
            </w:tcBorders>
            <w:shd w:val="clear" w:color="000000" w:fill="004348"/>
            <w:vAlign w:val="center"/>
            <w:hideMark/>
          </w:tcPr>
          <w:p w14:paraId="052642A9"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Resource Classification</w:t>
            </w:r>
          </w:p>
        </w:tc>
      </w:tr>
      <w:tr w:rsidR="00D43726" w:rsidRPr="00A0172D" w14:paraId="35BDE1B9" w14:textId="77777777" w:rsidTr="00D43726">
        <w:trPr>
          <w:trHeight w:val="810"/>
          <w:jc w:val="center"/>
        </w:trPr>
        <w:tc>
          <w:tcPr>
            <w:tcW w:w="993" w:type="dxa"/>
            <w:vMerge/>
            <w:tcBorders>
              <w:top w:val="single" w:sz="8" w:space="0" w:color="auto"/>
              <w:left w:val="single" w:sz="8" w:space="0" w:color="auto"/>
              <w:bottom w:val="single" w:sz="8" w:space="0" w:color="000000"/>
              <w:right w:val="single" w:sz="8" w:space="0" w:color="auto"/>
            </w:tcBorders>
            <w:vAlign w:val="center"/>
            <w:hideMark/>
          </w:tcPr>
          <w:p w14:paraId="22E8B0BB"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1958" w:type="dxa"/>
            <w:vMerge/>
            <w:tcBorders>
              <w:top w:val="single" w:sz="8" w:space="0" w:color="auto"/>
              <w:left w:val="single" w:sz="8" w:space="0" w:color="auto"/>
              <w:bottom w:val="single" w:sz="8" w:space="0" w:color="000000"/>
              <w:right w:val="single" w:sz="8" w:space="0" w:color="auto"/>
            </w:tcBorders>
            <w:vAlign w:val="center"/>
            <w:hideMark/>
          </w:tcPr>
          <w:p w14:paraId="53D0C1E9"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1334" w:type="dxa"/>
            <w:vMerge/>
            <w:tcBorders>
              <w:top w:val="single" w:sz="8" w:space="0" w:color="auto"/>
              <w:left w:val="single" w:sz="8" w:space="0" w:color="auto"/>
              <w:bottom w:val="single" w:sz="8" w:space="0" w:color="000000"/>
              <w:right w:val="single" w:sz="8" w:space="0" w:color="auto"/>
            </w:tcBorders>
            <w:vAlign w:val="center"/>
            <w:hideMark/>
          </w:tcPr>
          <w:p w14:paraId="0AABE888"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994" w:type="dxa"/>
            <w:vMerge/>
            <w:tcBorders>
              <w:top w:val="single" w:sz="8" w:space="0" w:color="auto"/>
              <w:left w:val="single" w:sz="8" w:space="0" w:color="auto"/>
              <w:bottom w:val="single" w:sz="8" w:space="0" w:color="000000"/>
              <w:right w:val="single" w:sz="8" w:space="0" w:color="auto"/>
            </w:tcBorders>
            <w:vAlign w:val="center"/>
            <w:hideMark/>
          </w:tcPr>
          <w:p w14:paraId="00045791"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1028" w:type="dxa"/>
            <w:vMerge/>
            <w:tcBorders>
              <w:top w:val="single" w:sz="8" w:space="0" w:color="auto"/>
              <w:left w:val="single" w:sz="8" w:space="0" w:color="auto"/>
              <w:bottom w:val="single" w:sz="8" w:space="0" w:color="000000"/>
              <w:right w:val="single" w:sz="8" w:space="0" w:color="auto"/>
            </w:tcBorders>
            <w:vAlign w:val="center"/>
            <w:hideMark/>
          </w:tcPr>
          <w:p w14:paraId="41A004F5"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1296" w:type="dxa"/>
            <w:vMerge/>
            <w:tcBorders>
              <w:top w:val="single" w:sz="8" w:space="0" w:color="auto"/>
              <w:left w:val="single" w:sz="8" w:space="0" w:color="auto"/>
              <w:bottom w:val="single" w:sz="8" w:space="0" w:color="000000"/>
              <w:right w:val="single" w:sz="8" w:space="0" w:color="auto"/>
            </w:tcBorders>
            <w:vAlign w:val="center"/>
            <w:hideMark/>
          </w:tcPr>
          <w:p w14:paraId="32EAF616"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1571" w:type="dxa"/>
            <w:vMerge/>
            <w:tcBorders>
              <w:top w:val="single" w:sz="8" w:space="0" w:color="auto"/>
              <w:left w:val="single" w:sz="8" w:space="0" w:color="auto"/>
              <w:bottom w:val="single" w:sz="8" w:space="0" w:color="000000"/>
              <w:right w:val="single" w:sz="8" w:space="0" w:color="auto"/>
            </w:tcBorders>
            <w:vAlign w:val="center"/>
            <w:hideMark/>
          </w:tcPr>
          <w:p w14:paraId="7AEF6B7A" w14:textId="77777777" w:rsidR="00A0172D" w:rsidRPr="00A0172D" w:rsidRDefault="00A0172D" w:rsidP="00A0172D">
            <w:pPr>
              <w:spacing w:after="0" w:line="240" w:lineRule="auto"/>
              <w:rPr>
                <w:rFonts w:ascii="Roboto" w:eastAsia="Times New Roman" w:hAnsi="Roboto" w:cs="Times New Roman"/>
                <w:b/>
                <w:bCs/>
                <w:color w:val="FFFFFF"/>
                <w:kern w:val="0"/>
                <w:lang w:val="en-CA" w:eastAsia="en-CA"/>
                <w14:ligatures w14:val="none"/>
              </w:rPr>
            </w:pPr>
          </w:p>
        </w:tc>
        <w:tc>
          <w:tcPr>
            <w:tcW w:w="222" w:type="dxa"/>
            <w:tcBorders>
              <w:top w:val="nil"/>
              <w:left w:val="nil"/>
              <w:bottom w:val="nil"/>
              <w:right w:val="nil"/>
            </w:tcBorders>
            <w:shd w:val="clear" w:color="auto" w:fill="auto"/>
            <w:noWrap/>
            <w:vAlign w:val="bottom"/>
            <w:hideMark/>
          </w:tcPr>
          <w:p w14:paraId="4DFB1E15"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p>
        </w:tc>
      </w:tr>
      <w:tr w:rsidR="00D43726" w:rsidRPr="00A0172D" w14:paraId="5950C780" w14:textId="77777777" w:rsidTr="00D43726">
        <w:trPr>
          <w:trHeight w:val="491"/>
          <w:jc w:val="center"/>
        </w:trPr>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508944BB"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0.4</w:t>
            </w:r>
          </w:p>
        </w:tc>
        <w:tc>
          <w:tcPr>
            <w:tcW w:w="1958" w:type="dxa"/>
            <w:tcBorders>
              <w:top w:val="nil"/>
              <w:left w:val="nil"/>
              <w:bottom w:val="single" w:sz="8" w:space="0" w:color="auto"/>
              <w:right w:val="single" w:sz="8" w:space="0" w:color="auto"/>
            </w:tcBorders>
            <w:shd w:val="clear" w:color="auto" w:fill="auto"/>
            <w:vAlign w:val="center"/>
            <w:hideMark/>
          </w:tcPr>
          <w:p w14:paraId="3D1EA18F"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Big East, Fi Main and Fi SW</w:t>
            </w:r>
          </w:p>
        </w:tc>
        <w:tc>
          <w:tcPr>
            <w:tcW w:w="1334" w:type="dxa"/>
            <w:tcBorders>
              <w:top w:val="nil"/>
              <w:left w:val="nil"/>
              <w:bottom w:val="single" w:sz="8" w:space="0" w:color="auto"/>
              <w:right w:val="single" w:sz="8" w:space="0" w:color="auto"/>
            </w:tcBorders>
            <w:shd w:val="clear" w:color="auto" w:fill="auto"/>
            <w:noWrap/>
            <w:vAlign w:val="center"/>
            <w:hideMark/>
          </w:tcPr>
          <w:p w14:paraId="5B28CCCE"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30,265,000</w:t>
            </w:r>
          </w:p>
        </w:tc>
        <w:tc>
          <w:tcPr>
            <w:tcW w:w="994" w:type="dxa"/>
            <w:tcBorders>
              <w:top w:val="nil"/>
              <w:left w:val="nil"/>
              <w:bottom w:val="single" w:sz="8" w:space="0" w:color="auto"/>
              <w:right w:val="single" w:sz="8" w:space="0" w:color="auto"/>
            </w:tcBorders>
            <w:shd w:val="clear" w:color="auto" w:fill="auto"/>
            <w:noWrap/>
            <w:vAlign w:val="center"/>
            <w:hideMark/>
          </w:tcPr>
          <w:p w14:paraId="4745DD37"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1.05</w:t>
            </w:r>
          </w:p>
        </w:tc>
        <w:tc>
          <w:tcPr>
            <w:tcW w:w="1028" w:type="dxa"/>
            <w:tcBorders>
              <w:top w:val="nil"/>
              <w:left w:val="nil"/>
              <w:bottom w:val="single" w:sz="8" w:space="0" w:color="auto"/>
              <w:right w:val="single" w:sz="8" w:space="0" w:color="auto"/>
            </w:tcBorders>
            <w:shd w:val="clear" w:color="auto" w:fill="auto"/>
            <w:noWrap/>
            <w:vAlign w:val="center"/>
            <w:hideMark/>
          </w:tcPr>
          <w:p w14:paraId="5E4473C6"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317,000</w:t>
            </w:r>
          </w:p>
        </w:tc>
        <w:tc>
          <w:tcPr>
            <w:tcW w:w="1296" w:type="dxa"/>
            <w:tcBorders>
              <w:top w:val="nil"/>
              <w:left w:val="nil"/>
              <w:bottom w:val="single" w:sz="8" w:space="0" w:color="auto"/>
              <w:right w:val="single" w:sz="8" w:space="0" w:color="auto"/>
            </w:tcBorders>
            <w:shd w:val="clear" w:color="auto" w:fill="auto"/>
            <w:noWrap/>
            <w:vAlign w:val="center"/>
            <w:hideMark/>
          </w:tcPr>
          <w:p w14:paraId="031A693F"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784,000</w:t>
            </w:r>
          </w:p>
        </w:tc>
        <w:tc>
          <w:tcPr>
            <w:tcW w:w="1571" w:type="dxa"/>
            <w:tcBorders>
              <w:top w:val="nil"/>
              <w:left w:val="nil"/>
              <w:bottom w:val="single" w:sz="8" w:space="0" w:color="auto"/>
              <w:right w:val="single" w:sz="8" w:space="0" w:color="auto"/>
            </w:tcBorders>
            <w:shd w:val="clear" w:color="auto" w:fill="auto"/>
            <w:vAlign w:val="center"/>
            <w:hideMark/>
          </w:tcPr>
          <w:p w14:paraId="27444219"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Inferred</w:t>
            </w:r>
          </w:p>
        </w:tc>
        <w:tc>
          <w:tcPr>
            <w:tcW w:w="222" w:type="dxa"/>
            <w:vAlign w:val="center"/>
            <w:hideMark/>
          </w:tcPr>
          <w:p w14:paraId="00A87302" w14:textId="77777777" w:rsidR="00A0172D" w:rsidRPr="00A0172D" w:rsidRDefault="00A0172D" w:rsidP="00A0172D">
            <w:pPr>
              <w:spacing w:after="0" w:line="240" w:lineRule="auto"/>
              <w:rPr>
                <w:rFonts w:ascii="Times New Roman" w:eastAsia="Times New Roman" w:hAnsi="Times New Roman" w:cs="Times New Roman"/>
                <w:kern w:val="0"/>
                <w:sz w:val="20"/>
                <w:szCs w:val="20"/>
                <w:lang w:val="en-CA" w:eastAsia="en-CA"/>
                <w14:ligatures w14:val="none"/>
              </w:rPr>
            </w:pPr>
          </w:p>
        </w:tc>
      </w:tr>
      <w:tr w:rsidR="00D43726" w:rsidRPr="00A0172D" w14:paraId="7F46472E" w14:textId="77777777" w:rsidTr="00D43726">
        <w:trPr>
          <w:trHeight w:val="765"/>
          <w:jc w:val="center"/>
        </w:trPr>
        <w:tc>
          <w:tcPr>
            <w:tcW w:w="99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B02670D"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0.5</w:t>
            </w:r>
          </w:p>
        </w:tc>
        <w:tc>
          <w:tcPr>
            <w:tcW w:w="1958" w:type="dxa"/>
            <w:vMerge w:val="restart"/>
            <w:tcBorders>
              <w:top w:val="nil"/>
              <w:left w:val="single" w:sz="8" w:space="0" w:color="auto"/>
              <w:bottom w:val="single" w:sz="8" w:space="0" w:color="000000"/>
              <w:right w:val="single" w:sz="8" w:space="0" w:color="auto"/>
            </w:tcBorders>
            <w:shd w:val="clear" w:color="auto" w:fill="auto"/>
            <w:vAlign w:val="center"/>
            <w:hideMark/>
          </w:tcPr>
          <w:p w14:paraId="76380BBA"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Big West, Nite, Shorty, Echo and Ki</w:t>
            </w:r>
          </w:p>
        </w:tc>
        <w:tc>
          <w:tcPr>
            <w:tcW w:w="133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F26CCA3"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20,118,000</w:t>
            </w:r>
          </w:p>
        </w:tc>
        <w:tc>
          <w:tcPr>
            <w:tcW w:w="99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E8582F9"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0.94</w:t>
            </w:r>
          </w:p>
        </w:tc>
        <w:tc>
          <w:tcPr>
            <w:tcW w:w="102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2FE6AAB"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189,000</w:t>
            </w:r>
          </w:p>
        </w:tc>
        <w:tc>
          <w:tcPr>
            <w:tcW w:w="129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54EDE4A"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467,000</w:t>
            </w:r>
          </w:p>
        </w:tc>
        <w:tc>
          <w:tcPr>
            <w:tcW w:w="1571" w:type="dxa"/>
            <w:vMerge w:val="restart"/>
            <w:tcBorders>
              <w:top w:val="nil"/>
              <w:left w:val="single" w:sz="8" w:space="0" w:color="auto"/>
              <w:bottom w:val="single" w:sz="8" w:space="0" w:color="000000"/>
              <w:right w:val="single" w:sz="8" w:space="0" w:color="auto"/>
            </w:tcBorders>
            <w:shd w:val="clear" w:color="auto" w:fill="auto"/>
            <w:vAlign w:val="center"/>
            <w:hideMark/>
          </w:tcPr>
          <w:p w14:paraId="7DB29140"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r w:rsidRPr="00A0172D">
              <w:rPr>
                <w:rFonts w:ascii="Roboto" w:eastAsia="Times New Roman" w:hAnsi="Roboto" w:cs="Times New Roman"/>
                <w:color w:val="000000"/>
                <w:kern w:val="0"/>
                <w:lang w:val="en-CA" w:eastAsia="en-CA"/>
                <w14:ligatures w14:val="none"/>
              </w:rPr>
              <w:t>Inferred</w:t>
            </w:r>
          </w:p>
        </w:tc>
        <w:tc>
          <w:tcPr>
            <w:tcW w:w="222" w:type="dxa"/>
            <w:vAlign w:val="center"/>
            <w:hideMark/>
          </w:tcPr>
          <w:p w14:paraId="467B3252" w14:textId="77777777" w:rsidR="00A0172D" w:rsidRPr="00A0172D" w:rsidRDefault="00A0172D" w:rsidP="00A0172D">
            <w:pPr>
              <w:spacing w:after="0" w:line="240" w:lineRule="auto"/>
              <w:rPr>
                <w:rFonts w:ascii="Times New Roman" w:eastAsia="Times New Roman" w:hAnsi="Times New Roman" w:cs="Times New Roman"/>
                <w:kern w:val="0"/>
                <w:sz w:val="20"/>
                <w:szCs w:val="20"/>
                <w:lang w:val="en-CA" w:eastAsia="en-CA"/>
                <w14:ligatures w14:val="none"/>
              </w:rPr>
            </w:pPr>
          </w:p>
        </w:tc>
      </w:tr>
      <w:tr w:rsidR="00D43726" w:rsidRPr="00A0172D" w14:paraId="6D5E2EDE" w14:textId="77777777" w:rsidTr="00D43726">
        <w:trPr>
          <w:trHeight w:val="40"/>
          <w:jc w:val="center"/>
        </w:trPr>
        <w:tc>
          <w:tcPr>
            <w:tcW w:w="993" w:type="dxa"/>
            <w:vMerge/>
            <w:tcBorders>
              <w:top w:val="nil"/>
              <w:left w:val="single" w:sz="8" w:space="0" w:color="auto"/>
              <w:bottom w:val="single" w:sz="8" w:space="0" w:color="000000"/>
              <w:right w:val="single" w:sz="8" w:space="0" w:color="auto"/>
            </w:tcBorders>
            <w:vAlign w:val="center"/>
            <w:hideMark/>
          </w:tcPr>
          <w:p w14:paraId="4625B648"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2FCECAB0"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1334" w:type="dxa"/>
            <w:vMerge/>
            <w:tcBorders>
              <w:top w:val="nil"/>
              <w:left w:val="single" w:sz="8" w:space="0" w:color="auto"/>
              <w:bottom w:val="single" w:sz="8" w:space="0" w:color="000000"/>
              <w:right w:val="single" w:sz="8" w:space="0" w:color="auto"/>
            </w:tcBorders>
            <w:vAlign w:val="center"/>
            <w:hideMark/>
          </w:tcPr>
          <w:p w14:paraId="2B42964F"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994" w:type="dxa"/>
            <w:vMerge/>
            <w:tcBorders>
              <w:top w:val="nil"/>
              <w:left w:val="single" w:sz="8" w:space="0" w:color="auto"/>
              <w:bottom w:val="single" w:sz="8" w:space="0" w:color="000000"/>
              <w:right w:val="single" w:sz="8" w:space="0" w:color="auto"/>
            </w:tcBorders>
            <w:vAlign w:val="center"/>
            <w:hideMark/>
          </w:tcPr>
          <w:p w14:paraId="348D1C68"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1028" w:type="dxa"/>
            <w:vMerge/>
            <w:tcBorders>
              <w:top w:val="nil"/>
              <w:left w:val="single" w:sz="8" w:space="0" w:color="auto"/>
              <w:bottom w:val="single" w:sz="8" w:space="0" w:color="000000"/>
              <w:right w:val="single" w:sz="8" w:space="0" w:color="auto"/>
            </w:tcBorders>
            <w:vAlign w:val="center"/>
            <w:hideMark/>
          </w:tcPr>
          <w:p w14:paraId="2487951A"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1296" w:type="dxa"/>
            <w:vMerge/>
            <w:tcBorders>
              <w:top w:val="nil"/>
              <w:left w:val="single" w:sz="8" w:space="0" w:color="auto"/>
              <w:bottom w:val="single" w:sz="8" w:space="0" w:color="000000"/>
              <w:right w:val="single" w:sz="8" w:space="0" w:color="auto"/>
            </w:tcBorders>
            <w:vAlign w:val="center"/>
            <w:hideMark/>
          </w:tcPr>
          <w:p w14:paraId="006FDFB0"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1571" w:type="dxa"/>
            <w:vMerge/>
            <w:tcBorders>
              <w:top w:val="nil"/>
              <w:left w:val="single" w:sz="8" w:space="0" w:color="auto"/>
              <w:bottom w:val="single" w:sz="8" w:space="0" w:color="000000"/>
              <w:right w:val="single" w:sz="8" w:space="0" w:color="auto"/>
            </w:tcBorders>
            <w:vAlign w:val="center"/>
            <w:hideMark/>
          </w:tcPr>
          <w:p w14:paraId="5EE52339" w14:textId="77777777" w:rsidR="00A0172D" w:rsidRPr="00A0172D" w:rsidRDefault="00A0172D" w:rsidP="00A0172D">
            <w:pPr>
              <w:spacing w:after="0" w:line="240" w:lineRule="auto"/>
              <w:rPr>
                <w:rFonts w:ascii="Roboto" w:eastAsia="Times New Roman" w:hAnsi="Roboto" w:cs="Times New Roman"/>
                <w:color w:val="000000"/>
                <w:kern w:val="0"/>
                <w:lang w:val="en-CA" w:eastAsia="en-CA"/>
                <w14:ligatures w14:val="none"/>
              </w:rPr>
            </w:pPr>
          </w:p>
        </w:tc>
        <w:tc>
          <w:tcPr>
            <w:tcW w:w="222" w:type="dxa"/>
            <w:tcBorders>
              <w:top w:val="nil"/>
              <w:left w:val="nil"/>
              <w:bottom w:val="nil"/>
              <w:right w:val="nil"/>
            </w:tcBorders>
            <w:shd w:val="clear" w:color="auto" w:fill="auto"/>
            <w:noWrap/>
            <w:vAlign w:val="bottom"/>
            <w:hideMark/>
          </w:tcPr>
          <w:p w14:paraId="17853C12" w14:textId="77777777" w:rsidR="00A0172D" w:rsidRPr="00A0172D" w:rsidRDefault="00A0172D" w:rsidP="00A0172D">
            <w:pPr>
              <w:spacing w:after="0" w:line="240" w:lineRule="auto"/>
              <w:jc w:val="center"/>
              <w:rPr>
                <w:rFonts w:ascii="Roboto" w:eastAsia="Times New Roman" w:hAnsi="Roboto" w:cs="Times New Roman"/>
                <w:color w:val="000000"/>
                <w:kern w:val="0"/>
                <w:lang w:val="en-CA" w:eastAsia="en-CA"/>
                <w14:ligatures w14:val="none"/>
              </w:rPr>
            </w:pPr>
          </w:p>
        </w:tc>
      </w:tr>
      <w:tr w:rsidR="00A0172D" w:rsidRPr="00A0172D" w14:paraId="348C6C08" w14:textId="77777777" w:rsidTr="00D43726">
        <w:trPr>
          <w:trHeight w:val="315"/>
          <w:jc w:val="center"/>
        </w:trPr>
        <w:tc>
          <w:tcPr>
            <w:tcW w:w="993" w:type="dxa"/>
            <w:tcBorders>
              <w:top w:val="nil"/>
              <w:left w:val="single" w:sz="8" w:space="0" w:color="auto"/>
              <w:bottom w:val="single" w:sz="8" w:space="0" w:color="auto"/>
              <w:right w:val="single" w:sz="8" w:space="0" w:color="auto"/>
            </w:tcBorders>
            <w:shd w:val="clear" w:color="000000" w:fill="004348"/>
            <w:noWrap/>
            <w:vAlign w:val="center"/>
            <w:hideMark/>
          </w:tcPr>
          <w:p w14:paraId="5138DA8E"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Total</w:t>
            </w:r>
          </w:p>
        </w:tc>
        <w:tc>
          <w:tcPr>
            <w:tcW w:w="1958" w:type="dxa"/>
            <w:tcBorders>
              <w:top w:val="nil"/>
              <w:left w:val="nil"/>
              <w:bottom w:val="single" w:sz="8" w:space="0" w:color="auto"/>
              <w:right w:val="single" w:sz="8" w:space="0" w:color="auto"/>
            </w:tcBorders>
            <w:shd w:val="clear" w:color="000000" w:fill="004348"/>
            <w:vAlign w:val="center"/>
            <w:hideMark/>
          </w:tcPr>
          <w:p w14:paraId="0D25669C"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 </w:t>
            </w:r>
          </w:p>
        </w:tc>
        <w:tc>
          <w:tcPr>
            <w:tcW w:w="1334" w:type="dxa"/>
            <w:tcBorders>
              <w:top w:val="nil"/>
              <w:left w:val="nil"/>
              <w:bottom w:val="single" w:sz="8" w:space="0" w:color="auto"/>
              <w:right w:val="single" w:sz="8" w:space="0" w:color="auto"/>
            </w:tcBorders>
            <w:shd w:val="clear" w:color="000000" w:fill="004348"/>
            <w:noWrap/>
            <w:vAlign w:val="center"/>
            <w:hideMark/>
          </w:tcPr>
          <w:p w14:paraId="6EDE2D29"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50,383,000</w:t>
            </w:r>
          </w:p>
        </w:tc>
        <w:tc>
          <w:tcPr>
            <w:tcW w:w="994" w:type="dxa"/>
            <w:tcBorders>
              <w:top w:val="nil"/>
              <w:left w:val="nil"/>
              <w:bottom w:val="single" w:sz="8" w:space="0" w:color="auto"/>
              <w:right w:val="single" w:sz="8" w:space="0" w:color="auto"/>
            </w:tcBorders>
            <w:shd w:val="clear" w:color="000000" w:fill="004348"/>
            <w:noWrap/>
            <w:vAlign w:val="center"/>
            <w:hideMark/>
          </w:tcPr>
          <w:p w14:paraId="5C776A77"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1.00</w:t>
            </w:r>
          </w:p>
        </w:tc>
        <w:tc>
          <w:tcPr>
            <w:tcW w:w="1028" w:type="dxa"/>
            <w:tcBorders>
              <w:top w:val="nil"/>
              <w:left w:val="nil"/>
              <w:bottom w:val="single" w:sz="8" w:space="0" w:color="auto"/>
              <w:right w:val="single" w:sz="8" w:space="0" w:color="auto"/>
            </w:tcBorders>
            <w:shd w:val="clear" w:color="000000" w:fill="004348"/>
            <w:noWrap/>
            <w:vAlign w:val="center"/>
            <w:hideMark/>
          </w:tcPr>
          <w:p w14:paraId="6C3C38B6"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506,000</w:t>
            </w:r>
          </w:p>
        </w:tc>
        <w:tc>
          <w:tcPr>
            <w:tcW w:w="1296" w:type="dxa"/>
            <w:tcBorders>
              <w:top w:val="nil"/>
              <w:left w:val="nil"/>
              <w:bottom w:val="single" w:sz="8" w:space="0" w:color="auto"/>
              <w:right w:val="single" w:sz="8" w:space="0" w:color="auto"/>
            </w:tcBorders>
            <w:shd w:val="clear" w:color="000000" w:fill="004348"/>
            <w:noWrap/>
            <w:vAlign w:val="center"/>
            <w:hideMark/>
          </w:tcPr>
          <w:p w14:paraId="5D588405"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1,251,000</w:t>
            </w:r>
            <w:r w:rsidRPr="00A0172D">
              <w:rPr>
                <w:rFonts w:ascii="Aptos" w:eastAsia="Times New Roman" w:hAnsi="Aptos" w:cs="Times New Roman"/>
                <w:color w:val="FFFFFF"/>
                <w:kern w:val="0"/>
                <w:sz w:val="16"/>
                <w:szCs w:val="16"/>
                <w:lang w:val="en-CA" w:eastAsia="en-CA"/>
                <w14:ligatures w14:val="none"/>
              </w:rPr>
              <w:t> </w:t>
            </w:r>
          </w:p>
        </w:tc>
        <w:tc>
          <w:tcPr>
            <w:tcW w:w="1571" w:type="dxa"/>
            <w:tcBorders>
              <w:top w:val="nil"/>
              <w:left w:val="nil"/>
              <w:bottom w:val="single" w:sz="8" w:space="0" w:color="auto"/>
              <w:right w:val="single" w:sz="8" w:space="0" w:color="auto"/>
            </w:tcBorders>
            <w:shd w:val="clear" w:color="000000" w:fill="004348"/>
            <w:vAlign w:val="center"/>
            <w:hideMark/>
          </w:tcPr>
          <w:p w14:paraId="27CD8EDB" w14:textId="77777777" w:rsidR="00A0172D" w:rsidRPr="00A0172D" w:rsidRDefault="00A0172D" w:rsidP="00A0172D">
            <w:pPr>
              <w:spacing w:after="0" w:line="240" w:lineRule="auto"/>
              <w:jc w:val="center"/>
              <w:rPr>
                <w:rFonts w:ascii="Roboto" w:eastAsia="Times New Roman" w:hAnsi="Roboto" w:cs="Times New Roman"/>
                <w:b/>
                <w:bCs/>
                <w:color w:val="FFFFFF"/>
                <w:kern w:val="0"/>
                <w:lang w:val="en-CA" w:eastAsia="en-CA"/>
                <w14:ligatures w14:val="none"/>
              </w:rPr>
            </w:pPr>
            <w:r w:rsidRPr="00A0172D">
              <w:rPr>
                <w:rFonts w:ascii="Roboto" w:eastAsia="Times New Roman" w:hAnsi="Roboto" w:cs="Times New Roman"/>
                <w:b/>
                <w:bCs/>
                <w:color w:val="FFFFFF"/>
                <w:kern w:val="0"/>
                <w:lang w:val="en-CA" w:eastAsia="en-CA"/>
                <w14:ligatures w14:val="none"/>
              </w:rPr>
              <w:t> </w:t>
            </w:r>
          </w:p>
        </w:tc>
        <w:tc>
          <w:tcPr>
            <w:tcW w:w="222" w:type="dxa"/>
            <w:vAlign w:val="center"/>
            <w:hideMark/>
          </w:tcPr>
          <w:p w14:paraId="13EE35A3" w14:textId="77777777" w:rsidR="00A0172D" w:rsidRPr="00A0172D" w:rsidRDefault="00A0172D" w:rsidP="00A0172D">
            <w:pPr>
              <w:spacing w:after="0" w:line="240" w:lineRule="auto"/>
              <w:rPr>
                <w:rFonts w:ascii="Times New Roman" w:eastAsia="Times New Roman" w:hAnsi="Times New Roman" w:cs="Times New Roman"/>
                <w:kern w:val="0"/>
                <w:sz w:val="20"/>
                <w:szCs w:val="20"/>
                <w:lang w:val="en-CA" w:eastAsia="en-CA"/>
                <w14:ligatures w14:val="none"/>
              </w:rPr>
            </w:pPr>
          </w:p>
        </w:tc>
      </w:tr>
    </w:tbl>
    <w:p w14:paraId="7F6F6F69" w14:textId="096B4FA5" w:rsidR="00F37323" w:rsidRPr="00E31871" w:rsidRDefault="00F37323" w:rsidP="00F37323">
      <w:pPr>
        <w:rPr>
          <w:rFonts w:ascii="Roboto" w:hAnsi="Roboto"/>
          <w:i/>
          <w:sz w:val="18"/>
          <w:szCs w:val="18"/>
        </w:rPr>
      </w:pPr>
      <w:r w:rsidRPr="00E31871">
        <w:rPr>
          <w:rFonts w:ascii="Roboto" w:eastAsia="Times New Roman" w:hAnsi="Roboto" w:cs="Arial"/>
          <w:sz w:val="16"/>
          <w:szCs w:val="16"/>
          <w:lang w:val="en-CA" w:eastAsia="en-CA"/>
        </w:rPr>
        <w:t>* Lithium carbonate equivalent (“LCE”)</w:t>
      </w:r>
    </w:p>
    <w:p w14:paraId="5E33EBDF" w14:textId="454BE3D3" w:rsidR="00F37323" w:rsidRPr="003C556E" w:rsidRDefault="00F37323" w:rsidP="00F37323">
      <w:pPr>
        <w:rPr>
          <w:rFonts w:ascii="Roboto" w:hAnsi="Roboto"/>
          <w:b/>
          <w:bCs/>
          <w:i/>
          <w:sz w:val="14"/>
          <w:szCs w:val="14"/>
        </w:rPr>
      </w:pPr>
      <w:r w:rsidRPr="003C556E">
        <w:rPr>
          <w:rFonts w:ascii="Roboto" w:hAnsi="Roboto"/>
          <w:b/>
          <w:bCs/>
          <w:i/>
          <w:sz w:val="14"/>
          <w:szCs w:val="14"/>
        </w:rPr>
        <w:t xml:space="preserve">Yellowknife Lithium </w:t>
      </w:r>
      <w:r w:rsidR="00571692">
        <w:rPr>
          <w:rFonts w:ascii="Roboto" w:hAnsi="Roboto"/>
          <w:b/>
          <w:bCs/>
          <w:i/>
          <w:sz w:val="14"/>
          <w:szCs w:val="14"/>
        </w:rPr>
        <w:t>P</w:t>
      </w:r>
      <w:r w:rsidRPr="003C556E">
        <w:rPr>
          <w:rFonts w:ascii="Roboto" w:hAnsi="Roboto"/>
          <w:b/>
          <w:bCs/>
          <w:i/>
          <w:sz w:val="14"/>
          <w:szCs w:val="14"/>
        </w:rPr>
        <w:t>roject Mineral Resource Estimate Notes:</w:t>
      </w:r>
    </w:p>
    <w:p w14:paraId="08ECB40A" w14:textId="5DF640F5"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Mineral Resource Estimate (MRE) was estimated by Allan Armitage, Ph.D., P. Geo. of SGS Geological Services</w:t>
      </w:r>
      <w:r w:rsidR="001B7674">
        <w:rPr>
          <w:rFonts w:ascii="Roboto" w:hAnsi="Roboto"/>
          <w:i/>
          <w:sz w:val="14"/>
          <w:szCs w:val="14"/>
        </w:rPr>
        <w:t>,</w:t>
      </w:r>
      <w:r w:rsidRPr="003C556E">
        <w:rPr>
          <w:rFonts w:ascii="Roboto" w:hAnsi="Roboto"/>
          <w:i/>
          <w:sz w:val="14"/>
          <w:szCs w:val="14"/>
        </w:rPr>
        <w:t xml:space="preserve"> an independent Qualified Person as defined by NI 43-101.</w:t>
      </w:r>
    </w:p>
    <w:p w14:paraId="7BC397EE" w14:textId="4B26D138"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 xml:space="preserve">The classification of the current MRE into Inferred mineral resources is consistent with current 2014 CIM Definition Standards </w:t>
      </w:r>
      <w:r w:rsidR="001B7674">
        <w:rPr>
          <w:rFonts w:ascii="Roboto" w:hAnsi="Roboto"/>
          <w:i/>
          <w:sz w:val="14"/>
          <w:szCs w:val="14"/>
        </w:rPr>
        <w:t>f</w:t>
      </w:r>
      <w:r w:rsidRPr="003C556E">
        <w:rPr>
          <w:rFonts w:ascii="Roboto" w:hAnsi="Roboto"/>
          <w:i/>
          <w:sz w:val="14"/>
          <w:szCs w:val="14"/>
        </w:rPr>
        <w:t>or Mineral Resources and Mineral Reserves.</w:t>
      </w:r>
      <w:r w:rsidRPr="003C556E">
        <w:rPr>
          <w:rFonts w:ascii="Roboto" w:hAnsi="Roboto"/>
          <w:sz w:val="14"/>
          <w:szCs w:val="14"/>
        </w:rPr>
        <w:t xml:space="preserve"> </w:t>
      </w:r>
      <w:r w:rsidRPr="003C556E">
        <w:rPr>
          <w:rFonts w:ascii="Roboto" w:hAnsi="Roboto"/>
          <w:i/>
          <w:sz w:val="14"/>
          <w:szCs w:val="14"/>
        </w:rPr>
        <w:t>The effective date for the Mineral Resource Estimate is September 25, 2024.</w:t>
      </w:r>
    </w:p>
    <w:p w14:paraId="19A87D6C" w14:textId="77777777"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All figures are rounded to reflect the relative accuracy of the estimate</w:t>
      </w:r>
      <w:r w:rsidRPr="003C556E">
        <w:rPr>
          <w:rFonts w:ascii="Roboto" w:hAnsi="Roboto"/>
          <w:sz w:val="14"/>
          <w:szCs w:val="14"/>
        </w:rPr>
        <w:t xml:space="preserve"> </w:t>
      </w:r>
      <w:r w:rsidRPr="003C556E">
        <w:rPr>
          <w:rFonts w:ascii="Roboto" w:hAnsi="Roboto"/>
          <w:i/>
          <w:sz w:val="14"/>
          <w:szCs w:val="14"/>
        </w:rPr>
        <w:t>and numbers may not add due to rounding.</w:t>
      </w:r>
    </w:p>
    <w:p w14:paraId="6FE06ABA" w14:textId="77777777"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mineral resource is presented undiluted and in situ, constrained by continuous 3D wireframe models, and are considered to have reasonable prospects for eventual economic extraction.</w:t>
      </w:r>
    </w:p>
    <w:p w14:paraId="0F6B6140" w14:textId="77777777"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Mineral resources which are not mineral reserves do not have demonstrated economic viability. An Inferred Mineral Resource has a lower level of confidence than that applying to an Indicated Mineral Resource and must not be converted to a Mineral Reserve. It is reasonably expected that most Inferred Mineral Resources could be upgraded to Indicated Mineral Resources with continued exploration.</w:t>
      </w:r>
    </w:p>
    <w:p w14:paraId="257E9B82" w14:textId="34E0F863"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YLP MRE is based on a validated database which includes data from 286 surface diamond drill holes totaling 49,548 m. The resource database totals 10,842 assay intervals representing 10,846 m of drilling. The average assay sample length is 1.00 m.</w:t>
      </w:r>
    </w:p>
    <w:p w14:paraId="05209A1B" w14:textId="012FEBE4"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 xml:space="preserve">The MRE is based on 126 three-dimensional (“3D”) pegmatite resource models, constructed in Leapfrog, representing the Big East, Big West, Fi Main, Fi SW, Nite, Shorty, Echo and Ki pegmatite deposits. </w:t>
      </w:r>
      <w:r w:rsidR="001B7674" w:rsidRPr="003C556E">
        <w:rPr>
          <w:rFonts w:ascii="Roboto" w:hAnsi="Roboto"/>
          <w:i/>
          <w:sz w:val="14"/>
          <w:szCs w:val="14"/>
        </w:rPr>
        <w:t>Li</w:t>
      </w:r>
      <w:r w:rsidR="001B7674" w:rsidRPr="003C556E">
        <w:rPr>
          <w:rFonts w:ascii="Roboto" w:hAnsi="Roboto"/>
          <w:i/>
          <w:sz w:val="14"/>
          <w:szCs w:val="14"/>
          <w:vertAlign w:val="subscript"/>
        </w:rPr>
        <w:t>2</w:t>
      </w:r>
      <w:r w:rsidR="001B7674" w:rsidRPr="003C556E">
        <w:rPr>
          <w:rFonts w:ascii="Roboto" w:hAnsi="Roboto"/>
          <w:i/>
          <w:sz w:val="14"/>
          <w:szCs w:val="14"/>
        </w:rPr>
        <w:t xml:space="preserve">O </w:t>
      </w:r>
      <w:r w:rsidR="001B7674">
        <w:rPr>
          <w:rFonts w:ascii="Roboto" w:hAnsi="Roboto"/>
          <w:i/>
          <w:sz w:val="14"/>
          <w:szCs w:val="14"/>
        </w:rPr>
        <w:t>g</w:t>
      </w:r>
      <w:r w:rsidR="001B7674" w:rsidRPr="003C556E">
        <w:rPr>
          <w:rFonts w:ascii="Roboto" w:hAnsi="Roboto"/>
          <w:i/>
          <w:sz w:val="14"/>
          <w:szCs w:val="14"/>
        </w:rPr>
        <w:t xml:space="preserve">rades </w:t>
      </w:r>
      <w:r w:rsidRPr="003C556E">
        <w:rPr>
          <w:rFonts w:ascii="Roboto" w:hAnsi="Roboto"/>
          <w:i/>
          <w:sz w:val="14"/>
          <w:szCs w:val="14"/>
        </w:rPr>
        <w:t>were estimated for each mineralization domain using 1.0 metre composites. To generate grade within the blocks, the inverse distance squared (ID</w:t>
      </w:r>
      <w:r w:rsidRPr="003C556E">
        <w:rPr>
          <w:rFonts w:ascii="Roboto" w:hAnsi="Roboto"/>
          <w:i/>
          <w:sz w:val="14"/>
          <w:szCs w:val="14"/>
          <w:vertAlign w:val="superscript"/>
        </w:rPr>
        <w:t>2</w:t>
      </w:r>
      <w:r w:rsidRPr="003C556E">
        <w:rPr>
          <w:rFonts w:ascii="Roboto" w:hAnsi="Roboto"/>
          <w:i/>
          <w:sz w:val="14"/>
          <w:szCs w:val="14"/>
        </w:rPr>
        <w:t>) interpolation method was used for all deposits.</w:t>
      </w:r>
    </w:p>
    <w:p w14:paraId="4EC4A30C" w14:textId="77777777"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Average density values were assigned to pegmatite and waste domains based on a database of 2,062 samples.</w:t>
      </w:r>
    </w:p>
    <w:p w14:paraId="68AFE7C3" w14:textId="13ECAE1E" w:rsidR="00F37323" w:rsidRPr="003C556E" w:rsidRDefault="009E00D4" w:rsidP="00F37323">
      <w:pPr>
        <w:pStyle w:val="ListParagraph"/>
        <w:numPr>
          <w:ilvl w:val="0"/>
          <w:numId w:val="3"/>
        </w:numPr>
        <w:spacing w:after="120" w:line="240" w:lineRule="auto"/>
        <w:contextualSpacing w:val="0"/>
        <w:jc w:val="both"/>
        <w:rPr>
          <w:rFonts w:ascii="Roboto" w:hAnsi="Roboto"/>
          <w:i/>
          <w:sz w:val="14"/>
          <w:szCs w:val="14"/>
        </w:rPr>
      </w:pPr>
      <w:r>
        <w:rPr>
          <w:rFonts w:ascii="Roboto" w:hAnsi="Roboto"/>
          <w:i/>
          <w:sz w:val="14"/>
          <w:szCs w:val="14"/>
        </w:rPr>
        <w:t>Li-FT</w:t>
      </w:r>
      <w:r w:rsidR="00F37323" w:rsidRPr="003C556E">
        <w:rPr>
          <w:rFonts w:ascii="Roboto" w:hAnsi="Roboto"/>
          <w:i/>
          <w:sz w:val="14"/>
          <w:szCs w:val="14"/>
        </w:rPr>
        <w:t xml:space="preserve"> </w:t>
      </w:r>
      <w:r w:rsidRPr="003C556E">
        <w:rPr>
          <w:rFonts w:ascii="Roboto" w:hAnsi="Roboto"/>
          <w:i/>
          <w:sz w:val="14"/>
          <w:szCs w:val="14"/>
        </w:rPr>
        <w:t>envision</w:t>
      </w:r>
      <w:r>
        <w:rPr>
          <w:rFonts w:ascii="Roboto" w:hAnsi="Roboto"/>
          <w:i/>
          <w:sz w:val="14"/>
          <w:szCs w:val="14"/>
        </w:rPr>
        <w:t>s</w:t>
      </w:r>
      <w:r w:rsidRPr="003C556E">
        <w:rPr>
          <w:rFonts w:ascii="Roboto" w:hAnsi="Roboto"/>
          <w:i/>
          <w:sz w:val="14"/>
          <w:szCs w:val="14"/>
        </w:rPr>
        <w:t xml:space="preserve"> </w:t>
      </w:r>
      <w:r w:rsidR="00F37323" w:rsidRPr="003C556E">
        <w:rPr>
          <w:rFonts w:ascii="Roboto" w:hAnsi="Roboto"/>
          <w:i/>
          <w:sz w:val="14"/>
          <w:szCs w:val="14"/>
        </w:rPr>
        <w:t>that the YLP deposits may be mined using open-pit mining methods. Mineral resources are reported at a base case cut-off grade of 0.40 to 0.50% Li</w:t>
      </w:r>
      <w:r w:rsidR="00F37323" w:rsidRPr="003C556E">
        <w:rPr>
          <w:rFonts w:ascii="Roboto" w:hAnsi="Roboto"/>
          <w:i/>
          <w:sz w:val="14"/>
          <w:szCs w:val="14"/>
          <w:vertAlign w:val="subscript"/>
        </w:rPr>
        <w:t>2</w:t>
      </w:r>
      <w:r w:rsidR="00F37323" w:rsidRPr="003C556E">
        <w:rPr>
          <w:rFonts w:ascii="Roboto" w:hAnsi="Roboto"/>
          <w:i/>
          <w:sz w:val="14"/>
          <w:szCs w:val="14"/>
        </w:rPr>
        <w:t>O. The in-pit Mineral Resource grade blocks are quantified above the base case cut-off grades, above the constraining pit shell, below topography</w:t>
      </w:r>
      <w:r w:rsidR="001B7674">
        <w:rPr>
          <w:rFonts w:ascii="Roboto" w:hAnsi="Roboto"/>
          <w:i/>
          <w:sz w:val="14"/>
          <w:szCs w:val="14"/>
        </w:rPr>
        <w:t>,</w:t>
      </w:r>
      <w:r w:rsidR="00F37323" w:rsidRPr="003C556E">
        <w:rPr>
          <w:rFonts w:ascii="Roboto" w:hAnsi="Roboto"/>
          <w:i/>
          <w:sz w:val="14"/>
          <w:szCs w:val="14"/>
        </w:rPr>
        <w:t xml:space="preserve"> and within the constraining mineralized domains (the constraining volumes).</w:t>
      </w:r>
    </w:p>
    <w:p w14:paraId="3F5B0CF7" w14:textId="77777777"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results from the pit optimization are used solely for the purpose of testing the “reasonable prospects for economic extraction” by an open pit and do not represent an attempt to estimate mineral reserves. There are no mineral reserves on the Property. The results are used as a guide to assist in the preparation of a Mineral Resource statement and to select an appropriate resource reporting cut-off grade.</w:t>
      </w:r>
    </w:p>
    <w:p w14:paraId="230D3381" w14:textId="73EA8EBB" w:rsidR="00F37323" w:rsidRPr="003C556E" w:rsidRDefault="00F37323" w:rsidP="00F37323">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base-case Li</w:t>
      </w:r>
      <w:r w:rsidRPr="003C556E">
        <w:rPr>
          <w:rFonts w:ascii="Roboto" w:hAnsi="Roboto"/>
          <w:i/>
          <w:sz w:val="14"/>
          <w:szCs w:val="14"/>
          <w:vertAlign w:val="subscript"/>
        </w:rPr>
        <w:t>2</w:t>
      </w:r>
      <w:r w:rsidRPr="003C556E">
        <w:rPr>
          <w:rFonts w:ascii="Roboto" w:hAnsi="Roboto"/>
          <w:i/>
          <w:sz w:val="14"/>
          <w:szCs w:val="14"/>
        </w:rPr>
        <w:t>O Cut-off grade considers the following assumptions: a lithium concentrate (5.5% Li</w:t>
      </w:r>
      <w:r w:rsidRPr="003C556E">
        <w:rPr>
          <w:rFonts w:ascii="Roboto" w:hAnsi="Roboto"/>
          <w:i/>
          <w:sz w:val="14"/>
          <w:szCs w:val="14"/>
          <w:vertAlign w:val="subscript"/>
        </w:rPr>
        <w:t>2</w:t>
      </w:r>
      <w:r w:rsidRPr="003C556E">
        <w:rPr>
          <w:rFonts w:ascii="Roboto" w:hAnsi="Roboto"/>
          <w:i/>
          <w:sz w:val="14"/>
          <w:szCs w:val="14"/>
        </w:rPr>
        <w:t>O) price of US$920/t</w:t>
      </w:r>
      <w:r w:rsidR="0082536A">
        <w:rPr>
          <w:rFonts w:ascii="Roboto" w:hAnsi="Roboto"/>
          <w:i/>
          <w:sz w:val="14"/>
          <w:szCs w:val="14"/>
        </w:rPr>
        <w:t xml:space="preserve">, </w:t>
      </w:r>
      <w:r w:rsidRPr="003C556E">
        <w:rPr>
          <w:rFonts w:ascii="Roboto" w:hAnsi="Roboto"/>
          <w:i/>
          <w:sz w:val="14"/>
          <w:szCs w:val="14"/>
        </w:rPr>
        <w:t>a mining cost of US$3.25/t mined, processing, treatment, refining, G&amp;A and transportation cost of USD$19.50/t of mineralized material, metallurgical DMS recovery of 60%</w:t>
      </w:r>
      <w:r w:rsidR="009E00D4">
        <w:rPr>
          <w:rFonts w:ascii="Roboto" w:hAnsi="Roboto"/>
          <w:i/>
          <w:sz w:val="14"/>
          <w:szCs w:val="14"/>
        </w:rPr>
        <w:t xml:space="preserve"> was assumed</w:t>
      </w:r>
      <w:r w:rsidRPr="003C556E">
        <w:rPr>
          <w:rFonts w:ascii="Roboto" w:hAnsi="Roboto"/>
          <w:i/>
          <w:sz w:val="14"/>
          <w:szCs w:val="14"/>
        </w:rPr>
        <w:t xml:space="preserve">, </w:t>
      </w:r>
      <w:r w:rsidR="009E00D4">
        <w:rPr>
          <w:rFonts w:ascii="Roboto" w:hAnsi="Roboto"/>
          <w:i/>
          <w:sz w:val="14"/>
          <w:szCs w:val="14"/>
        </w:rPr>
        <w:t xml:space="preserve">as were </w:t>
      </w:r>
      <w:r w:rsidRPr="003C556E">
        <w:rPr>
          <w:rFonts w:ascii="Roboto" w:hAnsi="Roboto"/>
          <w:i/>
          <w:sz w:val="14"/>
          <w:szCs w:val="14"/>
        </w:rPr>
        <w:t>pit slope angles of 60º and mining loss and dilution of 5% and 5%.</w:t>
      </w:r>
    </w:p>
    <w:p w14:paraId="085E095E" w14:textId="018B390F" w:rsidR="00F37323" w:rsidRDefault="00F37323" w:rsidP="003C556E">
      <w:pPr>
        <w:pStyle w:val="ListParagraph"/>
        <w:numPr>
          <w:ilvl w:val="0"/>
          <w:numId w:val="3"/>
        </w:numPr>
        <w:spacing w:after="120" w:line="240" w:lineRule="auto"/>
        <w:contextualSpacing w:val="0"/>
        <w:jc w:val="both"/>
        <w:rPr>
          <w:rFonts w:ascii="Roboto" w:hAnsi="Roboto"/>
          <w:i/>
          <w:sz w:val="14"/>
          <w:szCs w:val="14"/>
        </w:rPr>
      </w:pPr>
      <w:r w:rsidRPr="003C556E">
        <w:rPr>
          <w:rFonts w:ascii="Roboto" w:hAnsi="Roboto"/>
          <w:i/>
          <w:sz w:val="14"/>
          <w:szCs w:val="14"/>
        </w:rPr>
        <w:t>The estimate of Mineral Resources may be materially affected by environmental, permitting, legal, title, taxation, socio-political, marketing, or other relevant issues.</w:t>
      </w:r>
    </w:p>
    <w:p w14:paraId="04F8866A" w14:textId="77777777" w:rsidR="007F634A" w:rsidRPr="003C556E" w:rsidRDefault="007F634A" w:rsidP="007F634A">
      <w:pPr>
        <w:pStyle w:val="ListParagraph"/>
        <w:spacing w:after="120" w:line="240" w:lineRule="auto"/>
        <w:contextualSpacing w:val="0"/>
        <w:jc w:val="both"/>
        <w:rPr>
          <w:rFonts w:ascii="Roboto" w:hAnsi="Roboto"/>
          <w:i/>
          <w:sz w:val="14"/>
          <w:szCs w:val="14"/>
        </w:rPr>
      </w:pPr>
    </w:p>
    <w:p w14:paraId="0C6AB20C" w14:textId="1E9FDD74" w:rsidR="00FA2B72" w:rsidRPr="004D0E94" w:rsidRDefault="00986305" w:rsidP="004D0E94">
      <w:pPr>
        <w:rPr>
          <w:rFonts w:ascii="Roboto" w:hAnsi="Roboto"/>
        </w:rPr>
      </w:pPr>
      <w:r>
        <w:rPr>
          <w:noProof/>
          <w:sz w:val="16"/>
          <w:szCs w:val="16"/>
        </w:rPr>
        <w:lastRenderedPageBreak/>
        <w:drawing>
          <wp:inline distT="0" distB="0" distL="0" distR="0" wp14:anchorId="75FF7D69" wp14:editId="51983BC2">
            <wp:extent cx="5943600" cy="2899410"/>
            <wp:effectExtent l="0" t="0" r="0" b="0"/>
            <wp:docPr id="277414953" name="Picture 7" descr="A diagram of different types of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14953" name="Picture 7" descr="A diagram of different types of circl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899410"/>
                    </a:xfrm>
                    <a:prstGeom prst="rect">
                      <a:avLst/>
                    </a:prstGeom>
                  </pic:spPr>
                </pic:pic>
              </a:graphicData>
            </a:graphic>
          </wp:inline>
        </w:drawing>
      </w:r>
    </w:p>
    <w:p w14:paraId="7E85D8AC" w14:textId="4CB029BE" w:rsidR="00795562" w:rsidRDefault="003C556E" w:rsidP="00741DFC">
      <w:pPr>
        <w:jc w:val="both"/>
        <w:rPr>
          <w:rFonts w:ascii="Roboto" w:hAnsi="Roboto"/>
          <w:i/>
          <w:iCs/>
          <w:sz w:val="16"/>
          <w:szCs w:val="16"/>
        </w:rPr>
      </w:pPr>
      <w:r w:rsidRPr="004D0E94">
        <w:rPr>
          <w:rFonts w:ascii="Roboto" w:hAnsi="Roboto"/>
          <w:i/>
          <w:iCs/>
          <w:sz w:val="16"/>
          <w:szCs w:val="16"/>
        </w:rPr>
        <w:t xml:space="preserve">Figure </w:t>
      </w:r>
      <w:r w:rsidR="008E5766">
        <w:rPr>
          <w:rFonts w:ascii="Roboto" w:hAnsi="Roboto"/>
          <w:i/>
          <w:iCs/>
          <w:sz w:val="16"/>
          <w:szCs w:val="16"/>
        </w:rPr>
        <w:t>2</w:t>
      </w:r>
      <w:r w:rsidRPr="004D0E94">
        <w:rPr>
          <w:rFonts w:ascii="Roboto" w:hAnsi="Roboto"/>
          <w:i/>
          <w:iCs/>
          <w:sz w:val="16"/>
          <w:szCs w:val="16"/>
        </w:rPr>
        <w:t xml:space="preserve"> </w:t>
      </w:r>
      <w:r w:rsidR="004C3561">
        <w:rPr>
          <w:rFonts w:ascii="Roboto" w:hAnsi="Roboto"/>
          <w:i/>
          <w:iCs/>
          <w:sz w:val="16"/>
          <w:szCs w:val="16"/>
        </w:rPr>
        <w:t>–</w:t>
      </w:r>
      <w:r w:rsidR="003B1CDC">
        <w:rPr>
          <w:rFonts w:ascii="Roboto" w:hAnsi="Roboto"/>
          <w:i/>
          <w:iCs/>
          <w:sz w:val="16"/>
          <w:szCs w:val="16"/>
        </w:rPr>
        <w:t xml:space="preserve"> </w:t>
      </w:r>
      <w:r w:rsidR="004C3561">
        <w:rPr>
          <w:rFonts w:ascii="Roboto" w:hAnsi="Roboto"/>
          <w:i/>
          <w:iCs/>
          <w:sz w:val="16"/>
          <w:szCs w:val="16"/>
        </w:rPr>
        <w:t xml:space="preserve">Scatterplot of spodumene projects in the Americas (MRE vs. Grade). </w:t>
      </w:r>
      <w:r w:rsidR="009E00D4">
        <w:rPr>
          <w:rFonts w:ascii="Roboto" w:hAnsi="Roboto"/>
          <w:i/>
          <w:iCs/>
          <w:sz w:val="16"/>
          <w:szCs w:val="16"/>
        </w:rPr>
        <w:t>A</w:t>
      </w:r>
      <w:r w:rsidR="009E00D4" w:rsidRPr="004D0E94">
        <w:rPr>
          <w:rFonts w:ascii="Roboto" w:hAnsi="Roboto"/>
          <w:i/>
          <w:iCs/>
          <w:sz w:val="16"/>
          <w:szCs w:val="16"/>
        </w:rPr>
        <w:t xml:space="preserve">fter only </w:t>
      </w:r>
      <w:r w:rsidR="00AE602E">
        <w:rPr>
          <w:rFonts w:ascii="Roboto" w:hAnsi="Roboto"/>
          <w:i/>
          <w:iCs/>
          <w:sz w:val="16"/>
          <w:szCs w:val="16"/>
        </w:rPr>
        <w:t>10 months</w:t>
      </w:r>
      <w:r w:rsidR="009E00D4" w:rsidRPr="004D0E94">
        <w:rPr>
          <w:rFonts w:ascii="Roboto" w:hAnsi="Roboto"/>
          <w:i/>
          <w:iCs/>
          <w:sz w:val="16"/>
          <w:szCs w:val="16"/>
        </w:rPr>
        <w:t xml:space="preserve"> of drilling</w:t>
      </w:r>
      <w:r w:rsidR="009E00D4">
        <w:rPr>
          <w:rFonts w:ascii="Roboto" w:hAnsi="Roboto"/>
          <w:i/>
          <w:iCs/>
          <w:sz w:val="16"/>
          <w:szCs w:val="16"/>
        </w:rPr>
        <w:t>, t</w:t>
      </w:r>
      <w:r w:rsidR="009E00D4" w:rsidRPr="004D0E94">
        <w:rPr>
          <w:rFonts w:ascii="Roboto" w:hAnsi="Roboto"/>
          <w:i/>
          <w:iCs/>
          <w:sz w:val="16"/>
          <w:szCs w:val="16"/>
        </w:rPr>
        <w:t xml:space="preserve">he </w:t>
      </w:r>
      <w:r w:rsidRPr="004D0E94">
        <w:rPr>
          <w:rFonts w:ascii="Roboto" w:hAnsi="Roboto"/>
          <w:i/>
          <w:iCs/>
          <w:sz w:val="16"/>
          <w:szCs w:val="16"/>
        </w:rPr>
        <w:t xml:space="preserve">estimated 50.4 million tons at a grade of 1.00% </w:t>
      </w:r>
      <w:proofErr w:type="spellStart"/>
      <w:r w:rsidRPr="004D0E94">
        <w:rPr>
          <w:rFonts w:ascii="Roboto" w:hAnsi="Roboto"/>
          <w:i/>
          <w:iCs/>
          <w:sz w:val="16"/>
          <w:szCs w:val="16"/>
        </w:rPr>
        <w:t>Li</w:t>
      </w:r>
      <w:r w:rsidRPr="004D0E94">
        <w:rPr>
          <w:rFonts w:ascii="Times New Roman" w:hAnsi="Times New Roman" w:cs="Times New Roman"/>
          <w:i/>
          <w:iCs/>
          <w:sz w:val="16"/>
          <w:szCs w:val="16"/>
        </w:rPr>
        <w:t>₂</w:t>
      </w:r>
      <w:r w:rsidRPr="004D0E94">
        <w:rPr>
          <w:rFonts w:ascii="Roboto" w:hAnsi="Roboto"/>
          <w:i/>
          <w:iCs/>
          <w:sz w:val="16"/>
          <w:szCs w:val="16"/>
        </w:rPr>
        <w:t>O</w:t>
      </w:r>
      <w:proofErr w:type="spellEnd"/>
      <w:r w:rsidRPr="004D0E94">
        <w:rPr>
          <w:rFonts w:ascii="Roboto" w:hAnsi="Roboto"/>
          <w:i/>
          <w:iCs/>
          <w:sz w:val="16"/>
          <w:szCs w:val="16"/>
        </w:rPr>
        <w:t>, ranks the YLP project as on</w:t>
      </w:r>
      <w:r w:rsidR="0072032C" w:rsidRPr="004D0E94">
        <w:rPr>
          <w:rFonts w:ascii="Roboto" w:hAnsi="Roboto"/>
          <w:i/>
          <w:iCs/>
          <w:sz w:val="16"/>
          <w:szCs w:val="16"/>
        </w:rPr>
        <w:t>e</w:t>
      </w:r>
      <w:r w:rsidRPr="004D0E94">
        <w:rPr>
          <w:rFonts w:ascii="Roboto" w:hAnsi="Roboto"/>
          <w:i/>
          <w:iCs/>
          <w:sz w:val="16"/>
          <w:szCs w:val="16"/>
        </w:rPr>
        <w:t xml:space="preserve"> of the top 10 largest spodumene project in the </w:t>
      </w:r>
      <w:r w:rsidR="00D109C4" w:rsidRPr="004D0E94">
        <w:rPr>
          <w:rFonts w:ascii="Roboto" w:hAnsi="Roboto"/>
          <w:i/>
          <w:iCs/>
          <w:sz w:val="16"/>
          <w:szCs w:val="16"/>
        </w:rPr>
        <w:t>Americas.</w:t>
      </w:r>
      <w:r w:rsidR="00EC164F">
        <w:rPr>
          <w:rFonts w:ascii="Roboto" w:hAnsi="Roboto"/>
          <w:i/>
          <w:iCs/>
          <w:sz w:val="16"/>
          <w:szCs w:val="16"/>
        </w:rPr>
        <w:t xml:space="preserve"> Sources: Company disclosures.</w:t>
      </w:r>
    </w:p>
    <w:p w14:paraId="39C2E703" w14:textId="77777777" w:rsidR="008D1740" w:rsidRPr="00741DFC" w:rsidRDefault="008D1740" w:rsidP="00741DFC">
      <w:pPr>
        <w:jc w:val="both"/>
        <w:rPr>
          <w:rFonts w:ascii="Roboto" w:hAnsi="Roboto"/>
          <w:i/>
          <w:iCs/>
          <w:sz w:val="16"/>
          <w:szCs w:val="16"/>
        </w:rPr>
      </w:pPr>
    </w:p>
    <w:p w14:paraId="15E5FB24" w14:textId="571392FC" w:rsidR="00F37323" w:rsidRPr="00E31871" w:rsidRDefault="00741DFC" w:rsidP="00741DFC">
      <w:pPr>
        <w:pStyle w:val="ListParagraph"/>
        <w:ind w:left="360"/>
        <w:jc w:val="both"/>
        <w:rPr>
          <w:rFonts w:ascii="Roboto" w:hAnsi="Roboto"/>
        </w:rPr>
      </w:pPr>
      <w:r>
        <w:rPr>
          <w:noProof/>
          <w:sz w:val="16"/>
          <w:szCs w:val="16"/>
        </w:rPr>
        <w:drawing>
          <wp:inline distT="0" distB="0" distL="0" distR="0" wp14:anchorId="24FAC296" wp14:editId="1DE5E948">
            <wp:extent cx="5356526" cy="4061460"/>
            <wp:effectExtent l="0" t="0" r="0" b="0"/>
            <wp:docPr id="777319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319347" name="Picture 77731934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70062" cy="4071723"/>
                    </a:xfrm>
                    <a:prstGeom prst="rect">
                      <a:avLst/>
                    </a:prstGeom>
                  </pic:spPr>
                </pic:pic>
              </a:graphicData>
            </a:graphic>
          </wp:inline>
        </w:drawing>
      </w:r>
    </w:p>
    <w:p w14:paraId="32E04ED3" w14:textId="78EEE19E" w:rsidR="00F37323" w:rsidRPr="0073707D" w:rsidRDefault="00F37323" w:rsidP="003C556E">
      <w:pPr>
        <w:jc w:val="both"/>
        <w:rPr>
          <w:rFonts w:ascii="Roboto" w:hAnsi="Roboto"/>
          <w:i/>
          <w:iCs/>
          <w:sz w:val="16"/>
          <w:szCs w:val="16"/>
        </w:rPr>
      </w:pPr>
      <w:r w:rsidRPr="0073707D">
        <w:rPr>
          <w:rFonts w:ascii="Roboto" w:hAnsi="Roboto"/>
          <w:i/>
          <w:iCs/>
          <w:sz w:val="16"/>
          <w:szCs w:val="16"/>
        </w:rPr>
        <w:t xml:space="preserve">Figure </w:t>
      </w:r>
      <w:r w:rsidR="008E5766" w:rsidRPr="0073707D">
        <w:rPr>
          <w:rFonts w:ascii="Roboto" w:hAnsi="Roboto"/>
          <w:i/>
          <w:iCs/>
          <w:sz w:val="16"/>
          <w:szCs w:val="16"/>
        </w:rPr>
        <w:t>3</w:t>
      </w:r>
      <w:r w:rsidR="005762DB" w:rsidRPr="0073707D">
        <w:rPr>
          <w:rFonts w:ascii="Roboto" w:hAnsi="Roboto"/>
          <w:i/>
          <w:iCs/>
          <w:sz w:val="16"/>
          <w:szCs w:val="16"/>
        </w:rPr>
        <w:t xml:space="preserve"> -</w:t>
      </w:r>
      <w:r w:rsidRPr="0073707D">
        <w:rPr>
          <w:rFonts w:ascii="Roboto" w:hAnsi="Roboto"/>
          <w:i/>
          <w:iCs/>
          <w:sz w:val="16"/>
          <w:szCs w:val="16"/>
        </w:rPr>
        <w:t xml:space="preserve"> 8 of 1</w:t>
      </w:r>
      <w:r w:rsidR="005762DB" w:rsidRPr="0073707D">
        <w:rPr>
          <w:rFonts w:ascii="Roboto" w:hAnsi="Roboto"/>
          <w:i/>
          <w:iCs/>
          <w:sz w:val="16"/>
          <w:szCs w:val="16"/>
        </w:rPr>
        <w:t xml:space="preserve">3 </w:t>
      </w:r>
      <w:r w:rsidRPr="0073707D">
        <w:rPr>
          <w:rFonts w:ascii="Roboto" w:hAnsi="Roboto"/>
          <w:i/>
          <w:iCs/>
          <w:sz w:val="16"/>
          <w:szCs w:val="16"/>
        </w:rPr>
        <w:t>resource pegmatites dykes with 2024 drilling plotted.  The initial MRE was calculated from 286 drill holes or 4</w:t>
      </w:r>
      <w:r w:rsidR="00CE37FA">
        <w:rPr>
          <w:rFonts w:ascii="Roboto" w:hAnsi="Roboto"/>
          <w:i/>
          <w:iCs/>
          <w:sz w:val="16"/>
          <w:szCs w:val="16"/>
        </w:rPr>
        <w:t>9</w:t>
      </w:r>
      <w:r w:rsidRPr="0073707D">
        <w:rPr>
          <w:rFonts w:ascii="Roboto" w:hAnsi="Roboto"/>
          <w:i/>
          <w:iCs/>
          <w:sz w:val="16"/>
          <w:szCs w:val="16"/>
        </w:rPr>
        <w:t>,5</w:t>
      </w:r>
      <w:r w:rsidR="00CE37FA">
        <w:rPr>
          <w:rFonts w:ascii="Roboto" w:hAnsi="Roboto"/>
          <w:i/>
          <w:iCs/>
          <w:sz w:val="16"/>
          <w:szCs w:val="16"/>
        </w:rPr>
        <w:t>4</w:t>
      </w:r>
      <w:r w:rsidRPr="0073707D">
        <w:rPr>
          <w:rFonts w:ascii="Roboto" w:hAnsi="Roboto"/>
          <w:i/>
          <w:iCs/>
          <w:sz w:val="16"/>
          <w:szCs w:val="16"/>
        </w:rPr>
        <w:t>8m of drilling</w:t>
      </w:r>
      <w:r w:rsidR="0073707D" w:rsidRPr="0073707D">
        <w:rPr>
          <w:rFonts w:ascii="Roboto" w:hAnsi="Roboto"/>
          <w:i/>
          <w:iCs/>
          <w:sz w:val="16"/>
          <w:szCs w:val="16"/>
        </w:rPr>
        <w:t xml:space="preserve">, using </w:t>
      </w:r>
      <w:r w:rsidR="0073707D" w:rsidRPr="0073707D">
        <w:rPr>
          <w:rFonts w:ascii="Roboto" w:hAnsi="Roboto"/>
          <w:i/>
          <w:sz w:val="16"/>
          <w:szCs w:val="16"/>
        </w:rPr>
        <w:t xml:space="preserve">126 three-dimensional (“3D”) pegmatite </w:t>
      </w:r>
      <w:r w:rsidR="0073707D">
        <w:rPr>
          <w:rFonts w:ascii="Roboto" w:hAnsi="Roboto"/>
          <w:i/>
          <w:sz w:val="16"/>
          <w:szCs w:val="16"/>
        </w:rPr>
        <w:t>geology</w:t>
      </w:r>
      <w:r w:rsidR="0073707D" w:rsidRPr="0073707D">
        <w:rPr>
          <w:rFonts w:ascii="Roboto" w:hAnsi="Roboto"/>
          <w:i/>
          <w:sz w:val="16"/>
          <w:szCs w:val="16"/>
        </w:rPr>
        <w:t xml:space="preserve"> models</w:t>
      </w:r>
      <w:r w:rsidR="00D81106">
        <w:rPr>
          <w:rFonts w:ascii="Roboto" w:hAnsi="Roboto"/>
          <w:i/>
          <w:sz w:val="16"/>
          <w:szCs w:val="16"/>
        </w:rPr>
        <w:t xml:space="preserve"> constructed from surface mapping and drill core logging.</w:t>
      </w:r>
    </w:p>
    <w:p w14:paraId="502C430F" w14:textId="77777777" w:rsidR="008E5766" w:rsidRDefault="008E5766" w:rsidP="008E5766">
      <w:pPr>
        <w:pStyle w:val="Caption"/>
        <w:rPr>
          <w:rFonts w:ascii="Roboto" w:hAnsi="Roboto"/>
          <w:sz w:val="20"/>
        </w:rPr>
      </w:pPr>
    </w:p>
    <w:p w14:paraId="4AEBF3C5" w14:textId="3920D544" w:rsidR="008E5766" w:rsidRDefault="00AE602E" w:rsidP="008E5766">
      <w:pPr>
        <w:pStyle w:val="Caption"/>
        <w:rPr>
          <w:rFonts w:ascii="Roboto" w:hAnsi="Roboto"/>
          <w:sz w:val="20"/>
        </w:rPr>
      </w:pPr>
      <w:r>
        <w:rPr>
          <w:iCs/>
          <w:noProof/>
          <w:sz w:val="18"/>
          <w:szCs w:val="18"/>
        </w:rPr>
        <w:drawing>
          <wp:inline distT="0" distB="0" distL="0" distR="0" wp14:anchorId="3BA268C5" wp14:editId="33912ADD">
            <wp:extent cx="5754231" cy="5263881"/>
            <wp:effectExtent l="0" t="0" r="0" b="0"/>
            <wp:docPr id="2879259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925917"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5767276" cy="5275814"/>
                    </a:xfrm>
                    <a:prstGeom prst="rect">
                      <a:avLst/>
                    </a:prstGeom>
                  </pic:spPr>
                </pic:pic>
              </a:graphicData>
            </a:graphic>
          </wp:inline>
        </w:drawing>
      </w:r>
    </w:p>
    <w:p w14:paraId="229D37A2" w14:textId="77777777" w:rsidR="008E5766" w:rsidRDefault="008E5766" w:rsidP="00C35AEA">
      <w:pPr>
        <w:pStyle w:val="Caption"/>
        <w:jc w:val="left"/>
        <w:rPr>
          <w:rFonts w:ascii="Roboto" w:hAnsi="Roboto"/>
          <w:sz w:val="20"/>
        </w:rPr>
      </w:pPr>
    </w:p>
    <w:p w14:paraId="2C8CF5D0" w14:textId="472EA49F" w:rsidR="00AE602E" w:rsidRPr="0073707D" w:rsidRDefault="00D109C4" w:rsidP="00AE602E">
      <w:pPr>
        <w:jc w:val="both"/>
        <w:rPr>
          <w:rFonts w:ascii="Roboto" w:hAnsi="Roboto"/>
          <w:i/>
          <w:iCs/>
          <w:sz w:val="16"/>
          <w:szCs w:val="16"/>
        </w:rPr>
      </w:pPr>
      <w:r>
        <w:rPr>
          <w:rFonts w:ascii="Roboto" w:hAnsi="Roboto"/>
          <w:i/>
          <w:sz w:val="16"/>
          <w:szCs w:val="16"/>
        </w:rPr>
        <w:t>F</w:t>
      </w:r>
      <w:r w:rsidR="00AE602E" w:rsidRPr="008A73F3">
        <w:rPr>
          <w:rFonts w:ascii="Roboto" w:hAnsi="Roboto"/>
          <w:i/>
          <w:sz w:val="16"/>
          <w:szCs w:val="16"/>
        </w:rPr>
        <w:t>igure 4 -</w:t>
      </w:r>
      <w:r w:rsidR="00AD1498">
        <w:rPr>
          <w:rFonts w:ascii="Roboto" w:hAnsi="Roboto"/>
          <w:i/>
          <w:sz w:val="16"/>
          <w:szCs w:val="16"/>
        </w:rPr>
        <w:t xml:space="preserve"> </w:t>
      </w:r>
      <w:r w:rsidR="00A750B2">
        <w:rPr>
          <w:rFonts w:ascii="Roboto" w:hAnsi="Roboto"/>
          <w:i/>
          <w:sz w:val="16"/>
          <w:szCs w:val="16"/>
        </w:rPr>
        <w:t>Isometric views of the eight i</w:t>
      </w:r>
      <w:r w:rsidR="00AE602E" w:rsidRPr="008A73F3">
        <w:rPr>
          <w:rFonts w:ascii="Roboto" w:hAnsi="Roboto"/>
          <w:i/>
          <w:sz w:val="16"/>
          <w:szCs w:val="16"/>
        </w:rPr>
        <w:t xml:space="preserve">n-pit </w:t>
      </w:r>
      <w:r w:rsidR="00AD1498">
        <w:rPr>
          <w:rFonts w:ascii="Roboto" w:hAnsi="Roboto"/>
          <w:i/>
          <w:sz w:val="16"/>
          <w:szCs w:val="16"/>
        </w:rPr>
        <w:t>resource estimates</w:t>
      </w:r>
      <w:r w:rsidR="00AE602E">
        <w:rPr>
          <w:rFonts w:ascii="Roboto" w:hAnsi="Roboto"/>
          <w:i/>
          <w:sz w:val="16"/>
          <w:szCs w:val="16"/>
        </w:rPr>
        <w:t xml:space="preserve"> </w:t>
      </w:r>
      <w:r w:rsidR="00AE602E" w:rsidRPr="008A73F3">
        <w:rPr>
          <w:rFonts w:ascii="Roboto" w:hAnsi="Roboto"/>
          <w:i/>
          <w:sz w:val="16"/>
          <w:szCs w:val="16"/>
        </w:rPr>
        <w:t>at the Yellowknife Lithium Project.</w:t>
      </w:r>
      <w:r w:rsidR="00AE602E">
        <w:rPr>
          <w:rFonts w:ascii="Roboto" w:hAnsi="Roboto"/>
          <w:i/>
          <w:sz w:val="16"/>
          <w:szCs w:val="16"/>
        </w:rPr>
        <w:t xml:space="preserve"> </w:t>
      </w:r>
      <w:r w:rsidR="00AE602E" w:rsidRPr="0073707D">
        <w:rPr>
          <w:rFonts w:ascii="Roboto" w:hAnsi="Roboto"/>
          <w:i/>
          <w:iCs/>
          <w:sz w:val="16"/>
          <w:szCs w:val="16"/>
        </w:rPr>
        <w:t xml:space="preserve">The </w:t>
      </w:r>
      <w:r w:rsidR="00A750B2">
        <w:rPr>
          <w:rFonts w:ascii="Roboto" w:hAnsi="Roboto"/>
          <w:i/>
          <w:iCs/>
          <w:sz w:val="16"/>
          <w:szCs w:val="16"/>
        </w:rPr>
        <w:t xml:space="preserve">resource </w:t>
      </w:r>
      <w:r w:rsidR="00AE602E">
        <w:rPr>
          <w:rFonts w:ascii="Roboto" w:hAnsi="Roboto"/>
          <w:i/>
          <w:iCs/>
          <w:sz w:val="16"/>
          <w:szCs w:val="16"/>
        </w:rPr>
        <w:t>blocks</w:t>
      </w:r>
      <w:r w:rsidR="00AE602E" w:rsidRPr="0073707D">
        <w:rPr>
          <w:rFonts w:ascii="Roboto" w:hAnsi="Roboto"/>
          <w:i/>
          <w:iCs/>
          <w:sz w:val="16"/>
          <w:szCs w:val="16"/>
        </w:rPr>
        <w:t xml:space="preserve"> w</w:t>
      </w:r>
      <w:r w:rsidR="00AE602E">
        <w:rPr>
          <w:rFonts w:ascii="Roboto" w:hAnsi="Roboto"/>
          <w:i/>
          <w:iCs/>
          <w:sz w:val="16"/>
          <w:szCs w:val="16"/>
        </w:rPr>
        <w:t>ere</w:t>
      </w:r>
      <w:r w:rsidR="00AE602E" w:rsidRPr="0073707D">
        <w:rPr>
          <w:rFonts w:ascii="Roboto" w:hAnsi="Roboto"/>
          <w:i/>
          <w:iCs/>
          <w:sz w:val="16"/>
          <w:szCs w:val="16"/>
        </w:rPr>
        <w:t xml:space="preserve"> calculated </w:t>
      </w:r>
      <w:r w:rsidR="00AE602E">
        <w:rPr>
          <w:rFonts w:ascii="Roboto" w:hAnsi="Roboto"/>
          <w:i/>
          <w:iCs/>
          <w:sz w:val="16"/>
          <w:szCs w:val="16"/>
        </w:rPr>
        <w:t xml:space="preserve">using </w:t>
      </w:r>
      <w:r w:rsidR="00A750B2">
        <w:rPr>
          <w:rFonts w:ascii="Roboto" w:hAnsi="Roboto"/>
          <w:i/>
          <w:iCs/>
          <w:sz w:val="16"/>
          <w:szCs w:val="16"/>
        </w:rPr>
        <w:t xml:space="preserve">Li </w:t>
      </w:r>
      <w:r w:rsidR="00AE602E">
        <w:rPr>
          <w:rFonts w:ascii="Roboto" w:hAnsi="Roboto"/>
          <w:i/>
          <w:iCs/>
          <w:sz w:val="16"/>
          <w:szCs w:val="16"/>
        </w:rPr>
        <w:t>assay data from</w:t>
      </w:r>
      <w:r w:rsidR="00AE602E" w:rsidRPr="0073707D">
        <w:rPr>
          <w:rFonts w:ascii="Roboto" w:hAnsi="Roboto"/>
          <w:i/>
          <w:iCs/>
          <w:sz w:val="16"/>
          <w:szCs w:val="16"/>
        </w:rPr>
        <w:t xml:space="preserve"> 286 drill holes, </w:t>
      </w:r>
      <w:r w:rsidR="00A750B2">
        <w:rPr>
          <w:rFonts w:ascii="Roboto" w:hAnsi="Roboto"/>
          <w:i/>
          <w:iCs/>
          <w:sz w:val="16"/>
          <w:szCs w:val="16"/>
        </w:rPr>
        <w:t>within</w:t>
      </w:r>
      <w:r w:rsidR="00AE602E" w:rsidRPr="0073707D">
        <w:rPr>
          <w:rFonts w:ascii="Roboto" w:hAnsi="Roboto"/>
          <w:i/>
          <w:iCs/>
          <w:sz w:val="16"/>
          <w:szCs w:val="16"/>
        </w:rPr>
        <w:t xml:space="preserve"> </w:t>
      </w:r>
      <w:r w:rsidR="00AE602E" w:rsidRPr="0073707D">
        <w:rPr>
          <w:rFonts w:ascii="Roboto" w:hAnsi="Roboto"/>
          <w:i/>
          <w:sz w:val="16"/>
          <w:szCs w:val="16"/>
        </w:rPr>
        <w:t xml:space="preserve">126 three-dimensional (“3D”) pegmatite </w:t>
      </w:r>
      <w:r w:rsidR="00AE602E">
        <w:rPr>
          <w:rFonts w:ascii="Roboto" w:hAnsi="Roboto"/>
          <w:i/>
          <w:sz w:val="16"/>
          <w:szCs w:val="16"/>
        </w:rPr>
        <w:t>geology</w:t>
      </w:r>
      <w:r w:rsidR="00AE602E" w:rsidRPr="0073707D">
        <w:rPr>
          <w:rFonts w:ascii="Roboto" w:hAnsi="Roboto"/>
          <w:i/>
          <w:sz w:val="16"/>
          <w:szCs w:val="16"/>
        </w:rPr>
        <w:t xml:space="preserve"> </w:t>
      </w:r>
      <w:r w:rsidR="00A750B2">
        <w:rPr>
          <w:rFonts w:ascii="Roboto" w:hAnsi="Roboto"/>
          <w:i/>
          <w:sz w:val="16"/>
          <w:szCs w:val="16"/>
        </w:rPr>
        <w:t>bodies</w:t>
      </w:r>
      <w:r w:rsidR="00AE602E" w:rsidRPr="0073707D">
        <w:rPr>
          <w:rFonts w:ascii="Roboto" w:hAnsi="Roboto"/>
          <w:i/>
          <w:sz w:val="16"/>
          <w:szCs w:val="16"/>
        </w:rPr>
        <w:t xml:space="preserve"> representing the Big East, Big West, Fi Main, Fi SW, Nite, Shorty, Echo and Ki pegmatite deposits.</w:t>
      </w:r>
    </w:p>
    <w:p w14:paraId="48A5815C" w14:textId="1C2B16E2" w:rsidR="008E5766" w:rsidRDefault="00AE602E" w:rsidP="008E5766">
      <w:pPr>
        <w:pStyle w:val="Caption"/>
        <w:jc w:val="left"/>
        <w:rPr>
          <w:rFonts w:ascii="Roboto" w:hAnsi="Roboto"/>
          <w:sz w:val="20"/>
        </w:rPr>
      </w:pPr>
      <w:r>
        <w:rPr>
          <w:rFonts w:ascii="Roboto" w:hAnsi="Roboto"/>
          <w:sz w:val="20"/>
        </w:rPr>
        <w:t xml:space="preserve"> </w:t>
      </w:r>
    </w:p>
    <w:p w14:paraId="635935A6" w14:textId="77777777" w:rsidR="008E5766" w:rsidRDefault="008E5766" w:rsidP="008E5766"/>
    <w:p w14:paraId="4D0036F6" w14:textId="77777777" w:rsidR="00B76995" w:rsidRDefault="00B76995" w:rsidP="008E5766"/>
    <w:p w14:paraId="1E80F339" w14:textId="77777777" w:rsidR="00B76995" w:rsidRDefault="00B76995" w:rsidP="008E5766"/>
    <w:p w14:paraId="11338B4A" w14:textId="77777777" w:rsidR="00B76995" w:rsidRDefault="00B76995" w:rsidP="008E5766"/>
    <w:p w14:paraId="1E002867" w14:textId="77777777" w:rsidR="00B76995" w:rsidRDefault="00B76995" w:rsidP="008E5766"/>
    <w:p w14:paraId="3AC72CB1" w14:textId="77777777" w:rsidR="00B76995" w:rsidRDefault="00B76995" w:rsidP="008E5766"/>
    <w:p w14:paraId="55E09AB3" w14:textId="47D6FF48" w:rsidR="00B76995" w:rsidRDefault="00B76995" w:rsidP="008E5766">
      <w:r>
        <w:rPr>
          <w:noProof/>
        </w:rPr>
        <w:lastRenderedPageBreak/>
        <mc:AlternateContent>
          <mc:Choice Requires="wps">
            <w:drawing>
              <wp:anchor distT="0" distB="0" distL="114300" distR="114300" simplePos="0" relativeHeight="251666432" behindDoc="0" locked="0" layoutInCell="1" allowOverlap="1" wp14:anchorId="758C848E" wp14:editId="4E6E372F">
                <wp:simplePos x="0" y="0"/>
                <wp:positionH relativeFrom="column">
                  <wp:posOffset>981075</wp:posOffset>
                </wp:positionH>
                <wp:positionV relativeFrom="paragraph">
                  <wp:posOffset>110490</wp:posOffset>
                </wp:positionV>
                <wp:extent cx="4204335" cy="457200"/>
                <wp:effectExtent l="0" t="0" r="5715" b="0"/>
                <wp:wrapNone/>
                <wp:docPr id="1727348539" name="Text Box 1"/>
                <wp:cNvGraphicFramePr/>
                <a:graphic xmlns:a="http://schemas.openxmlformats.org/drawingml/2006/main">
                  <a:graphicData uri="http://schemas.microsoft.com/office/word/2010/wordprocessingShape">
                    <wps:wsp>
                      <wps:cNvSpPr txBox="1"/>
                      <wps:spPr>
                        <a:xfrm>
                          <a:off x="0" y="0"/>
                          <a:ext cx="4204335" cy="457200"/>
                        </a:xfrm>
                        <a:prstGeom prst="rect">
                          <a:avLst/>
                        </a:prstGeom>
                        <a:noFill/>
                        <a:ln>
                          <a:noFill/>
                        </a:ln>
                      </wps:spPr>
                      <wps:txbx>
                        <w:txbxContent>
                          <w:p w14:paraId="671151CA" w14:textId="77777777" w:rsidR="00B76995" w:rsidRPr="00642957" w:rsidRDefault="00B76995" w:rsidP="00B76995">
                            <w:pPr>
                              <w:pStyle w:val="Caption"/>
                              <w:rPr>
                                <w:rFonts w:ascii="Roboto" w:eastAsiaTheme="minorHAnsi" w:hAnsi="Roboto"/>
                                <w:sz w:val="20"/>
                                <w:lang w:val="en-CA"/>
                              </w:rPr>
                            </w:pPr>
                            <w:r w:rsidRPr="00642957">
                              <w:rPr>
                                <w:rFonts w:ascii="Roboto" w:hAnsi="Roboto"/>
                                <w:sz w:val="20"/>
                              </w:rPr>
                              <w:t xml:space="preserve">Table 2 – </w:t>
                            </w:r>
                            <w:r w:rsidRPr="00642957">
                              <w:rPr>
                                <w:rFonts w:ascii="Roboto" w:hAnsi="Roboto"/>
                                <w:b w:val="0"/>
                                <w:bCs w:val="0"/>
                                <w:sz w:val="20"/>
                              </w:rPr>
                              <w:t>Maiden resource estimates for Canadian spodumene projects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758C848E" id="_x0000_t202" coordsize="21600,21600" o:spt="202" path="m,l,21600r21600,l21600,xe">
                <v:stroke joinstyle="miter"/>
                <v:path gradientshapeok="t" o:connecttype="rect"/>
              </v:shapetype>
              <v:shape id="Text Box 1" o:spid="_x0000_s1026" type="#_x0000_t202" style="position:absolute;margin-left:77.25pt;margin-top:8.7pt;width:331.05pt;height:3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" filled="f" stroked="f">
                <v:textbox inset="0,0,0,0">
                  <w:txbxContent>
                    <w:p w14:paraId="671151CA" w14:textId="77777777" w:rsidR="00B76995" w:rsidRPr="00642957" w:rsidRDefault="00B76995" w:rsidP="00B76995">
                      <w:pPr>
                        <w:pStyle w:val="Caption"/>
                        <w:rPr>
                          <w:rFonts w:ascii="Roboto" w:eastAsiaTheme="minorHAnsi" w:hAnsi="Roboto"/>
                          <w:sz w:val="20"/>
                          <w:lang w:val="en-CA"/>
                        </w:rPr>
                      </w:pPr>
                      <w:r w:rsidRPr="00642957">
                        <w:rPr>
                          <w:rFonts w:ascii="Roboto" w:hAnsi="Roboto"/>
                          <w:sz w:val="20"/>
                        </w:rPr>
                        <w:t xml:space="preserve">Table 2 – </w:t>
                      </w:r>
                      <w:r w:rsidRPr="00642957">
                        <w:rPr>
                          <w:rFonts w:ascii="Roboto" w:hAnsi="Roboto"/>
                          <w:b w:val="0"/>
                          <w:bCs w:val="0"/>
                          <w:sz w:val="20"/>
                        </w:rPr>
                        <w:t>Maiden resource estimates for Canadian spodumene projects</w:t>
                      </w:r>
                    </w:p>
                  </w:txbxContent>
                </v:textbox>
              </v:shape>
            </w:pict>
          </mc:Fallback>
        </mc:AlternateContent>
      </w:r>
    </w:p>
    <w:p w14:paraId="7B99B493" w14:textId="77777777" w:rsidR="008E5766" w:rsidRDefault="008E5766" w:rsidP="008E5766"/>
    <w:p w14:paraId="783E104C" w14:textId="1E0C4BB8" w:rsidR="008E5766" w:rsidRDefault="002A1559" w:rsidP="002A1559">
      <w:pPr>
        <w:jc w:val="both"/>
      </w:pPr>
      <w:r w:rsidRPr="00FA789F">
        <w:rPr>
          <w:noProof/>
        </w:rPr>
        <w:drawing>
          <wp:inline distT="0" distB="0" distL="0" distR="0" wp14:anchorId="58C18E29" wp14:editId="5DF98BCF">
            <wp:extent cx="5943600" cy="6473015"/>
            <wp:effectExtent l="0" t="0" r="0" b="4445"/>
            <wp:docPr id="5851923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9230" name="Picture 1" descr="A screenshot of a computer&#10;&#10;Description automatically generated"/>
                    <pic:cNvPicPr/>
                  </pic:nvPicPr>
                  <pic:blipFill>
                    <a:blip r:embed="rId12"/>
                    <a:stretch>
                      <a:fillRect/>
                    </a:stretch>
                  </pic:blipFill>
                  <pic:spPr>
                    <a:xfrm>
                      <a:off x="0" y="0"/>
                      <a:ext cx="5943600" cy="6473015"/>
                    </a:xfrm>
                    <a:prstGeom prst="rect">
                      <a:avLst/>
                    </a:prstGeom>
                  </pic:spPr>
                </pic:pic>
              </a:graphicData>
            </a:graphic>
          </wp:inline>
        </w:drawing>
      </w:r>
    </w:p>
    <w:p w14:paraId="60C88AAD" w14:textId="77777777" w:rsidR="002A1559" w:rsidRPr="003308ED" w:rsidRDefault="002A1559" w:rsidP="002A1559">
      <w:pPr>
        <w:rPr>
          <w:rFonts w:ascii="Roboto" w:hAnsi="Roboto"/>
          <w:i/>
          <w:iCs/>
          <w:sz w:val="14"/>
          <w:szCs w:val="14"/>
        </w:rPr>
      </w:pPr>
      <w:r w:rsidRPr="003308ED">
        <w:rPr>
          <w:rFonts w:ascii="Roboto" w:hAnsi="Roboto"/>
          <w:i/>
          <w:iCs/>
          <w:sz w:val="14"/>
          <w:szCs w:val="14"/>
        </w:rPr>
        <w:t>See Appendix A for references</w:t>
      </w:r>
    </w:p>
    <w:p w14:paraId="3CE29D46" w14:textId="77777777" w:rsidR="008E5766" w:rsidRDefault="008E5766" w:rsidP="008E5766"/>
    <w:p w14:paraId="7C9A8EDF" w14:textId="77777777" w:rsidR="00C35AEA" w:rsidRDefault="00C35AEA" w:rsidP="008E5766"/>
    <w:p w14:paraId="5511B722" w14:textId="77777777" w:rsidR="007F634A" w:rsidRPr="008E5766" w:rsidRDefault="007F634A" w:rsidP="008E5766"/>
    <w:p w14:paraId="0C9C3382" w14:textId="276EEE0C" w:rsidR="00030D48" w:rsidRPr="00642649" w:rsidRDefault="00642649" w:rsidP="00AE602E">
      <w:pPr>
        <w:pStyle w:val="Caption"/>
        <w:spacing w:line="240" w:lineRule="auto"/>
        <w:rPr>
          <w:rFonts w:ascii="Roboto" w:hAnsi="Roboto"/>
          <w:sz w:val="20"/>
        </w:rPr>
      </w:pPr>
      <w:r w:rsidRPr="00030D48">
        <w:rPr>
          <w:b w:val="0"/>
          <w:bCs w:val="0"/>
          <w:noProof/>
        </w:rPr>
        <w:lastRenderedPageBreak/>
        <w:drawing>
          <wp:anchor distT="0" distB="0" distL="114300" distR="114300" simplePos="0" relativeHeight="251662336" behindDoc="0" locked="0" layoutInCell="1" allowOverlap="1" wp14:anchorId="1423BA7E" wp14:editId="6C186D46">
            <wp:simplePos x="0" y="0"/>
            <wp:positionH relativeFrom="margin">
              <wp:posOffset>3025140</wp:posOffset>
            </wp:positionH>
            <wp:positionV relativeFrom="paragraph">
              <wp:posOffset>6172200</wp:posOffset>
            </wp:positionV>
            <wp:extent cx="2279015" cy="1303527"/>
            <wp:effectExtent l="0" t="0" r="6985" b="0"/>
            <wp:wrapNone/>
            <wp:docPr id="8068725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4551" cy="13066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5766" w:rsidRPr="004D0E94">
        <w:rPr>
          <w:rFonts w:ascii="Roboto" w:hAnsi="Roboto"/>
          <w:sz w:val="20"/>
        </w:rPr>
        <w:t xml:space="preserve">Table </w:t>
      </w:r>
      <w:r w:rsidR="00B76995">
        <w:rPr>
          <w:rFonts w:ascii="Roboto" w:hAnsi="Roboto"/>
          <w:sz w:val="20"/>
        </w:rPr>
        <w:t>3</w:t>
      </w:r>
      <w:r w:rsidR="008E5766">
        <w:rPr>
          <w:rFonts w:ascii="Roboto" w:hAnsi="Roboto"/>
          <w:sz w:val="20"/>
        </w:rPr>
        <w:t xml:space="preserve"> </w:t>
      </w:r>
      <w:r w:rsidR="008E5766" w:rsidRPr="004D0E94">
        <w:rPr>
          <w:rFonts w:ascii="Roboto" w:hAnsi="Roboto"/>
          <w:sz w:val="20"/>
        </w:rPr>
        <w:t>-</w:t>
      </w:r>
      <w:r w:rsidR="008E5766" w:rsidRPr="004D0E94">
        <w:rPr>
          <w:rFonts w:ascii="Roboto" w:hAnsi="Roboto"/>
          <w:b w:val="0"/>
          <w:bCs w:val="0"/>
          <w:sz w:val="20"/>
          <w:lang w:val="en-CA"/>
        </w:rPr>
        <w:t xml:space="preserve">Yellowknife Lithium Project Deposit </w:t>
      </w:r>
      <w:r w:rsidR="008E5766">
        <w:rPr>
          <w:rFonts w:ascii="Roboto" w:hAnsi="Roboto"/>
          <w:b w:val="0"/>
          <w:bCs w:val="0"/>
          <w:sz w:val="20"/>
          <w:lang w:val="en-CA"/>
        </w:rPr>
        <w:t>Cut-Off Grade Sensitivity</w:t>
      </w:r>
      <w:r w:rsidRPr="00642649">
        <w:rPr>
          <w:b w:val="0"/>
          <w:bCs w:val="0"/>
          <w:noProof/>
        </w:rPr>
        <w:drawing>
          <wp:inline distT="0" distB="0" distL="0" distR="0" wp14:anchorId="7AEA9AD7" wp14:editId="39069505">
            <wp:extent cx="4671951" cy="7505700"/>
            <wp:effectExtent l="0" t="0" r="0" b="0"/>
            <wp:docPr id="18139411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83200" cy="7523771"/>
                    </a:xfrm>
                    <a:prstGeom prst="rect">
                      <a:avLst/>
                    </a:prstGeom>
                    <a:noFill/>
                    <a:ln>
                      <a:noFill/>
                    </a:ln>
                  </pic:spPr>
                </pic:pic>
              </a:graphicData>
            </a:graphic>
          </wp:inline>
        </w:drawing>
      </w:r>
    </w:p>
    <w:p w14:paraId="6F8E6FE9" w14:textId="2CDE0001" w:rsidR="00885CD2" w:rsidRDefault="00885CD2" w:rsidP="00885CD2">
      <w:pPr>
        <w:rPr>
          <w:rFonts w:ascii="Roboto" w:hAnsi="Roboto"/>
          <w:i/>
          <w:sz w:val="16"/>
          <w:szCs w:val="16"/>
        </w:rPr>
      </w:pPr>
    </w:p>
    <w:p w14:paraId="4DB75448" w14:textId="7CEE5FE4" w:rsidR="008F1F22" w:rsidRPr="008A73F3" w:rsidRDefault="00AE602E" w:rsidP="00885CD2">
      <w:pPr>
        <w:rPr>
          <w:rFonts w:ascii="Roboto" w:hAnsi="Roboto"/>
          <w:i/>
          <w:sz w:val="16"/>
          <w:szCs w:val="16"/>
        </w:rPr>
      </w:pPr>
      <w:r>
        <w:rPr>
          <w:rFonts w:ascii="Roboto" w:hAnsi="Roboto"/>
          <w:i/>
          <w:noProof/>
          <w:sz w:val="16"/>
          <w:szCs w:val="16"/>
        </w:rPr>
        <w:lastRenderedPageBreak/>
        <w:drawing>
          <wp:inline distT="0" distB="0" distL="0" distR="0" wp14:anchorId="5FE19ED2" wp14:editId="56F96BCF">
            <wp:extent cx="5943600" cy="2507615"/>
            <wp:effectExtent l="0" t="0" r="0" b="6985"/>
            <wp:docPr id="796604276" name="Picture 6" descr="A map of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604276" name="Picture 6" descr="A map of a car&#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507615"/>
                    </a:xfrm>
                    <a:prstGeom prst="rect">
                      <a:avLst/>
                    </a:prstGeom>
                  </pic:spPr>
                </pic:pic>
              </a:graphicData>
            </a:graphic>
          </wp:inline>
        </w:drawing>
      </w:r>
    </w:p>
    <w:p w14:paraId="4DE6D373" w14:textId="4DB86AB5" w:rsidR="00885CD2" w:rsidRDefault="008F1F22" w:rsidP="0082536A">
      <w:pPr>
        <w:jc w:val="both"/>
        <w:rPr>
          <w:rFonts w:ascii="Roboto" w:hAnsi="Roboto"/>
          <w:i/>
          <w:sz w:val="16"/>
          <w:szCs w:val="16"/>
        </w:rPr>
      </w:pPr>
      <w:r>
        <w:rPr>
          <w:rFonts w:ascii="Roboto" w:hAnsi="Roboto"/>
          <w:i/>
          <w:sz w:val="16"/>
          <w:szCs w:val="16"/>
        </w:rPr>
        <w:t xml:space="preserve">Figure </w:t>
      </w:r>
      <w:r w:rsidR="00D109C4">
        <w:rPr>
          <w:rFonts w:ascii="Roboto" w:hAnsi="Roboto"/>
          <w:i/>
          <w:sz w:val="16"/>
          <w:szCs w:val="16"/>
        </w:rPr>
        <w:t>5 -</w:t>
      </w:r>
      <w:r w:rsidR="008D1740">
        <w:rPr>
          <w:rFonts w:ascii="Roboto" w:hAnsi="Roboto"/>
          <w:i/>
          <w:sz w:val="16"/>
          <w:szCs w:val="16"/>
        </w:rPr>
        <w:t xml:space="preserve"> I</w:t>
      </w:r>
      <w:r w:rsidR="00E3760F">
        <w:rPr>
          <w:rFonts w:ascii="Roboto" w:hAnsi="Roboto"/>
          <w:i/>
          <w:sz w:val="16"/>
          <w:szCs w:val="16"/>
        </w:rPr>
        <w:t>sometric long section of the Big-E resource block model and pit, looking south</w:t>
      </w:r>
      <w:r w:rsidR="00D81106">
        <w:rPr>
          <w:rFonts w:ascii="Roboto" w:hAnsi="Roboto"/>
          <w:i/>
          <w:sz w:val="16"/>
          <w:szCs w:val="16"/>
        </w:rPr>
        <w:t>east</w:t>
      </w:r>
      <w:r w:rsidR="00E3760F">
        <w:rPr>
          <w:rFonts w:ascii="Roboto" w:hAnsi="Roboto"/>
          <w:i/>
          <w:sz w:val="16"/>
          <w:szCs w:val="16"/>
        </w:rPr>
        <w:t>.  The limits of drilling are defined by some of the</w:t>
      </w:r>
      <w:r w:rsidR="00D81106">
        <w:rPr>
          <w:rFonts w:ascii="Roboto" w:hAnsi="Roboto"/>
          <w:i/>
          <w:sz w:val="16"/>
          <w:szCs w:val="16"/>
        </w:rPr>
        <w:t xml:space="preserve"> strongest</w:t>
      </w:r>
      <w:r w:rsidR="00E3760F">
        <w:rPr>
          <w:rFonts w:ascii="Roboto" w:hAnsi="Roboto"/>
          <w:i/>
          <w:sz w:val="16"/>
          <w:szCs w:val="16"/>
        </w:rPr>
        <w:t xml:space="preserve"> intercepts </w:t>
      </w:r>
      <w:r w:rsidR="00D81106">
        <w:rPr>
          <w:rFonts w:ascii="Roboto" w:hAnsi="Roboto"/>
          <w:i/>
          <w:sz w:val="16"/>
          <w:szCs w:val="16"/>
        </w:rPr>
        <w:t xml:space="preserve">of spodumene mineralization </w:t>
      </w:r>
      <w:r w:rsidR="00E3760F">
        <w:rPr>
          <w:rFonts w:ascii="Roboto" w:hAnsi="Roboto"/>
          <w:i/>
          <w:sz w:val="16"/>
          <w:szCs w:val="16"/>
        </w:rPr>
        <w:t>on the project to date</w:t>
      </w:r>
      <w:r w:rsidR="00E8370D">
        <w:rPr>
          <w:rFonts w:ascii="Roboto" w:hAnsi="Roboto"/>
          <w:i/>
          <w:sz w:val="16"/>
          <w:szCs w:val="16"/>
        </w:rPr>
        <w:t>, demonstrating</w:t>
      </w:r>
      <w:r w:rsidR="00E3760F">
        <w:rPr>
          <w:rFonts w:ascii="Roboto" w:hAnsi="Roboto"/>
          <w:i/>
          <w:sz w:val="16"/>
          <w:szCs w:val="16"/>
        </w:rPr>
        <w:t xml:space="preserve"> the potential for considerable </w:t>
      </w:r>
      <w:r w:rsidR="00D81106">
        <w:rPr>
          <w:rFonts w:ascii="Roboto" w:hAnsi="Roboto"/>
          <w:i/>
          <w:sz w:val="16"/>
          <w:szCs w:val="16"/>
        </w:rPr>
        <w:t>future resource growth.  In addition to Big-E</w:t>
      </w:r>
      <w:r w:rsidR="00D81106" w:rsidRPr="00D81106">
        <w:rPr>
          <w:rFonts w:ascii="Roboto" w:hAnsi="Roboto"/>
          <w:i/>
          <w:sz w:val="16"/>
          <w:szCs w:val="16"/>
        </w:rPr>
        <w:t xml:space="preserve">, 5 more dykes have unconstrained mineralization </w:t>
      </w:r>
      <w:r w:rsidR="00D81106">
        <w:rPr>
          <w:rFonts w:ascii="Roboto" w:hAnsi="Roboto"/>
          <w:i/>
          <w:sz w:val="16"/>
          <w:szCs w:val="16"/>
        </w:rPr>
        <w:t xml:space="preserve">all </w:t>
      </w:r>
      <w:r w:rsidR="00D81106" w:rsidRPr="00D81106">
        <w:rPr>
          <w:rFonts w:ascii="Roboto" w:hAnsi="Roboto"/>
          <w:i/>
          <w:sz w:val="16"/>
          <w:szCs w:val="16"/>
        </w:rPr>
        <w:t xml:space="preserve">with </w:t>
      </w:r>
      <w:r w:rsidR="00D81106">
        <w:rPr>
          <w:rFonts w:ascii="Roboto" w:hAnsi="Roboto"/>
          <w:i/>
          <w:sz w:val="16"/>
          <w:szCs w:val="16"/>
        </w:rPr>
        <w:t xml:space="preserve">the </w:t>
      </w:r>
      <w:r w:rsidR="00D81106" w:rsidRPr="00D81106">
        <w:rPr>
          <w:rFonts w:ascii="Roboto" w:hAnsi="Roboto"/>
          <w:i/>
          <w:sz w:val="16"/>
          <w:szCs w:val="16"/>
        </w:rPr>
        <w:t xml:space="preserve">potential to significantly increase the </w:t>
      </w:r>
      <w:r w:rsidR="00D81106">
        <w:rPr>
          <w:rFonts w:ascii="Roboto" w:hAnsi="Roboto"/>
          <w:i/>
          <w:sz w:val="16"/>
          <w:szCs w:val="16"/>
        </w:rPr>
        <w:t xml:space="preserve">collective </w:t>
      </w:r>
      <w:r w:rsidR="00D81106" w:rsidRPr="00D81106">
        <w:rPr>
          <w:rFonts w:ascii="Roboto" w:hAnsi="Roboto"/>
          <w:i/>
          <w:sz w:val="16"/>
          <w:szCs w:val="16"/>
        </w:rPr>
        <w:t>resource base</w:t>
      </w:r>
      <w:r w:rsidR="00D81106">
        <w:rPr>
          <w:rFonts w:ascii="Roboto" w:hAnsi="Roboto"/>
          <w:i/>
          <w:sz w:val="16"/>
          <w:szCs w:val="16"/>
        </w:rPr>
        <w:t xml:space="preserve"> at</w:t>
      </w:r>
      <w:r w:rsidR="008D1740">
        <w:rPr>
          <w:rFonts w:ascii="Roboto" w:hAnsi="Roboto"/>
          <w:i/>
          <w:sz w:val="16"/>
          <w:szCs w:val="16"/>
        </w:rPr>
        <w:t xml:space="preserve"> the</w:t>
      </w:r>
      <w:r w:rsidR="00D81106">
        <w:rPr>
          <w:rFonts w:ascii="Roboto" w:hAnsi="Roboto"/>
          <w:i/>
          <w:sz w:val="16"/>
          <w:szCs w:val="16"/>
        </w:rPr>
        <w:t xml:space="preserve"> YLP</w:t>
      </w:r>
      <w:r w:rsidR="00D81106" w:rsidRPr="00D81106">
        <w:rPr>
          <w:rFonts w:ascii="Roboto" w:hAnsi="Roboto"/>
          <w:i/>
          <w:sz w:val="16"/>
          <w:szCs w:val="16"/>
        </w:rPr>
        <w:t>.</w:t>
      </w:r>
      <w:r w:rsidR="00D81106">
        <w:rPr>
          <w:rFonts w:ascii="Roboto" w:hAnsi="Roboto"/>
          <w:i/>
          <w:sz w:val="16"/>
          <w:szCs w:val="16"/>
        </w:rPr>
        <w:t xml:space="preserve"> </w:t>
      </w:r>
    </w:p>
    <w:p w14:paraId="2BB38B07" w14:textId="77777777" w:rsidR="008F1F22" w:rsidRDefault="008F1F22" w:rsidP="00E31871">
      <w:pPr>
        <w:rPr>
          <w:rFonts w:ascii="Roboto" w:hAnsi="Roboto"/>
          <w:i/>
          <w:sz w:val="16"/>
          <w:szCs w:val="16"/>
        </w:rPr>
      </w:pPr>
    </w:p>
    <w:p w14:paraId="6ED4DDF5" w14:textId="71EC727D" w:rsidR="00FA2B72" w:rsidRDefault="00545033" w:rsidP="00E31871">
      <w:pPr>
        <w:rPr>
          <w:rFonts w:ascii="Roboto" w:hAnsi="Roboto"/>
          <w:b/>
          <w:bCs/>
        </w:rPr>
      </w:pPr>
      <w:r w:rsidRPr="00545033">
        <w:rPr>
          <w:rFonts w:ascii="Roboto" w:hAnsi="Roboto"/>
          <w:b/>
          <w:bCs/>
        </w:rPr>
        <w:t>Initiation of Preliminary Economic Assessment</w:t>
      </w:r>
    </w:p>
    <w:p w14:paraId="3A797E29" w14:textId="2E3B7633" w:rsidR="00545033" w:rsidRPr="00545033" w:rsidRDefault="00545033" w:rsidP="004D0E94">
      <w:pPr>
        <w:jc w:val="both"/>
        <w:rPr>
          <w:rFonts w:ascii="Roboto" w:hAnsi="Roboto"/>
        </w:rPr>
      </w:pPr>
      <w:r w:rsidRPr="004D0E94">
        <w:rPr>
          <w:rFonts w:ascii="Roboto" w:hAnsi="Roboto"/>
        </w:rPr>
        <w:t>I</w:t>
      </w:r>
      <w:r w:rsidRPr="00545033">
        <w:rPr>
          <w:rFonts w:ascii="Roboto" w:hAnsi="Roboto"/>
        </w:rPr>
        <w:t xml:space="preserve">n association with the MRE and metallurgical </w:t>
      </w:r>
      <w:r>
        <w:rPr>
          <w:rFonts w:ascii="Roboto" w:hAnsi="Roboto"/>
        </w:rPr>
        <w:t xml:space="preserve">test work completed over the last year (see press release dated September 23, 2024), </w:t>
      </w:r>
      <w:r w:rsidR="008E577C">
        <w:rPr>
          <w:rFonts w:ascii="Roboto" w:hAnsi="Roboto"/>
        </w:rPr>
        <w:t>L</w:t>
      </w:r>
      <w:r w:rsidR="00570A1D">
        <w:rPr>
          <w:rFonts w:ascii="Roboto" w:hAnsi="Roboto"/>
        </w:rPr>
        <w:t>I</w:t>
      </w:r>
      <w:r w:rsidR="008E577C">
        <w:rPr>
          <w:rFonts w:ascii="Roboto" w:hAnsi="Roboto"/>
        </w:rPr>
        <w:t xml:space="preserve">FT initiated </w:t>
      </w:r>
      <w:r>
        <w:rPr>
          <w:rFonts w:ascii="Roboto" w:hAnsi="Roboto"/>
        </w:rPr>
        <w:t xml:space="preserve">a </w:t>
      </w:r>
      <w:r w:rsidR="00EC164F">
        <w:rPr>
          <w:rFonts w:ascii="Roboto" w:hAnsi="Roboto"/>
        </w:rPr>
        <w:t>PEA</w:t>
      </w:r>
      <w:r w:rsidR="008A73F3">
        <w:rPr>
          <w:rFonts w:ascii="Roboto" w:hAnsi="Roboto"/>
        </w:rPr>
        <w:t xml:space="preserve"> </w:t>
      </w:r>
      <w:r w:rsidR="008E577C" w:rsidRPr="008A73F3">
        <w:rPr>
          <w:rFonts w:ascii="Roboto" w:hAnsi="Roboto"/>
        </w:rPr>
        <w:t>for</w:t>
      </w:r>
      <w:r>
        <w:rPr>
          <w:rFonts w:ascii="Roboto" w:hAnsi="Roboto"/>
        </w:rPr>
        <w:t xml:space="preserve"> the Yellowknife Lithium </w:t>
      </w:r>
      <w:r w:rsidR="008A73F3">
        <w:rPr>
          <w:rFonts w:ascii="Roboto" w:hAnsi="Roboto"/>
        </w:rPr>
        <w:t>Project and</w:t>
      </w:r>
      <w:r w:rsidR="008E577C">
        <w:rPr>
          <w:rFonts w:ascii="Roboto" w:hAnsi="Roboto"/>
        </w:rPr>
        <w:t xml:space="preserve"> anticipate</w:t>
      </w:r>
      <w:r w:rsidR="00F96928">
        <w:rPr>
          <w:rFonts w:ascii="Roboto" w:hAnsi="Roboto"/>
        </w:rPr>
        <w:t>s</w:t>
      </w:r>
      <w:r w:rsidR="008E577C">
        <w:rPr>
          <w:rFonts w:ascii="Roboto" w:hAnsi="Roboto"/>
        </w:rPr>
        <w:t xml:space="preserve"> completion</w:t>
      </w:r>
      <w:r>
        <w:rPr>
          <w:rFonts w:ascii="Roboto" w:hAnsi="Roboto"/>
        </w:rPr>
        <w:t xml:space="preserve"> </w:t>
      </w:r>
      <w:r w:rsidR="008E577C">
        <w:rPr>
          <w:rFonts w:ascii="Roboto" w:hAnsi="Roboto"/>
        </w:rPr>
        <w:t>within</w:t>
      </w:r>
      <w:r>
        <w:rPr>
          <w:rFonts w:ascii="Roboto" w:hAnsi="Roboto"/>
        </w:rPr>
        <w:t xml:space="preserve"> the first half of 2025. </w:t>
      </w:r>
    </w:p>
    <w:p w14:paraId="688551DE" w14:textId="77777777" w:rsidR="00FA2B72" w:rsidRDefault="00FA2B72" w:rsidP="00E31871">
      <w:pPr>
        <w:rPr>
          <w:rFonts w:ascii="Roboto" w:hAnsi="Roboto"/>
          <w:b/>
          <w:bCs/>
        </w:rPr>
      </w:pPr>
    </w:p>
    <w:p w14:paraId="75F57531" w14:textId="2021C6C0" w:rsidR="0008266C" w:rsidRPr="00885CD2" w:rsidRDefault="0008266C" w:rsidP="00E31871">
      <w:pPr>
        <w:rPr>
          <w:rFonts w:ascii="Roboto" w:hAnsi="Roboto"/>
          <w:i/>
          <w:sz w:val="16"/>
          <w:szCs w:val="16"/>
        </w:rPr>
      </w:pPr>
      <w:r w:rsidRPr="00E31871">
        <w:rPr>
          <w:rFonts w:ascii="Roboto" w:hAnsi="Roboto"/>
          <w:b/>
          <w:bCs/>
        </w:rPr>
        <w:t>Qualified Person</w:t>
      </w:r>
    </w:p>
    <w:p w14:paraId="4FAA7BA3" w14:textId="34ACF40A" w:rsidR="005B3EBC" w:rsidRDefault="0008266C" w:rsidP="0027308C">
      <w:pPr>
        <w:jc w:val="both"/>
        <w:rPr>
          <w:rFonts w:ascii="Roboto" w:hAnsi="Roboto"/>
        </w:rPr>
      </w:pPr>
      <w:r w:rsidRPr="00E31871">
        <w:rPr>
          <w:rFonts w:ascii="Roboto" w:hAnsi="Roboto"/>
        </w:rPr>
        <w:t>The disclosure in this news release of scientific and technical information regarding LIFT’s mineral properties has been reviewed and approved by Ron Voordouw, Ph.D., P.Geo., Partner, Director Geoscience, Equity Exploration Consultants Ltd., and a Qualified Person as defined by National Instrument 43-101 Standards of Disclosure for Mineral Projects (NI 43-101) and member in good standing with the Northwest Territories and Nunavut Association of Professional Engineers and Geoscientists (NAPEG) (Geologist Registration number: L5245).</w:t>
      </w:r>
    </w:p>
    <w:p w14:paraId="270AED2F" w14:textId="77777777" w:rsidR="0027308C" w:rsidRPr="0027308C" w:rsidRDefault="0027308C" w:rsidP="0027308C">
      <w:pPr>
        <w:jc w:val="both"/>
        <w:rPr>
          <w:rFonts w:ascii="Roboto" w:hAnsi="Roboto"/>
        </w:rPr>
      </w:pPr>
    </w:p>
    <w:p w14:paraId="173EA5AB" w14:textId="2F6471E5" w:rsidR="0008266C" w:rsidRPr="00E31871" w:rsidRDefault="0008266C" w:rsidP="00E31871">
      <w:pPr>
        <w:rPr>
          <w:rFonts w:ascii="Roboto" w:hAnsi="Roboto"/>
        </w:rPr>
      </w:pPr>
      <w:r w:rsidRPr="00E31871">
        <w:rPr>
          <w:rFonts w:ascii="Roboto" w:hAnsi="Roboto"/>
          <w:b/>
          <w:bCs/>
        </w:rPr>
        <w:t>About LIFT</w:t>
      </w:r>
    </w:p>
    <w:p w14:paraId="59663F6D" w14:textId="77777777" w:rsidR="0008266C" w:rsidRDefault="0008266C" w:rsidP="00E31871">
      <w:pPr>
        <w:jc w:val="both"/>
        <w:rPr>
          <w:rFonts w:ascii="Roboto" w:hAnsi="Roboto"/>
        </w:rPr>
      </w:pPr>
      <w:r w:rsidRPr="00E31871">
        <w:rPr>
          <w:rFonts w:ascii="Roboto" w:hAnsi="Roboto"/>
        </w:rPr>
        <w:t>LIFT is a mineral exploration company engaged in the acquisition, exploration, and development of lithium pegmatite projects located in Canada. The Company’s flagship project is the Yellowknife Lithium Project located in Northwest Territories, Canada. LIFT also holds three early-stage exploration properties in Quebec, Canada with excellent potential for the discovery of buried lithium pegmatites, as well as the Cali Project in Northwest Territories within the Little Nahanni Pegmatite Group.</w:t>
      </w:r>
    </w:p>
    <w:p w14:paraId="5CF4296C" w14:textId="77777777" w:rsidR="00741DFC" w:rsidRPr="00E31871" w:rsidRDefault="00741DFC" w:rsidP="00E31871">
      <w:pPr>
        <w:jc w:val="both"/>
        <w:rPr>
          <w:rFonts w:ascii="Roboto" w:hAnsi="Roboto"/>
        </w:rPr>
      </w:pPr>
    </w:p>
    <w:p w14:paraId="58BEB1F8" w14:textId="217313EE" w:rsidR="00F37323" w:rsidRPr="003132EC" w:rsidRDefault="00F37323" w:rsidP="00E31871">
      <w:pPr>
        <w:pStyle w:val="NormalWeb"/>
        <w:spacing w:after="120" w:afterAutospacing="0" w:line="276" w:lineRule="auto"/>
        <w:rPr>
          <w:rFonts w:ascii="Roboto" w:hAnsi="Roboto" w:cs="Calibri"/>
          <w:sz w:val="22"/>
          <w:szCs w:val="22"/>
        </w:rPr>
      </w:pPr>
      <w:r w:rsidRPr="003132EC">
        <w:rPr>
          <w:rStyle w:val="Strong"/>
          <w:rFonts w:ascii="Roboto" w:hAnsi="Roboto" w:cs="Calibri"/>
          <w:szCs w:val="22"/>
        </w:rPr>
        <w:lastRenderedPageBreak/>
        <w:t>For further information, please contact:</w:t>
      </w:r>
    </w:p>
    <w:p w14:paraId="26BE69F6" w14:textId="596536AD" w:rsidR="00F37323" w:rsidRPr="00C7608F" w:rsidRDefault="00F37323" w:rsidP="00F37323">
      <w:pPr>
        <w:pStyle w:val="NormalWeb"/>
        <w:shd w:val="clear" w:color="auto" w:fill="FFFFFF"/>
        <w:tabs>
          <w:tab w:val="left" w:pos="5812"/>
        </w:tabs>
        <w:spacing w:before="0" w:beforeAutospacing="0" w:after="0" w:afterAutospacing="0"/>
        <w:textAlignment w:val="baseline"/>
        <w:rPr>
          <w:rStyle w:val="Hyperlink"/>
          <w:rFonts w:ascii="Roboto" w:eastAsia="Calibri" w:hAnsi="Roboto" w:cstheme="minorHAnsi"/>
          <w:color w:val="auto"/>
          <w:szCs w:val="22"/>
          <w:u w:val="none"/>
          <w:bdr w:val="none" w:sz="0" w:space="0" w:color="auto" w:frame="1"/>
        </w:rPr>
      </w:pPr>
      <w:r>
        <w:rPr>
          <w:rFonts w:ascii="Roboto" w:hAnsi="Roboto" w:cstheme="minorHAnsi"/>
          <w:sz w:val="22"/>
          <w:szCs w:val="22"/>
        </w:rPr>
        <w:t xml:space="preserve"> </w:t>
      </w:r>
      <w:r w:rsidRPr="003132EC">
        <w:rPr>
          <w:rFonts w:ascii="Roboto" w:hAnsi="Roboto" w:cstheme="minorHAnsi"/>
          <w:sz w:val="22"/>
          <w:szCs w:val="22"/>
        </w:rPr>
        <w:t>Francis MacDonald</w:t>
      </w:r>
      <w:r w:rsidRPr="003132EC">
        <w:rPr>
          <w:rFonts w:ascii="Roboto" w:hAnsi="Roboto" w:cstheme="minorHAnsi"/>
          <w:sz w:val="22"/>
          <w:szCs w:val="22"/>
        </w:rPr>
        <w:tab/>
        <w:t>Daniel Gordon</w:t>
      </w:r>
      <w:r w:rsidRPr="003132EC">
        <w:rPr>
          <w:rFonts w:ascii="Roboto" w:hAnsi="Roboto" w:cstheme="minorHAnsi"/>
          <w:sz w:val="22"/>
          <w:szCs w:val="22"/>
        </w:rPr>
        <w:br/>
      </w:r>
      <w:r w:rsidR="00E31871">
        <w:rPr>
          <w:rFonts w:ascii="Roboto" w:hAnsi="Roboto" w:cstheme="minorHAnsi"/>
          <w:sz w:val="22"/>
          <w:szCs w:val="22"/>
        </w:rPr>
        <w:t xml:space="preserve"> </w:t>
      </w:r>
      <w:r w:rsidRPr="003132EC">
        <w:rPr>
          <w:rFonts w:ascii="Roboto" w:hAnsi="Roboto" w:cstheme="minorHAnsi"/>
          <w:sz w:val="22"/>
          <w:szCs w:val="22"/>
        </w:rPr>
        <w:t>Chief Executive Officer</w:t>
      </w:r>
      <w:r w:rsidRPr="003132EC">
        <w:rPr>
          <w:rFonts w:ascii="Roboto" w:hAnsi="Roboto" w:cstheme="minorHAnsi"/>
          <w:sz w:val="22"/>
          <w:szCs w:val="22"/>
        </w:rPr>
        <w:tab/>
        <w:t>Investor Relations</w:t>
      </w:r>
      <w:r w:rsidRPr="003132EC">
        <w:rPr>
          <w:rFonts w:ascii="Roboto" w:hAnsi="Roboto" w:cstheme="minorHAnsi"/>
          <w:sz w:val="22"/>
          <w:szCs w:val="22"/>
        </w:rPr>
        <w:br/>
      </w:r>
      <w:r w:rsidRPr="00C7608F">
        <w:rPr>
          <w:rFonts w:ascii="Roboto" w:hAnsi="Roboto" w:cstheme="minorHAnsi"/>
          <w:sz w:val="22"/>
          <w:szCs w:val="22"/>
        </w:rPr>
        <w:t xml:space="preserve"> Tel:  +</w:t>
      </w:r>
      <w:r w:rsidRPr="00C7608F">
        <w:rPr>
          <w:rFonts w:ascii="Roboto" w:hAnsi="Roboto"/>
        </w:rPr>
        <w:t xml:space="preserve"> </w:t>
      </w:r>
      <w:r w:rsidRPr="00C7608F">
        <w:rPr>
          <w:rFonts w:ascii="Roboto" w:hAnsi="Roboto" w:cstheme="minorHAnsi"/>
          <w:sz w:val="22"/>
          <w:szCs w:val="22"/>
        </w:rPr>
        <w:t>1.604.609.6185</w:t>
      </w:r>
      <w:r w:rsidRPr="00C7608F">
        <w:rPr>
          <w:rFonts w:ascii="Roboto" w:hAnsi="Roboto" w:cstheme="minorHAnsi"/>
          <w:sz w:val="22"/>
          <w:szCs w:val="22"/>
        </w:rPr>
        <w:tab/>
        <w:t>Tel: +1.604.609.6185</w:t>
      </w:r>
      <w:r w:rsidRPr="00C7608F">
        <w:rPr>
          <w:rFonts w:ascii="Roboto" w:hAnsi="Roboto" w:cstheme="minorHAnsi"/>
          <w:sz w:val="22"/>
          <w:szCs w:val="22"/>
        </w:rPr>
        <w:br/>
        <w:t xml:space="preserve"> Email: </w:t>
      </w:r>
      <w:hyperlink r:id="rId16" w:history="1">
        <w:r w:rsidRPr="00C7608F">
          <w:rPr>
            <w:rStyle w:val="Hyperlink"/>
            <w:rFonts w:ascii="Roboto" w:eastAsia="Calibri" w:hAnsi="Roboto" w:cstheme="minorHAnsi"/>
            <w:color w:val="auto"/>
            <w:szCs w:val="22"/>
            <w:u w:val="none"/>
            <w:bdr w:val="none" w:sz="0" w:space="0" w:color="auto" w:frame="1"/>
          </w:rPr>
          <w:t>info@li-ft.com</w:t>
        </w:r>
      </w:hyperlink>
      <w:r w:rsidRPr="00C7608F">
        <w:rPr>
          <w:rStyle w:val="Hyperlink"/>
          <w:rFonts w:ascii="Roboto" w:eastAsia="Calibri" w:hAnsi="Roboto" w:cstheme="minorHAnsi"/>
          <w:color w:val="auto"/>
          <w:szCs w:val="22"/>
          <w:u w:val="none"/>
          <w:bdr w:val="none" w:sz="0" w:space="0" w:color="auto" w:frame="1"/>
        </w:rPr>
        <w:t xml:space="preserve"> </w:t>
      </w:r>
      <w:r w:rsidRPr="00C7608F">
        <w:rPr>
          <w:rStyle w:val="Hyperlink"/>
          <w:rFonts w:ascii="Roboto" w:eastAsia="Calibri" w:hAnsi="Roboto" w:cstheme="minorHAnsi"/>
          <w:color w:val="auto"/>
          <w:szCs w:val="22"/>
          <w:u w:val="none"/>
          <w:bdr w:val="none" w:sz="0" w:space="0" w:color="auto" w:frame="1"/>
        </w:rPr>
        <w:tab/>
        <w:t xml:space="preserve">Email: </w:t>
      </w:r>
      <w:r w:rsidRPr="00C7608F">
        <w:rPr>
          <w:rFonts w:ascii="Roboto" w:eastAsia="Calibri" w:hAnsi="Roboto" w:cstheme="minorHAnsi"/>
          <w:sz w:val="22"/>
          <w:szCs w:val="22"/>
          <w:bdr w:val="none" w:sz="0" w:space="0" w:color="auto" w:frame="1"/>
        </w:rPr>
        <w:t>investors@li-ft.com</w:t>
      </w:r>
    </w:p>
    <w:p w14:paraId="71F3C74C" w14:textId="3174AC4D" w:rsidR="00F37323" w:rsidRPr="00C7608F" w:rsidRDefault="00F37323" w:rsidP="00F37323">
      <w:pPr>
        <w:pStyle w:val="NormalWeb"/>
        <w:shd w:val="clear" w:color="auto" w:fill="FFFFFF"/>
        <w:tabs>
          <w:tab w:val="left" w:pos="5812"/>
        </w:tabs>
        <w:spacing w:before="0" w:beforeAutospacing="0" w:after="0" w:afterAutospacing="0"/>
        <w:textAlignment w:val="baseline"/>
        <w:rPr>
          <w:rStyle w:val="Hyperlink"/>
          <w:rFonts w:ascii="Roboto" w:eastAsia="Calibri" w:hAnsi="Roboto" w:cstheme="minorHAnsi"/>
          <w:color w:val="auto"/>
          <w:szCs w:val="22"/>
          <w:u w:val="none"/>
          <w:bdr w:val="none" w:sz="0" w:space="0" w:color="auto" w:frame="1"/>
        </w:rPr>
      </w:pPr>
      <w:r w:rsidRPr="00C7608F">
        <w:rPr>
          <w:rFonts w:ascii="Roboto" w:hAnsi="Roboto" w:cstheme="minorHAnsi"/>
          <w:sz w:val="22"/>
          <w:szCs w:val="22"/>
        </w:rPr>
        <w:t xml:space="preserve"> Website: </w:t>
      </w:r>
      <w:hyperlink r:id="rId17" w:history="1">
        <w:r w:rsidRPr="00C7608F">
          <w:rPr>
            <w:rStyle w:val="Hyperlink"/>
            <w:rFonts w:ascii="Roboto" w:eastAsia="Calibri" w:hAnsi="Roboto" w:cstheme="minorHAnsi"/>
            <w:color w:val="auto"/>
            <w:szCs w:val="22"/>
            <w:u w:val="none"/>
            <w:bdr w:val="none" w:sz="0" w:space="0" w:color="auto" w:frame="1"/>
          </w:rPr>
          <w:t>www.li-ft.com</w:t>
        </w:r>
      </w:hyperlink>
    </w:p>
    <w:p w14:paraId="28D48D48" w14:textId="77777777" w:rsidR="0008266C" w:rsidRDefault="0008266C" w:rsidP="00A93727">
      <w:pPr>
        <w:rPr>
          <w:rFonts w:ascii="Roboto" w:hAnsi="Roboto"/>
          <w:b/>
          <w:bCs/>
        </w:rPr>
      </w:pPr>
    </w:p>
    <w:p w14:paraId="40B016A5" w14:textId="77777777" w:rsidR="002A1559" w:rsidRDefault="002A1559" w:rsidP="002A1559">
      <w:pPr>
        <w:rPr>
          <w:rFonts w:ascii="Roboto" w:hAnsi="Roboto"/>
          <w:b/>
          <w:bCs/>
        </w:rPr>
      </w:pPr>
      <w:r>
        <w:rPr>
          <w:rFonts w:ascii="Roboto" w:hAnsi="Roboto"/>
          <w:b/>
          <w:bCs/>
        </w:rPr>
        <w:t>Appendix A: References</w:t>
      </w:r>
    </w:p>
    <w:p w14:paraId="3E6196BA"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Patriot Battery Metals Inc. – SKWN</w:t>
      </w:r>
    </w:p>
    <w:p w14:paraId="40E02ECB"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“NI 43-101 Technical Report – Mineral Resource Estimate for the CV5 Pegmatite, Corvette Property” effective June 25, 2023; Todd McCracken, </w:t>
      </w:r>
      <w:proofErr w:type="spellStart"/>
      <w:proofErr w:type="gramStart"/>
      <w:r w:rsidRPr="00471A2A">
        <w:rPr>
          <w:rFonts w:ascii="Roboto" w:hAnsi="Roboto"/>
          <w:sz w:val="14"/>
          <w:szCs w:val="14"/>
        </w:rPr>
        <w:t>P.Geo</w:t>
      </w:r>
      <w:proofErr w:type="spellEnd"/>
      <w:proofErr w:type="gramEnd"/>
      <w:r w:rsidRPr="00471A2A">
        <w:rPr>
          <w:rFonts w:ascii="Roboto" w:hAnsi="Roboto"/>
          <w:sz w:val="14"/>
          <w:szCs w:val="14"/>
        </w:rPr>
        <w:t xml:space="preserve">, Ryan Cunningham, M.Eng., </w:t>
      </w:r>
      <w:proofErr w:type="spellStart"/>
      <w:r w:rsidRPr="00471A2A">
        <w:rPr>
          <w:rFonts w:ascii="Roboto" w:hAnsi="Roboto"/>
          <w:sz w:val="14"/>
          <w:szCs w:val="14"/>
        </w:rPr>
        <w:t>P.Eng</w:t>
      </w:r>
      <w:proofErr w:type="spellEnd"/>
      <w:r w:rsidRPr="00471A2A">
        <w:rPr>
          <w:rFonts w:ascii="Roboto" w:hAnsi="Roboto"/>
          <w:sz w:val="14"/>
          <w:szCs w:val="14"/>
        </w:rPr>
        <w:t>, et al.; Inferred: 109.2 Mt at 1.02% Li</w:t>
      </w:r>
      <w:r w:rsidRPr="00471A2A">
        <w:rPr>
          <w:rFonts w:ascii="Roboto" w:hAnsi="Roboto"/>
          <w:sz w:val="14"/>
          <w:szCs w:val="14"/>
          <w:vertAlign w:val="subscript"/>
        </w:rPr>
        <w:t>2</w:t>
      </w:r>
      <w:r w:rsidRPr="00471A2A">
        <w:rPr>
          <w:rFonts w:ascii="Roboto" w:hAnsi="Roboto"/>
          <w:sz w:val="14"/>
          <w:szCs w:val="14"/>
        </w:rPr>
        <w:t>O</w:t>
      </w:r>
    </w:p>
    <w:p w14:paraId="736FF7B0"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“NI 43-101 Technical Report Preliminary Economic Assessment for the </w:t>
      </w:r>
      <w:proofErr w:type="spellStart"/>
      <w:r w:rsidRPr="00471A2A">
        <w:rPr>
          <w:rFonts w:ascii="Roboto" w:hAnsi="Roboto"/>
          <w:sz w:val="14"/>
          <w:szCs w:val="14"/>
        </w:rPr>
        <w:t>Shaakichiuwaanaan</w:t>
      </w:r>
      <w:proofErr w:type="spellEnd"/>
      <w:r w:rsidRPr="00471A2A">
        <w:rPr>
          <w:rFonts w:ascii="Roboto" w:hAnsi="Roboto"/>
          <w:sz w:val="14"/>
          <w:szCs w:val="14"/>
        </w:rPr>
        <w:t xml:space="preserve"> Project” effective August 21, 2024; Todd McCracken, </w:t>
      </w:r>
      <w:proofErr w:type="spellStart"/>
      <w:proofErr w:type="gramStart"/>
      <w:r w:rsidRPr="00471A2A">
        <w:rPr>
          <w:rFonts w:ascii="Roboto" w:hAnsi="Roboto"/>
          <w:sz w:val="14"/>
          <w:szCs w:val="14"/>
        </w:rPr>
        <w:t>P.Geo</w:t>
      </w:r>
      <w:proofErr w:type="spellEnd"/>
      <w:proofErr w:type="gramEnd"/>
      <w:r w:rsidRPr="00471A2A">
        <w:rPr>
          <w:rFonts w:ascii="Roboto" w:hAnsi="Roboto"/>
          <w:sz w:val="14"/>
          <w:szCs w:val="14"/>
        </w:rPr>
        <w:t xml:space="preserve">, Ryan Cunningham, M.Eng., </w:t>
      </w:r>
      <w:proofErr w:type="spellStart"/>
      <w:r w:rsidRPr="00471A2A">
        <w:rPr>
          <w:rFonts w:ascii="Roboto" w:hAnsi="Roboto"/>
          <w:sz w:val="14"/>
          <w:szCs w:val="14"/>
        </w:rPr>
        <w:t>P.Eng</w:t>
      </w:r>
      <w:proofErr w:type="spellEnd"/>
      <w:r w:rsidRPr="00471A2A">
        <w:rPr>
          <w:rFonts w:ascii="Roboto" w:hAnsi="Roboto"/>
          <w:sz w:val="14"/>
          <w:szCs w:val="14"/>
        </w:rPr>
        <w:t>, et al.; Indicated: 80.1 Mt at 1.44% Li</w:t>
      </w:r>
      <w:r w:rsidRPr="00471A2A">
        <w:rPr>
          <w:rFonts w:ascii="Roboto" w:hAnsi="Roboto"/>
          <w:sz w:val="14"/>
          <w:szCs w:val="14"/>
          <w:vertAlign w:val="subscript"/>
        </w:rPr>
        <w:t>2</w:t>
      </w:r>
      <w:r w:rsidRPr="00471A2A">
        <w:rPr>
          <w:rFonts w:ascii="Roboto" w:hAnsi="Roboto"/>
          <w:sz w:val="14"/>
          <w:szCs w:val="14"/>
        </w:rPr>
        <w:t>O, Inferred: 62.5 Mt at 1.31% Li</w:t>
      </w:r>
      <w:r w:rsidRPr="00471A2A">
        <w:rPr>
          <w:rFonts w:ascii="Roboto" w:hAnsi="Roboto"/>
          <w:sz w:val="14"/>
          <w:szCs w:val="14"/>
          <w:vertAlign w:val="subscript"/>
        </w:rPr>
        <w:t>2</w:t>
      </w:r>
      <w:r w:rsidRPr="00471A2A">
        <w:rPr>
          <w:rFonts w:ascii="Roboto" w:hAnsi="Roboto"/>
          <w:sz w:val="14"/>
          <w:szCs w:val="14"/>
        </w:rPr>
        <w:t>O</w:t>
      </w:r>
    </w:p>
    <w:p w14:paraId="297E01E4"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Winsome Resources Limited – Adina</w:t>
      </w:r>
    </w:p>
    <w:p w14:paraId="621B517B"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“Globally significant maiden Mineral Resource of 59Mt at 100% owned Adina Lithium Project” effective December 11, 2023; Inferred: 58.5 Mt at 1.62% Li</w:t>
      </w:r>
      <w:r w:rsidRPr="00471A2A">
        <w:rPr>
          <w:rFonts w:ascii="Roboto" w:hAnsi="Roboto"/>
          <w:sz w:val="14"/>
          <w:szCs w:val="14"/>
          <w:vertAlign w:val="subscript"/>
        </w:rPr>
        <w:t>2</w:t>
      </w:r>
      <w:r w:rsidRPr="00471A2A">
        <w:rPr>
          <w:rFonts w:ascii="Roboto" w:hAnsi="Roboto"/>
          <w:sz w:val="14"/>
          <w:szCs w:val="14"/>
        </w:rPr>
        <w:t>O</w:t>
      </w:r>
    </w:p>
    <w:p w14:paraId="4D11CABA"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“Adina Mineral Resource increases 33% to 78Mt at 1.15% Li</w:t>
      </w:r>
      <w:r w:rsidRPr="00425920">
        <w:rPr>
          <w:rFonts w:ascii="Roboto" w:hAnsi="Roboto"/>
          <w:sz w:val="14"/>
          <w:szCs w:val="14"/>
          <w:vertAlign w:val="subscript"/>
        </w:rPr>
        <w:t>2</w:t>
      </w:r>
      <w:r w:rsidRPr="00471A2A">
        <w:rPr>
          <w:rFonts w:ascii="Roboto" w:hAnsi="Roboto"/>
          <w:sz w:val="14"/>
          <w:szCs w:val="14"/>
        </w:rPr>
        <w:t xml:space="preserve">O with 79% Indicated” effective May 28, 2024; Indicated: 61.4 Mt at 1.14% </w:t>
      </w:r>
      <w:bookmarkStart w:id="2" w:name="_Hlk178610567"/>
      <w:r w:rsidRPr="00471A2A">
        <w:rPr>
          <w:rFonts w:ascii="Roboto" w:hAnsi="Roboto"/>
          <w:sz w:val="14"/>
          <w:szCs w:val="14"/>
        </w:rPr>
        <w:t>Li</w:t>
      </w:r>
      <w:r w:rsidRPr="00471A2A">
        <w:rPr>
          <w:rFonts w:ascii="Roboto" w:hAnsi="Roboto"/>
          <w:sz w:val="14"/>
          <w:szCs w:val="14"/>
          <w:vertAlign w:val="subscript"/>
        </w:rPr>
        <w:t>2</w:t>
      </w:r>
      <w:r w:rsidRPr="00471A2A">
        <w:rPr>
          <w:rFonts w:ascii="Roboto" w:hAnsi="Roboto"/>
          <w:sz w:val="14"/>
          <w:szCs w:val="14"/>
        </w:rPr>
        <w:t>O</w:t>
      </w:r>
      <w:bookmarkEnd w:id="2"/>
      <w:r w:rsidRPr="00471A2A">
        <w:rPr>
          <w:rFonts w:ascii="Roboto" w:hAnsi="Roboto"/>
          <w:sz w:val="14"/>
          <w:szCs w:val="14"/>
        </w:rPr>
        <w:t>, Inferred: 16.5 Mt at 1.19% Li</w:t>
      </w:r>
      <w:r w:rsidRPr="00471A2A">
        <w:rPr>
          <w:rFonts w:ascii="Roboto" w:hAnsi="Roboto"/>
          <w:sz w:val="14"/>
          <w:szCs w:val="14"/>
          <w:vertAlign w:val="subscript"/>
        </w:rPr>
        <w:t>2</w:t>
      </w:r>
      <w:r w:rsidRPr="00471A2A">
        <w:rPr>
          <w:rFonts w:ascii="Roboto" w:hAnsi="Roboto"/>
          <w:sz w:val="14"/>
          <w:szCs w:val="14"/>
        </w:rPr>
        <w:t>O</w:t>
      </w:r>
    </w:p>
    <w:p w14:paraId="3E9B22C1"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 xml:space="preserve">Nemaska Lithium – </w:t>
      </w:r>
      <w:proofErr w:type="spellStart"/>
      <w:r w:rsidRPr="00471A2A">
        <w:rPr>
          <w:rFonts w:ascii="Roboto" w:hAnsi="Roboto"/>
          <w:b/>
          <w:bCs/>
          <w:i/>
          <w:iCs/>
          <w:sz w:val="14"/>
          <w:szCs w:val="14"/>
        </w:rPr>
        <w:t>Whabouchi</w:t>
      </w:r>
      <w:proofErr w:type="spellEnd"/>
    </w:p>
    <w:p w14:paraId="60911024"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“NI 43-101 Technical Report Mineral Resource Estimation </w:t>
      </w:r>
      <w:proofErr w:type="spellStart"/>
      <w:r w:rsidRPr="00471A2A">
        <w:rPr>
          <w:rFonts w:ascii="Roboto" w:hAnsi="Roboto"/>
          <w:sz w:val="14"/>
          <w:szCs w:val="14"/>
        </w:rPr>
        <w:t>Whabouchi</w:t>
      </w:r>
      <w:proofErr w:type="spellEnd"/>
      <w:r w:rsidRPr="00471A2A">
        <w:rPr>
          <w:rFonts w:ascii="Roboto" w:hAnsi="Roboto"/>
          <w:sz w:val="14"/>
          <w:szCs w:val="14"/>
        </w:rPr>
        <w:t xml:space="preserve"> Lithium Deposit Nemaska Exploration Inc.” effective July 14, 2010; André </w:t>
      </w:r>
      <w:proofErr w:type="spellStart"/>
      <w:r w:rsidRPr="00471A2A">
        <w:rPr>
          <w:rFonts w:ascii="Roboto" w:hAnsi="Roboto"/>
          <w:sz w:val="14"/>
          <w:szCs w:val="14"/>
        </w:rPr>
        <w:t>Laferrière</w:t>
      </w:r>
      <w:proofErr w:type="spellEnd"/>
      <w:r w:rsidRPr="00471A2A">
        <w:rPr>
          <w:rFonts w:ascii="Roboto" w:hAnsi="Roboto"/>
          <w:sz w:val="14"/>
          <w:szCs w:val="14"/>
        </w:rPr>
        <w:t xml:space="preserve">, M.Sc. </w:t>
      </w:r>
      <w:proofErr w:type="spellStart"/>
      <w:proofErr w:type="gramStart"/>
      <w:r w:rsidRPr="00471A2A">
        <w:rPr>
          <w:rFonts w:ascii="Roboto" w:hAnsi="Roboto"/>
          <w:sz w:val="14"/>
          <w:szCs w:val="14"/>
        </w:rPr>
        <w:t>P.Geo</w:t>
      </w:r>
      <w:proofErr w:type="spellEnd"/>
      <w:proofErr w:type="gramEnd"/>
      <w:r w:rsidRPr="00471A2A">
        <w:rPr>
          <w:rFonts w:ascii="Roboto" w:hAnsi="Roboto"/>
          <w:sz w:val="14"/>
          <w:szCs w:val="14"/>
        </w:rPr>
        <w:t>, et al.; Measured: 1.9 Mt at 1.60% Li</w:t>
      </w:r>
      <w:r w:rsidRPr="00471A2A">
        <w:rPr>
          <w:rFonts w:ascii="Roboto" w:hAnsi="Roboto"/>
          <w:sz w:val="14"/>
          <w:szCs w:val="14"/>
          <w:vertAlign w:val="subscript"/>
        </w:rPr>
        <w:t>2</w:t>
      </w:r>
      <w:r w:rsidRPr="00471A2A">
        <w:rPr>
          <w:rFonts w:ascii="Roboto" w:hAnsi="Roboto"/>
          <w:sz w:val="14"/>
          <w:szCs w:val="14"/>
        </w:rPr>
        <w:t>O, Indicated: 7.9 Mt at 1.64% Li</w:t>
      </w:r>
      <w:r w:rsidRPr="00471A2A">
        <w:rPr>
          <w:rFonts w:ascii="Roboto" w:hAnsi="Roboto"/>
          <w:sz w:val="14"/>
          <w:szCs w:val="14"/>
          <w:vertAlign w:val="subscript"/>
        </w:rPr>
        <w:t>2</w:t>
      </w:r>
      <w:r w:rsidRPr="00471A2A">
        <w:rPr>
          <w:rFonts w:ascii="Roboto" w:hAnsi="Roboto"/>
          <w:sz w:val="14"/>
          <w:szCs w:val="14"/>
        </w:rPr>
        <w:t>O, Inferred: 15.4 Mt at 1.57% Li</w:t>
      </w:r>
      <w:r w:rsidRPr="00471A2A">
        <w:rPr>
          <w:rFonts w:ascii="Roboto" w:hAnsi="Roboto"/>
          <w:sz w:val="14"/>
          <w:szCs w:val="14"/>
          <w:vertAlign w:val="subscript"/>
        </w:rPr>
        <w:t>2</w:t>
      </w:r>
      <w:r w:rsidRPr="00471A2A">
        <w:rPr>
          <w:rFonts w:ascii="Roboto" w:hAnsi="Roboto"/>
          <w:sz w:val="14"/>
          <w:szCs w:val="14"/>
        </w:rPr>
        <w:t>O</w:t>
      </w:r>
    </w:p>
    <w:p w14:paraId="3825209A"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“Pre-Feasibility Study on the </w:t>
      </w:r>
      <w:proofErr w:type="spellStart"/>
      <w:r w:rsidRPr="00471A2A">
        <w:rPr>
          <w:rFonts w:ascii="Roboto" w:hAnsi="Roboto"/>
          <w:sz w:val="14"/>
          <w:szCs w:val="14"/>
        </w:rPr>
        <w:t>Whabouchi</w:t>
      </w:r>
      <w:proofErr w:type="spellEnd"/>
      <w:r w:rsidRPr="00471A2A">
        <w:rPr>
          <w:rFonts w:ascii="Roboto" w:hAnsi="Roboto"/>
          <w:sz w:val="14"/>
          <w:szCs w:val="14"/>
        </w:rPr>
        <w:t xml:space="preserve"> Mine Nemaska, Quebec” effective December 31, 2022; Jeffrey </w:t>
      </w:r>
      <w:proofErr w:type="spellStart"/>
      <w:r w:rsidRPr="00471A2A">
        <w:rPr>
          <w:rFonts w:ascii="Roboto" w:hAnsi="Roboto"/>
          <w:sz w:val="14"/>
          <w:szCs w:val="14"/>
        </w:rPr>
        <w:t>Cassoff</w:t>
      </w:r>
      <w:proofErr w:type="spellEnd"/>
      <w:r w:rsidRPr="00471A2A">
        <w:rPr>
          <w:rFonts w:ascii="Roboto" w:hAnsi="Roboto"/>
          <w:sz w:val="14"/>
          <w:szCs w:val="14"/>
        </w:rPr>
        <w:t>, Daniel M. Gagnon, Marc-Antoine Laporte, et al.; Proven: 10.5 Mt at 1.40% Li</w:t>
      </w:r>
      <w:r w:rsidRPr="00471A2A">
        <w:rPr>
          <w:rFonts w:ascii="Roboto" w:hAnsi="Roboto"/>
          <w:sz w:val="14"/>
          <w:szCs w:val="14"/>
          <w:vertAlign w:val="subscript"/>
        </w:rPr>
        <w:t>2</w:t>
      </w:r>
      <w:r w:rsidRPr="00471A2A">
        <w:rPr>
          <w:rFonts w:ascii="Roboto" w:hAnsi="Roboto"/>
          <w:sz w:val="14"/>
          <w:szCs w:val="14"/>
        </w:rPr>
        <w:t>O, Probable: 27.7 Mt at 1.28%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xml:space="preserve"> (exclusive): 7.8 Mt at 1.61% Li</w:t>
      </w:r>
      <w:r w:rsidRPr="00471A2A">
        <w:rPr>
          <w:rFonts w:ascii="Roboto" w:hAnsi="Roboto"/>
          <w:sz w:val="14"/>
          <w:szCs w:val="14"/>
          <w:vertAlign w:val="subscript"/>
        </w:rPr>
        <w:t>2</w:t>
      </w:r>
      <w:r w:rsidRPr="00471A2A">
        <w:rPr>
          <w:rFonts w:ascii="Roboto" w:hAnsi="Roboto"/>
          <w:sz w:val="14"/>
          <w:szCs w:val="14"/>
        </w:rPr>
        <w:t>O, Inferred: 8.3 Mt at 1.31% Li</w:t>
      </w:r>
      <w:r w:rsidRPr="00471A2A">
        <w:rPr>
          <w:rFonts w:ascii="Roboto" w:hAnsi="Roboto"/>
          <w:sz w:val="14"/>
          <w:szCs w:val="14"/>
          <w:vertAlign w:val="subscript"/>
        </w:rPr>
        <w:t>2</w:t>
      </w:r>
      <w:r w:rsidRPr="00471A2A">
        <w:rPr>
          <w:rFonts w:ascii="Roboto" w:hAnsi="Roboto"/>
          <w:sz w:val="14"/>
          <w:szCs w:val="14"/>
        </w:rPr>
        <w:t>O</w:t>
      </w:r>
    </w:p>
    <w:p w14:paraId="03608087"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Critical Elements Lithium Corporation – Rose</w:t>
      </w:r>
    </w:p>
    <w:p w14:paraId="282F6095"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“The Rose deposit is one of the largest resources of “conflict free” Tantalum, with a new indicated resource of 26,500,000 </w:t>
      </w:r>
      <w:proofErr w:type="spellStart"/>
      <w:r w:rsidRPr="00471A2A">
        <w:rPr>
          <w:rFonts w:ascii="Roboto" w:hAnsi="Roboto"/>
          <w:sz w:val="14"/>
          <w:szCs w:val="14"/>
        </w:rPr>
        <w:t>tonnes</w:t>
      </w:r>
      <w:proofErr w:type="spellEnd"/>
      <w:r w:rsidRPr="00471A2A">
        <w:rPr>
          <w:rFonts w:ascii="Roboto" w:hAnsi="Roboto"/>
          <w:sz w:val="14"/>
          <w:szCs w:val="14"/>
        </w:rPr>
        <w:t xml:space="preserve"> at 1.30% Li</w:t>
      </w:r>
      <w:r w:rsidRPr="00471A2A">
        <w:rPr>
          <w:rFonts w:ascii="Roboto" w:hAnsi="Roboto"/>
          <w:sz w:val="14"/>
          <w:szCs w:val="14"/>
          <w:vertAlign w:val="subscript"/>
        </w:rPr>
        <w:t>2</w:t>
      </w:r>
      <w:r w:rsidRPr="00471A2A">
        <w:rPr>
          <w:rFonts w:ascii="Roboto" w:hAnsi="Roboto"/>
          <w:sz w:val="14"/>
          <w:szCs w:val="14"/>
        </w:rPr>
        <w:t>Oeq or 0.98% Li</w:t>
      </w:r>
      <w:r w:rsidRPr="00471A2A">
        <w:rPr>
          <w:rFonts w:ascii="Roboto" w:hAnsi="Roboto"/>
          <w:sz w:val="14"/>
          <w:szCs w:val="14"/>
          <w:vertAlign w:val="subscript"/>
        </w:rPr>
        <w:t>2</w:t>
      </w:r>
      <w:r w:rsidRPr="00471A2A">
        <w:rPr>
          <w:rFonts w:ascii="Roboto" w:hAnsi="Roboto"/>
          <w:sz w:val="14"/>
          <w:szCs w:val="14"/>
        </w:rPr>
        <w:t>O, 163 ppm Ta2O5” effective July 27, 2011; Indicated: 26.5 Mt at 1.30% Li</w:t>
      </w:r>
      <w:r w:rsidRPr="00471A2A">
        <w:rPr>
          <w:rFonts w:ascii="Roboto" w:hAnsi="Roboto"/>
          <w:sz w:val="14"/>
          <w:szCs w:val="14"/>
          <w:vertAlign w:val="subscript"/>
        </w:rPr>
        <w:t>2</w:t>
      </w:r>
      <w:r w:rsidRPr="00471A2A">
        <w:rPr>
          <w:rFonts w:ascii="Roboto" w:hAnsi="Roboto"/>
          <w:sz w:val="14"/>
          <w:szCs w:val="14"/>
        </w:rPr>
        <w:t>O, Inferred: 10.7 Mt at 1.14% Li</w:t>
      </w:r>
      <w:r w:rsidRPr="00471A2A">
        <w:rPr>
          <w:rFonts w:ascii="Roboto" w:hAnsi="Roboto"/>
          <w:sz w:val="14"/>
          <w:szCs w:val="14"/>
          <w:vertAlign w:val="subscript"/>
        </w:rPr>
        <w:t>2</w:t>
      </w:r>
      <w:r w:rsidRPr="00471A2A">
        <w:rPr>
          <w:rFonts w:ascii="Roboto" w:hAnsi="Roboto"/>
          <w:sz w:val="14"/>
          <w:szCs w:val="14"/>
        </w:rPr>
        <w:t>O</w:t>
      </w:r>
    </w:p>
    <w:p w14:paraId="3C990E0B"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“Critical Elements Lithium Announces New Positive Feasibility Study for the Rose Lithium Project Generating an After-Tax NPV</w:t>
      </w:r>
      <w:r w:rsidRPr="00425920">
        <w:rPr>
          <w:rFonts w:ascii="Roboto" w:hAnsi="Roboto"/>
          <w:sz w:val="14"/>
          <w:szCs w:val="14"/>
          <w:vertAlign w:val="subscript"/>
        </w:rPr>
        <w:t>8%</w:t>
      </w:r>
      <w:r w:rsidRPr="00471A2A">
        <w:rPr>
          <w:rFonts w:ascii="Roboto" w:hAnsi="Roboto"/>
          <w:sz w:val="14"/>
          <w:szCs w:val="14"/>
        </w:rPr>
        <w:t xml:space="preserve"> of US$2.2B and an After-Tax IRR of 65.7%” effective August 1, 2023; Probable: 26.3 Mt at 0.87%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30.6 Mt at 0.93%, Inferred: 2.4 Mt at 0.78% Li</w:t>
      </w:r>
      <w:r w:rsidRPr="00471A2A">
        <w:rPr>
          <w:rFonts w:ascii="Roboto" w:hAnsi="Roboto"/>
          <w:sz w:val="14"/>
          <w:szCs w:val="14"/>
          <w:vertAlign w:val="subscript"/>
        </w:rPr>
        <w:t>2</w:t>
      </w:r>
      <w:r w:rsidRPr="00471A2A">
        <w:rPr>
          <w:rFonts w:ascii="Roboto" w:hAnsi="Roboto"/>
          <w:sz w:val="14"/>
          <w:szCs w:val="14"/>
        </w:rPr>
        <w:t>O</w:t>
      </w:r>
    </w:p>
    <w:p w14:paraId="56BC94A3" w14:textId="77777777" w:rsidR="002A1559" w:rsidRPr="00471A2A" w:rsidRDefault="002A1559" w:rsidP="002A1559">
      <w:pPr>
        <w:spacing w:before="40" w:after="20"/>
        <w:rPr>
          <w:rFonts w:ascii="Roboto" w:hAnsi="Roboto"/>
          <w:b/>
          <w:bCs/>
          <w:i/>
          <w:iCs/>
          <w:sz w:val="14"/>
          <w:szCs w:val="14"/>
        </w:rPr>
      </w:pPr>
      <w:proofErr w:type="spellStart"/>
      <w:r w:rsidRPr="00471A2A">
        <w:rPr>
          <w:rFonts w:ascii="Roboto" w:hAnsi="Roboto"/>
          <w:b/>
          <w:bCs/>
          <w:i/>
          <w:iCs/>
          <w:sz w:val="14"/>
          <w:szCs w:val="14"/>
        </w:rPr>
        <w:t>Arcadium</w:t>
      </w:r>
      <w:proofErr w:type="spellEnd"/>
      <w:r w:rsidRPr="00471A2A">
        <w:rPr>
          <w:rFonts w:ascii="Roboto" w:hAnsi="Roboto"/>
          <w:b/>
          <w:bCs/>
          <w:i/>
          <w:iCs/>
          <w:sz w:val="14"/>
          <w:szCs w:val="14"/>
        </w:rPr>
        <w:t xml:space="preserve"> Lithium plc – Galaxy</w:t>
      </w:r>
    </w:p>
    <w:p w14:paraId="1B9F067C"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“Mineral Resource Evaluation James Bay Lithium Project, James Bay, Quebec, Canada” effective November 18, 2010; Sébastien Bernier, </w:t>
      </w:r>
      <w:proofErr w:type="spellStart"/>
      <w:proofErr w:type="gramStart"/>
      <w:r w:rsidRPr="00471A2A">
        <w:rPr>
          <w:rFonts w:ascii="Roboto" w:hAnsi="Roboto"/>
          <w:sz w:val="14"/>
          <w:szCs w:val="14"/>
        </w:rPr>
        <w:t>P.Geo</w:t>
      </w:r>
      <w:proofErr w:type="spellEnd"/>
      <w:proofErr w:type="gramEnd"/>
      <w:r w:rsidRPr="00471A2A">
        <w:rPr>
          <w:rFonts w:ascii="Roboto" w:hAnsi="Roboto"/>
          <w:sz w:val="14"/>
          <w:szCs w:val="14"/>
        </w:rPr>
        <w:t>, et al.; Indicated: 11.8 Mt at 1.30% Li</w:t>
      </w:r>
      <w:r w:rsidRPr="00471A2A">
        <w:rPr>
          <w:rFonts w:ascii="Roboto" w:hAnsi="Roboto"/>
          <w:sz w:val="14"/>
          <w:szCs w:val="14"/>
          <w:vertAlign w:val="subscript"/>
        </w:rPr>
        <w:t>2</w:t>
      </w:r>
      <w:r w:rsidRPr="00471A2A">
        <w:rPr>
          <w:rFonts w:ascii="Roboto" w:hAnsi="Roboto"/>
          <w:sz w:val="14"/>
          <w:szCs w:val="14"/>
        </w:rPr>
        <w:t>O, Inferred: 10.5 Mt at 1.20% Li</w:t>
      </w:r>
      <w:r w:rsidRPr="00471A2A">
        <w:rPr>
          <w:rFonts w:ascii="Roboto" w:hAnsi="Roboto"/>
          <w:sz w:val="14"/>
          <w:szCs w:val="14"/>
          <w:vertAlign w:val="subscript"/>
        </w:rPr>
        <w:t>2</w:t>
      </w:r>
      <w:r w:rsidRPr="00471A2A">
        <w:rPr>
          <w:rFonts w:ascii="Roboto" w:hAnsi="Roboto"/>
          <w:sz w:val="14"/>
          <w:szCs w:val="14"/>
        </w:rPr>
        <w:t>O</w:t>
      </w:r>
    </w:p>
    <w:p w14:paraId="3EC891A6"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“SEC Technical Report Summary </w:t>
      </w:r>
      <w:proofErr w:type="spellStart"/>
      <w:r w:rsidRPr="00471A2A">
        <w:rPr>
          <w:rFonts w:ascii="Roboto" w:hAnsi="Roboto"/>
          <w:sz w:val="14"/>
          <w:szCs w:val="14"/>
        </w:rPr>
        <w:t>Allkem</w:t>
      </w:r>
      <w:proofErr w:type="spellEnd"/>
      <w:r w:rsidRPr="00471A2A">
        <w:rPr>
          <w:rFonts w:ascii="Roboto" w:hAnsi="Roboto"/>
          <w:sz w:val="14"/>
          <w:szCs w:val="14"/>
        </w:rPr>
        <w:t xml:space="preserve"> Limited James Bay Lithium Project” effective June 30, 2023; SLR Consulting (Canada) Ltd., Wave International Pty Ltd., WSP Canada Inc., et al.; Probable: 37.3 Mt at 1.27%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54.3 Mt at 1.30% Li</w:t>
      </w:r>
      <w:r w:rsidRPr="00471A2A">
        <w:rPr>
          <w:rFonts w:ascii="Roboto" w:hAnsi="Roboto"/>
          <w:sz w:val="14"/>
          <w:szCs w:val="14"/>
          <w:vertAlign w:val="subscript"/>
        </w:rPr>
        <w:t>2</w:t>
      </w:r>
      <w:r w:rsidRPr="00471A2A">
        <w:rPr>
          <w:rFonts w:ascii="Roboto" w:hAnsi="Roboto"/>
          <w:sz w:val="14"/>
          <w:szCs w:val="14"/>
        </w:rPr>
        <w:t>O, Inferred: 55.9 Mt 1.29% Li</w:t>
      </w:r>
      <w:r w:rsidRPr="00471A2A">
        <w:rPr>
          <w:rFonts w:ascii="Roboto" w:hAnsi="Roboto"/>
          <w:sz w:val="14"/>
          <w:szCs w:val="14"/>
          <w:vertAlign w:val="subscript"/>
        </w:rPr>
        <w:t>2</w:t>
      </w:r>
      <w:r w:rsidRPr="00471A2A">
        <w:rPr>
          <w:rFonts w:ascii="Roboto" w:hAnsi="Roboto"/>
          <w:sz w:val="14"/>
          <w:szCs w:val="14"/>
        </w:rPr>
        <w:t>O</w:t>
      </w:r>
    </w:p>
    <w:p w14:paraId="2F885589"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Frontier Lithium Inc. – PAK</w:t>
      </w:r>
    </w:p>
    <w:p w14:paraId="1C464682"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“Frontier Lithium expands its PAK Lithium project with Maiden Resource Estimate for the Spark Pegmatite including 3.2 M</w:t>
      </w:r>
      <w:r>
        <w:rPr>
          <w:rFonts w:ascii="Roboto" w:hAnsi="Roboto"/>
          <w:sz w:val="14"/>
          <w:szCs w:val="14"/>
        </w:rPr>
        <w:t>t</w:t>
      </w:r>
      <w:r w:rsidRPr="00471A2A">
        <w:rPr>
          <w:rFonts w:ascii="Roboto" w:hAnsi="Roboto"/>
          <w:sz w:val="14"/>
          <w:szCs w:val="14"/>
        </w:rPr>
        <w:t xml:space="preserve"> in indicated and 12.2 M</w:t>
      </w:r>
      <w:r>
        <w:rPr>
          <w:rFonts w:ascii="Roboto" w:hAnsi="Roboto"/>
          <w:sz w:val="14"/>
          <w:szCs w:val="14"/>
        </w:rPr>
        <w:t>t</w:t>
      </w:r>
      <w:r w:rsidRPr="00471A2A">
        <w:rPr>
          <w:rFonts w:ascii="Roboto" w:hAnsi="Roboto"/>
          <w:sz w:val="14"/>
          <w:szCs w:val="14"/>
        </w:rPr>
        <w:t xml:space="preserve"> in the inferred categories” effective February 4, 2020; Indicated: 3.2 Mt at 1.59% Li</w:t>
      </w:r>
      <w:r w:rsidRPr="00471A2A">
        <w:rPr>
          <w:rFonts w:ascii="Roboto" w:hAnsi="Roboto"/>
          <w:sz w:val="14"/>
          <w:szCs w:val="14"/>
          <w:vertAlign w:val="subscript"/>
        </w:rPr>
        <w:t>2</w:t>
      </w:r>
      <w:r w:rsidRPr="00471A2A">
        <w:rPr>
          <w:rFonts w:ascii="Roboto" w:hAnsi="Roboto"/>
          <w:sz w:val="14"/>
          <w:szCs w:val="14"/>
        </w:rPr>
        <w:t>O, Inferred: 12.2 Mt at 1.36% Li</w:t>
      </w:r>
      <w:r w:rsidRPr="00471A2A">
        <w:rPr>
          <w:rFonts w:ascii="Roboto" w:hAnsi="Roboto"/>
          <w:sz w:val="14"/>
          <w:szCs w:val="14"/>
          <w:vertAlign w:val="subscript"/>
        </w:rPr>
        <w:t>2</w:t>
      </w:r>
      <w:r w:rsidRPr="00471A2A">
        <w:rPr>
          <w:rFonts w:ascii="Roboto" w:hAnsi="Roboto"/>
          <w:sz w:val="14"/>
          <w:szCs w:val="14"/>
        </w:rPr>
        <w:t>O</w:t>
      </w:r>
    </w:p>
    <w:p w14:paraId="4F0BA59E"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“Frontier Lithium Inc. Announces Expansion of Spark Deposit - 18.8 Mt in Indicated and 29.7 Mt in Inferred Categories” effective February 28, 2023; Indicated: 18.8 Mt at 1.52% Li</w:t>
      </w:r>
      <w:r w:rsidRPr="00471A2A">
        <w:rPr>
          <w:rFonts w:ascii="Roboto" w:hAnsi="Roboto"/>
          <w:sz w:val="14"/>
          <w:szCs w:val="14"/>
          <w:vertAlign w:val="subscript"/>
        </w:rPr>
        <w:t>2</w:t>
      </w:r>
      <w:r w:rsidRPr="00471A2A">
        <w:rPr>
          <w:rFonts w:ascii="Roboto" w:hAnsi="Roboto"/>
          <w:sz w:val="14"/>
          <w:szCs w:val="14"/>
        </w:rPr>
        <w:t>O, Inferred: 29.7 Mt at 1.34% Li</w:t>
      </w:r>
      <w:r w:rsidRPr="00471A2A">
        <w:rPr>
          <w:rFonts w:ascii="Roboto" w:hAnsi="Roboto"/>
          <w:sz w:val="14"/>
          <w:szCs w:val="14"/>
          <w:vertAlign w:val="subscript"/>
        </w:rPr>
        <w:t>2</w:t>
      </w:r>
      <w:r w:rsidRPr="00471A2A">
        <w:rPr>
          <w:rFonts w:ascii="Roboto" w:hAnsi="Roboto"/>
          <w:sz w:val="14"/>
          <w:szCs w:val="14"/>
        </w:rPr>
        <w:t>O</w:t>
      </w:r>
    </w:p>
    <w:p w14:paraId="0CDD87AD"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Rock Tech Lithium Inc. – Georgia Lake</w:t>
      </w:r>
    </w:p>
    <w:p w14:paraId="29AAB331"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“Preliminary Economic Assessment for an Integrated Lithium Hydroxide Operation from the Georgia Lake Lithium Project, Northwest Ontario, Canada”; effective March 15, 2021; Ryan James Hanrahan, BEng (Hons), Chris Larder, </w:t>
      </w:r>
      <w:proofErr w:type="spellStart"/>
      <w:r w:rsidRPr="00471A2A">
        <w:rPr>
          <w:rFonts w:ascii="Roboto" w:hAnsi="Roboto"/>
          <w:sz w:val="14"/>
          <w:szCs w:val="14"/>
        </w:rPr>
        <w:t>FAusIMM</w:t>
      </w:r>
      <w:proofErr w:type="spellEnd"/>
      <w:r w:rsidRPr="00471A2A">
        <w:rPr>
          <w:rFonts w:ascii="Roboto" w:hAnsi="Roboto"/>
          <w:sz w:val="14"/>
          <w:szCs w:val="14"/>
        </w:rPr>
        <w:t xml:space="preserve">, Karl Stephan Peters, </w:t>
      </w:r>
      <w:proofErr w:type="spellStart"/>
      <w:r w:rsidRPr="00471A2A">
        <w:rPr>
          <w:rFonts w:ascii="Roboto" w:hAnsi="Roboto"/>
          <w:sz w:val="14"/>
          <w:szCs w:val="14"/>
        </w:rPr>
        <w:t>EurGeol</w:t>
      </w:r>
      <w:proofErr w:type="spellEnd"/>
      <w:r w:rsidRPr="00471A2A">
        <w:rPr>
          <w:rFonts w:ascii="Roboto" w:hAnsi="Roboto"/>
          <w:sz w:val="14"/>
          <w:szCs w:val="14"/>
        </w:rPr>
        <w:t xml:space="preserve"> 787, et al.; Measured: 2.3 Mt at 1.04%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4.3 Mt at 0.99% Li</w:t>
      </w:r>
      <w:r w:rsidRPr="00471A2A">
        <w:rPr>
          <w:rFonts w:ascii="Roboto" w:hAnsi="Roboto"/>
          <w:sz w:val="14"/>
          <w:szCs w:val="14"/>
          <w:vertAlign w:val="subscript"/>
        </w:rPr>
        <w:t>2</w:t>
      </w:r>
      <w:r w:rsidRPr="00471A2A">
        <w:rPr>
          <w:rFonts w:ascii="Roboto" w:hAnsi="Roboto"/>
          <w:sz w:val="14"/>
          <w:szCs w:val="14"/>
        </w:rPr>
        <w:t>O, Inferred: 6.7 Mt at 1.16% Li</w:t>
      </w:r>
      <w:r w:rsidRPr="00471A2A">
        <w:rPr>
          <w:rFonts w:ascii="Roboto" w:hAnsi="Roboto"/>
          <w:sz w:val="14"/>
          <w:szCs w:val="14"/>
          <w:vertAlign w:val="subscript"/>
        </w:rPr>
        <w:t>2</w:t>
      </w:r>
      <w:r w:rsidRPr="00471A2A">
        <w:rPr>
          <w:rFonts w:ascii="Roboto" w:hAnsi="Roboto"/>
          <w:sz w:val="14"/>
          <w:szCs w:val="14"/>
        </w:rPr>
        <w:t>O</w:t>
      </w:r>
    </w:p>
    <w:p w14:paraId="14A9333F"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“Rock Tech Lithium completes Pre-Feasibility Study for its Georgia Lake Project” effective July 31, 22; Indicated: 10.6 Mt at 0.88% Li</w:t>
      </w:r>
      <w:r w:rsidRPr="00471A2A">
        <w:rPr>
          <w:rFonts w:ascii="Roboto" w:hAnsi="Roboto"/>
          <w:sz w:val="14"/>
          <w:szCs w:val="14"/>
          <w:vertAlign w:val="subscript"/>
        </w:rPr>
        <w:t>2</w:t>
      </w:r>
      <w:r w:rsidRPr="00471A2A">
        <w:rPr>
          <w:rFonts w:ascii="Roboto" w:hAnsi="Roboto"/>
          <w:sz w:val="14"/>
          <w:szCs w:val="14"/>
        </w:rPr>
        <w:t>O, Inferred: 4.2 Mt at 1.00% Li</w:t>
      </w:r>
      <w:r w:rsidRPr="00471A2A">
        <w:rPr>
          <w:rFonts w:ascii="Roboto" w:hAnsi="Roboto"/>
          <w:sz w:val="14"/>
          <w:szCs w:val="14"/>
          <w:vertAlign w:val="subscript"/>
        </w:rPr>
        <w:t>2</w:t>
      </w:r>
      <w:r w:rsidRPr="00471A2A">
        <w:rPr>
          <w:rFonts w:ascii="Roboto" w:hAnsi="Roboto"/>
          <w:sz w:val="14"/>
          <w:szCs w:val="14"/>
        </w:rPr>
        <w:t>O</w:t>
      </w:r>
    </w:p>
    <w:p w14:paraId="3A1FC690"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Snow Lake Resources Ltd. – Snow Lake</w:t>
      </w:r>
    </w:p>
    <w:p w14:paraId="70115182"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“Nova Minerals - Quarterly Activities Report – 30 June 2021” effective June 3, 2021; Indicated: 9.0 Mt at 1.00% Li</w:t>
      </w:r>
      <w:r w:rsidRPr="00471A2A">
        <w:rPr>
          <w:rFonts w:ascii="Roboto" w:hAnsi="Roboto"/>
          <w:sz w:val="14"/>
          <w:szCs w:val="14"/>
          <w:vertAlign w:val="subscript"/>
        </w:rPr>
        <w:t>2</w:t>
      </w:r>
      <w:r w:rsidRPr="00471A2A">
        <w:rPr>
          <w:rFonts w:ascii="Roboto" w:hAnsi="Roboto"/>
          <w:sz w:val="14"/>
          <w:szCs w:val="14"/>
        </w:rPr>
        <w:t>O, Inferred: 2.0 Mt at 0.98% Li</w:t>
      </w:r>
      <w:r w:rsidRPr="00471A2A">
        <w:rPr>
          <w:rFonts w:ascii="Roboto" w:hAnsi="Roboto"/>
          <w:sz w:val="14"/>
          <w:szCs w:val="14"/>
          <w:vertAlign w:val="subscript"/>
        </w:rPr>
        <w:t>2</w:t>
      </w:r>
      <w:r w:rsidRPr="00471A2A">
        <w:rPr>
          <w:rFonts w:ascii="Roboto" w:hAnsi="Roboto"/>
          <w:sz w:val="14"/>
          <w:szCs w:val="14"/>
        </w:rPr>
        <w:t>O</w:t>
      </w:r>
    </w:p>
    <w:p w14:paraId="6370E834"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“Snow Lake Announces Completion and Release of S-K 1300 Technical Report Summary of Initial Assessment of the Snow Lake Lithium Project” effective August 10, 2023; Measured: 0.7 Mt at 1.13%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6.6 Mt at 1.10% Li</w:t>
      </w:r>
      <w:r w:rsidRPr="00471A2A">
        <w:rPr>
          <w:rFonts w:ascii="Roboto" w:hAnsi="Roboto"/>
          <w:sz w:val="14"/>
          <w:szCs w:val="14"/>
          <w:vertAlign w:val="subscript"/>
        </w:rPr>
        <w:t>2</w:t>
      </w:r>
      <w:r w:rsidRPr="00471A2A">
        <w:rPr>
          <w:rFonts w:ascii="Roboto" w:hAnsi="Roboto"/>
          <w:sz w:val="14"/>
          <w:szCs w:val="14"/>
        </w:rPr>
        <w:t>O, Inferred: 1.0 Mt at 0.99% Li</w:t>
      </w:r>
      <w:r w:rsidRPr="00471A2A">
        <w:rPr>
          <w:rFonts w:ascii="Roboto" w:hAnsi="Roboto"/>
          <w:sz w:val="14"/>
          <w:szCs w:val="14"/>
          <w:vertAlign w:val="subscript"/>
        </w:rPr>
        <w:t>2</w:t>
      </w:r>
      <w:r w:rsidRPr="00471A2A">
        <w:rPr>
          <w:rFonts w:ascii="Roboto" w:hAnsi="Roboto"/>
          <w:sz w:val="14"/>
          <w:szCs w:val="14"/>
        </w:rPr>
        <w:t>O</w:t>
      </w:r>
    </w:p>
    <w:p w14:paraId="7D88F604"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Cygnus Metals Limited – Pontax</w:t>
      </w:r>
    </w:p>
    <w:p w14:paraId="0A530393"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“Maiden Resource of 10.1Mt at 1.04% Li</w:t>
      </w:r>
      <w:r w:rsidRPr="00425920">
        <w:rPr>
          <w:rFonts w:ascii="Roboto" w:hAnsi="Roboto"/>
          <w:sz w:val="14"/>
          <w:szCs w:val="14"/>
          <w:vertAlign w:val="subscript"/>
        </w:rPr>
        <w:t>2</w:t>
      </w:r>
      <w:r w:rsidRPr="00471A2A">
        <w:rPr>
          <w:rFonts w:ascii="Roboto" w:hAnsi="Roboto"/>
          <w:sz w:val="14"/>
          <w:szCs w:val="14"/>
        </w:rPr>
        <w:t xml:space="preserve">O with </w:t>
      </w:r>
      <w:proofErr w:type="spellStart"/>
      <w:r w:rsidRPr="00471A2A">
        <w:rPr>
          <w:rFonts w:ascii="Roboto" w:hAnsi="Roboto"/>
          <w:sz w:val="14"/>
          <w:szCs w:val="14"/>
        </w:rPr>
        <w:t>mineralisation</w:t>
      </w:r>
      <w:proofErr w:type="spellEnd"/>
      <w:r w:rsidRPr="00471A2A">
        <w:rPr>
          <w:rFonts w:ascii="Roboto" w:hAnsi="Roboto"/>
          <w:sz w:val="14"/>
          <w:szCs w:val="14"/>
        </w:rPr>
        <w:t xml:space="preserve"> open in all directions” effective August 14, 2023; Inferred: 10.1 Mt at 1.04% Li</w:t>
      </w:r>
      <w:r w:rsidRPr="00471A2A">
        <w:rPr>
          <w:rFonts w:ascii="Roboto" w:hAnsi="Roboto"/>
          <w:sz w:val="14"/>
          <w:szCs w:val="14"/>
          <w:vertAlign w:val="subscript"/>
        </w:rPr>
        <w:t>2</w:t>
      </w:r>
      <w:r w:rsidRPr="00471A2A">
        <w:rPr>
          <w:rFonts w:ascii="Roboto" w:hAnsi="Roboto"/>
          <w:sz w:val="14"/>
          <w:szCs w:val="14"/>
        </w:rPr>
        <w:t>O</w:t>
      </w:r>
    </w:p>
    <w:p w14:paraId="2DBCC54B"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Grid Metals Corp. – Donner</w:t>
      </w:r>
    </w:p>
    <w:p w14:paraId="3DE98C23"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“Grid Metals Announces Maiden Mineral Resource at Donner Lake Lithium Property; Lease Agreement Signed for True North Mill Provides Additional Flexibility for Future Lithium Production” effective June 27, 2023; Inferred: 6.8 Mt at 1.39% Li</w:t>
      </w:r>
      <w:r w:rsidRPr="00471A2A">
        <w:rPr>
          <w:rFonts w:ascii="Roboto" w:hAnsi="Roboto"/>
          <w:sz w:val="14"/>
          <w:szCs w:val="14"/>
          <w:vertAlign w:val="subscript"/>
        </w:rPr>
        <w:t>2</w:t>
      </w:r>
      <w:r w:rsidRPr="00471A2A">
        <w:rPr>
          <w:rFonts w:ascii="Roboto" w:hAnsi="Roboto"/>
          <w:sz w:val="14"/>
          <w:szCs w:val="14"/>
        </w:rPr>
        <w:t>O</w:t>
      </w:r>
    </w:p>
    <w:p w14:paraId="43B1F5E7"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Critical Resources Limited – Mavis Lake</w:t>
      </w:r>
    </w:p>
    <w:p w14:paraId="1D337AEF"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“8.0 Mt at 1.07% Li</w:t>
      </w:r>
      <w:r w:rsidRPr="00425920">
        <w:rPr>
          <w:rFonts w:ascii="Roboto" w:hAnsi="Roboto"/>
          <w:sz w:val="14"/>
          <w:szCs w:val="14"/>
          <w:vertAlign w:val="subscript"/>
        </w:rPr>
        <w:t>2</w:t>
      </w:r>
      <w:r w:rsidRPr="00471A2A">
        <w:rPr>
          <w:rFonts w:ascii="Roboto" w:hAnsi="Roboto"/>
          <w:sz w:val="14"/>
          <w:szCs w:val="14"/>
        </w:rPr>
        <w:t>O Maiden Mineral Resource at Mavis Lake” effective May 5, 2023; Inferred: 8.0 Mt at 1.07% Li</w:t>
      </w:r>
      <w:r w:rsidRPr="00471A2A">
        <w:rPr>
          <w:rFonts w:ascii="Roboto" w:hAnsi="Roboto"/>
          <w:sz w:val="14"/>
          <w:szCs w:val="14"/>
          <w:vertAlign w:val="subscript"/>
        </w:rPr>
        <w:t>2</w:t>
      </w:r>
      <w:r w:rsidRPr="00471A2A">
        <w:rPr>
          <w:rFonts w:ascii="Roboto" w:hAnsi="Roboto"/>
          <w:sz w:val="14"/>
          <w:szCs w:val="14"/>
        </w:rPr>
        <w:t>O</w:t>
      </w:r>
    </w:p>
    <w:p w14:paraId="5AFFD866"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Green Technology Metals Limited – Seymour Lake</w:t>
      </w:r>
    </w:p>
    <w:p w14:paraId="241D9607"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“Substantial Increase in Mineral Resources at Seymour Lake” effective March 6, 2019; Indicated: 2.1 Mt at 1.29% Li</w:t>
      </w:r>
      <w:r w:rsidRPr="00471A2A">
        <w:rPr>
          <w:rFonts w:ascii="Roboto" w:hAnsi="Roboto"/>
          <w:sz w:val="14"/>
          <w:szCs w:val="14"/>
          <w:vertAlign w:val="subscript"/>
        </w:rPr>
        <w:t>2</w:t>
      </w:r>
      <w:r w:rsidRPr="00471A2A">
        <w:rPr>
          <w:rFonts w:ascii="Roboto" w:hAnsi="Roboto"/>
          <w:sz w:val="14"/>
          <w:szCs w:val="14"/>
        </w:rPr>
        <w:t>O, Inferred: 2.7 Mt at 1.24% Li</w:t>
      </w:r>
      <w:r w:rsidRPr="00471A2A">
        <w:rPr>
          <w:rFonts w:ascii="Roboto" w:hAnsi="Roboto"/>
          <w:sz w:val="14"/>
          <w:szCs w:val="14"/>
          <w:vertAlign w:val="subscript"/>
        </w:rPr>
        <w:t>2</w:t>
      </w:r>
      <w:r w:rsidRPr="00471A2A">
        <w:rPr>
          <w:rFonts w:ascii="Roboto" w:hAnsi="Roboto"/>
          <w:sz w:val="14"/>
          <w:szCs w:val="14"/>
        </w:rPr>
        <w:t>O</w:t>
      </w:r>
    </w:p>
    <w:p w14:paraId="1E113D46"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lastRenderedPageBreak/>
        <w:t>“Seymour Resource Confidence Increased Ahead of Preliminary Economic Assessment” effective November 17, 2023; Indicated: 6.1 Mt at 1.25% Li</w:t>
      </w:r>
      <w:r w:rsidRPr="00471A2A">
        <w:rPr>
          <w:rFonts w:ascii="Roboto" w:hAnsi="Roboto"/>
          <w:sz w:val="14"/>
          <w:szCs w:val="14"/>
          <w:vertAlign w:val="subscript"/>
        </w:rPr>
        <w:t>2</w:t>
      </w:r>
      <w:r w:rsidRPr="00471A2A">
        <w:rPr>
          <w:rFonts w:ascii="Roboto" w:hAnsi="Roboto"/>
          <w:sz w:val="14"/>
          <w:szCs w:val="14"/>
        </w:rPr>
        <w:t>O, Inferred: 4.1 Mt at 0.70%</w:t>
      </w:r>
    </w:p>
    <w:p w14:paraId="166858C9"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Green Technology Metals Limited – Root Lake</w:t>
      </w:r>
    </w:p>
    <w:p w14:paraId="3C22CCE5"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“GT1 Mineral Resources Increased to 14.4Mt” effective April 19, 2023; Inferred: 4.5 Mt at 1.01% Li</w:t>
      </w:r>
      <w:r w:rsidRPr="00471A2A">
        <w:rPr>
          <w:rFonts w:ascii="Roboto" w:hAnsi="Roboto"/>
          <w:sz w:val="14"/>
          <w:szCs w:val="14"/>
          <w:vertAlign w:val="subscript"/>
        </w:rPr>
        <w:t>2</w:t>
      </w:r>
      <w:r w:rsidRPr="00471A2A">
        <w:rPr>
          <w:rFonts w:ascii="Roboto" w:hAnsi="Roboto"/>
          <w:sz w:val="14"/>
          <w:szCs w:val="14"/>
        </w:rPr>
        <w:t>O</w:t>
      </w:r>
    </w:p>
    <w:p w14:paraId="1E1B37AC"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“Significant Resource and Confidence Level Increase at Root, Global Resource Inventory now at 24.5Mt” effective October 17, 2023; Indicated: 9.4 Mt at 1.30% Li</w:t>
      </w:r>
      <w:r w:rsidRPr="00471A2A">
        <w:rPr>
          <w:rFonts w:ascii="Roboto" w:hAnsi="Roboto"/>
          <w:sz w:val="14"/>
          <w:szCs w:val="14"/>
          <w:vertAlign w:val="subscript"/>
        </w:rPr>
        <w:t>2</w:t>
      </w:r>
      <w:r w:rsidRPr="00471A2A">
        <w:rPr>
          <w:rFonts w:ascii="Roboto" w:hAnsi="Roboto"/>
          <w:sz w:val="14"/>
          <w:szCs w:val="14"/>
        </w:rPr>
        <w:t>O; Inferred: 45.2 Mt at 1.03% Li</w:t>
      </w:r>
      <w:r w:rsidRPr="00471A2A">
        <w:rPr>
          <w:rFonts w:ascii="Roboto" w:hAnsi="Roboto"/>
          <w:sz w:val="14"/>
          <w:szCs w:val="14"/>
          <w:vertAlign w:val="subscript"/>
        </w:rPr>
        <w:t>2</w:t>
      </w:r>
      <w:r w:rsidRPr="00471A2A">
        <w:rPr>
          <w:rFonts w:ascii="Roboto" w:hAnsi="Roboto"/>
          <w:sz w:val="14"/>
          <w:szCs w:val="14"/>
        </w:rPr>
        <w:t>O</w:t>
      </w:r>
    </w:p>
    <w:p w14:paraId="15338A18"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International Lithium Corp. – Raleigh Lake</w:t>
      </w:r>
    </w:p>
    <w:p w14:paraId="75456E91"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“International Lithium Announces Maiden Mineral Resource Estimate at the Raleigh Lake Lithium Project, Ontario, Canada” effective February 16, 2023; Measured: 0.08 Mt at 0.83% Li</w:t>
      </w:r>
      <w:r w:rsidRPr="00471A2A">
        <w:rPr>
          <w:rFonts w:ascii="Roboto" w:hAnsi="Roboto"/>
          <w:sz w:val="14"/>
          <w:szCs w:val="14"/>
          <w:vertAlign w:val="subscript"/>
        </w:rPr>
        <w:t>2</w:t>
      </w:r>
      <w:r w:rsidRPr="00471A2A">
        <w:rPr>
          <w:rFonts w:ascii="Roboto" w:hAnsi="Roboto"/>
          <w:sz w:val="14"/>
          <w:szCs w:val="14"/>
        </w:rPr>
        <w:t xml:space="preserve">O, </w:t>
      </w:r>
      <w:proofErr w:type="gramStart"/>
      <w:r w:rsidRPr="00471A2A">
        <w:rPr>
          <w:rFonts w:ascii="Roboto" w:hAnsi="Roboto"/>
          <w:sz w:val="14"/>
          <w:szCs w:val="14"/>
        </w:rPr>
        <w:t>Indicated</w:t>
      </w:r>
      <w:proofErr w:type="gramEnd"/>
      <w:r w:rsidRPr="00471A2A">
        <w:rPr>
          <w:rFonts w:ascii="Roboto" w:hAnsi="Roboto"/>
          <w:sz w:val="14"/>
          <w:szCs w:val="14"/>
        </w:rPr>
        <w:t>: 2.2 Mt at 0.64% Li</w:t>
      </w:r>
      <w:r w:rsidRPr="00471A2A">
        <w:rPr>
          <w:rFonts w:ascii="Roboto" w:hAnsi="Roboto"/>
          <w:sz w:val="14"/>
          <w:szCs w:val="14"/>
          <w:vertAlign w:val="subscript"/>
        </w:rPr>
        <w:t>2</w:t>
      </w:r>
      <w:r w:rsidRPr="00471A2A">
        <w:rPr>
          <w:rFonts w:ascii="Roboto" w:hAnsi="Roboto"/>
          <w:sz w:val="14"/>
          <w:szCs w:val="14"/>
        </w:rPr>
        <w:t>O, Inferred: 3.9 Mt 0.58% Li</w:t>
      </w:r>
      <w:r w:rsidRPr="00471A2A">
        <w:rPr>
          <w:rFonts w:ascii="Roboto" w:hAnsi="Roboto"/>
          <w:sz w:val="14"/>
          <w:szCs w:val="14"/>
          <w:vertAlign w:val="subscript"/>
        </w:rPr>
        <w:t>2</w:t>
      </w:r>
      <w:r w:rsidRPr="00471A2A">
        <w:rPr>
          <w:rFonts w:ascii="Roboto" w:hAnsi="Roboto"/>
          <w:sz w:val="14"/>
          <w:szCs w:val="14"/>
        </w:rPr>
        <w:t>O</w:t>
      </w:r>
    </w:p>
    <w:p w14:paraId="03AFA531"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Imagine Lithium Inc. – Jackpot</w:t>
      </w:r>
    </w:p>
    <w:p w14:paraId="04610DAA"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 xml:space="preserve">“Infinite Ore Adds </w:t>
      </w:r>
      <w:r>
        <w:rPr>
          <w:rFonts w:ascii="Roboto" w:hAnsi="Roboto"/>
          <w:sz w:val="14"/>
          <w:szCs w:val="14"/>
        </w:rPr>
        <w:t>t</w:t>
      </w:r>
      <w:r w:rsidRPr="00471A2A">
        <w:rPr>
          <w:rFonts w:ascii="Roboto" w:hAnsi="Roboto"/>
          <w:sz w:val="14"/>
          <w:szCs w:val="14"/>
        </w:rPr>
        <w:t>o Historical Resources on Jackpot Lithium Project” effective January 27, 2021; Inferred: 2.8 Mt at 1.17% Li</w:t>
      </w:r>
      <w:r w:rsidRPr="00471A2A">
        <w:rPr>
          <w:rFonts w:ascii="Roboto" w:hAnsi="Roboto"/>
          <w:sz w:val="14"/>
          <w:szCs w:val="14"/>
          <w:vertAlign w:val="subscript"/>
        </w:rPr>
        <w:t>2</w:t>
      </w:r>
      <w:r w:rsidRPr="00471A2A">
        <w:rPr>
          <w:rFonts w:ascii="Roboto" w:hAnsi="Roboto"/>
          <w:sz w:val="14"/>
          <w:szCs w:val="14"/>
        </w:rPr>
        <w:t>O</w:t>
      </w:r>
    </w:p>
    <w:p w14:paraId="1A55E377" w14:textId="77777777" w:rsidR="002A1559" w:rsidRPr="00471A2A" w:rsidRDefault="002A1559" w:rsidP="002A1559">
      <w:pPr>
        <w:spacing w:before="40" w:after="20"/>
        <w:rPr>
          <w:rFonts w:ascii="Roboto" w:hAnsi="Roboto"/>
          <w:sz w:val="14"/>
          <w:szCs w:val="14"/>
        </w:rPr>
      </w:pPr>
      <w:r w:rsidRPr="00471A2A">
        <w:rPr>
          <w:rFonts w:ascii="Roboto" w:hAnsi="Roboto"/>
          <w:sz w:val="14"/>
          <w:szCs w:val="14"/>
        </w:rPr>
        <w:t>“Imagine Lithium Releases Initial Mineral Resource at Jackpot Property - Announces 3.1 Mt at 0.85% Li</w:t>
      </w:r>
      <w:r w:rsidRPr="00471A2A">
        <w:rPr>
          <w:rFonts w:ascii="Roboto" w:hAnsi="Roboto"/>
          <w:sz w:val="14"/>
          <w:szCs w:val="14"/>
          <w:vertAlign w:val="subscript"/>
        </w:rPr>
        <w:t>2</w:t>
      </w:r>
      <w:r w:rsidRPr="00471A2A">
        <w:rPr>
          <w:rFonts w:ascii="Roboto" w:hAnsi="Roboto"/>
          <w:sz w:val="14"/>
          <w:szCs w:val="14"/>
        </w:rPr>
        <w:t>O Indicated and 5.3 Mt at 0.91% Li</w:t>
      </w:r>
      <w:r w:rsidRPr="00471A2A">
        <w:rPr>
          <w:rFonts w:ascii="Roboto" w:hAnsi="Roboto"/>
          <w:sz w:val="14"/>
          <w:szCs w:val="14"/>
          <w:vertAlign w:val="subscript"/>
        </w:rPr>
        <w:t>2</w:t>
      </w:r>
      <w:r w:rsidRPr="00471A2A">
        <w:rPr>
          <w:rFonts w:ascii="Roboto" w:hAnsi="Roboto"/>
          <w:sz w:val="14"/>
          <w:szCs w:val="14"/>
        </w:rPr>
        <w:t>O Inferred Mineral Resources” effective September 3, 2024; Indicated: 3.1 Mt at 0.85% Li</w:t>
      </w:r>
      <w:r w:rsidRPr="00471A2A">
        <w:rPr>
          <w:rFonts w:ascii="Roboto" w:hAnsi="Roboto"/>
          <w:sz w:val="14"/>
          <w:szCs w:val="14"/>
          <w:vertAlign w:val="subscript"/>
        </w:rPr>
        <w:t>2</w:t>
      </w:r>
      <w:r w:rsidRPr="00471A2A">
        <w:rPr>
          <w:rFonts w:ascii="Roboto" w:hAnsi="Roboto"/>
          <w:sz w:val="14"/>
          <w:szCs w:val="14"/>
        </w:rPr>
        <w:t>O, Inferred: 5.3 Mt at 0.91% Li</w:t>
      </w:r>
      <w:r w:rsidRPr="00471A2A">
        <w:rPr>
          <w:rFonts w:ascii="Roboto" w:hAnsi="Roboto"/>
          <w:sz w:val="14"/>
          <w:szCs w:val="14"/>
          <w:vertAlign w:val="subscript"/>
        </w:rPr>
        <w:t>2</w:t>
      </w:r>
      <w:r w:rsidRPr="00471A2A">
        <w:rPr>
          <w:rFonts w:ascii="Roboto" w:hAnsi="Roboto"/>
          <w:sz w:val="14"/>
          <w:szCs w:val="14"/>
        </w:rPr>
        <w:t>O</w:t>
      </w:r>
    </w:p>
    <w:p w14:paraId="6C040240" w14:textId="77777777" w:rsidR="002A1559" w:rsidRPr="00471A2A" w:rsidRDefault="002A1559" w:rsidP="002A1559">
      <w:pPr>
        <w:spacing w:before="40" w:after="20"/>
        <w:rPr>
          <w:rFonts w:ascii="Roboto" w:hAnsi="Roboto"/>
          <w:b/>
          <w:bCs/>
          <w:i/>
          <w:iCs/>
          <w:sz w:val="14"/>
          <w:szCs w:val="14"/>
        </w:rPr>
      </w:pPr>
      <w:r w:rsidRPr="00471A2A">
        <w:rPr>
          <w:rFonts w:ascii="Roboto" w:hAnsi="Roboto"/>
          <w:b/>
          <w:bCs/>
          <w:i/>
          <w:iCs/>
          <w:sz w:val="14"/>
          <w:szCs w:val="14"/>
        </w:rPr>
        <w:t xml:space="preserve">Vision Lithium Inc. – </w:t>
      </w:r>
      <w:proofErr w:type="spellStart"/>
      <w:r w:rsidRPr="00471A2A">
        <w:rPr>
          <w:rFonts w:ascii="Roboto" w:hAnsi="Roboto"/>
          <w:b/>
          <w:bCs/>
          <w:i/>
          <w:iCs/>
          <w:sz w:val="14"/>
          <w:szCs w:val="14"/>
        </w:rPr>
        <w:t>Sirmac</w:t>
      </w:r>
      <w:proofErr w:type="spellEnd"/>
    </w:p>
    <w:p w14:paraId="542F2115" w14:textId="41E4F3CB" w:rsidR="00DB288C" w:rsidRPr="00A93727" w:rsidRDefault="002A1559" w:rsidP="00A93727">
      <w:pPr>
        <w:rPr>
          <w:rFonts w:ascii="Roboto" w:hAnsi="Roboto"/>
          <w:b/>
          <w:bCs/>
        </w:rPr>
      </w:pPr>
      <w:r w:rsidRPr="00471A2A">
        <w:rPr>
          <w:rFonts w:ascii="Roboto" w:hAnsi="Roboto"/>
          <w:sz w:val="14"/>
          <w:szCs w:val="14"/>
        </w:rPr>
        <w:t xml:space="preserve">“Vision Lithium PEA On </w:t>
      </w:r>
      <w:proofErr w:type="spellStart"/>
      <w:r w:rsidRPr="00471A2A">
        <w:rPr>
          <w:rFonts w:ascii="Roboto" w:hAnsi="Roboto"/>
          <w:sz w:val="14"/>
          <w:szCs w:val="14"/>
        </w:rPr>
        <w:t>Sirmac</w:t>
      </w:r>
      <w:proofErr w:type="spellEnd"/>
      <w:r w:rsidRPr="00471A2A">
        <w:rPr>
          <w:rFonts w:ascii="Roboto" w:hAnsi="Roboto"/>
          <w:sz w:val="14"/>
          <w:szCs w:val="14"/>
        </w:rPr>
        <w:t xml:space="preserve"> Boasts </w:t>
      </w:r>
      <w:proofErr w:type="gramStart"/>
      <w:r w:rsidRPr="00471A2A">
        <w:rPr>
          <w:rFonts w:ascii="Roboto" w:hAnsi="Roboto"/>
          <w:sz w:val="14"/>
          <w:szCs w:val="14"/>
        </w:rPr>
        <w:t>A</w:t>
      </w:r>
      <w:proofErr w:type="gramEnd"/>
      <w:r w:rsidRPr="00471A2A">
        <w:rPr>
          <w:rFonts w:ascii="Roboto" w:hAnsi="Roboto"/>
          <w:sz w:val="14"/>
          <w:szCs w:val="14"/>
        </w:rPr>
        <w:t xml:space="preserve"> Pre-Tax 83.9% IRR, C$183m Pre-Tax NPV</w:t>
      </w:r>
      <w:r w:rsidRPr="00471A2A">
        <w:rPr>
          <w:rFonts w:ascii="Roboto" w:hAnsi="Roboto"/>
          <w:sz w:val="14"/>
          <w:szCs w:val="14"/>
          <w:vertAlign w:val="subscript"/>
        </w:rPr>
        <w:t>5%</w:t>
      </w:r>
      <w:r w:rsidRPr="00471A2A">
        <w:rPr>
          <w:rFonts w:ascii="Roboto" w:hAnsi="Roboto"/>
          <w:sz w:val="14"/>
          <w:szCs w:val="14"/>
        </w:rPr>
        <w:t xml:space="preserve"> And Less Than One Year Payback” effective January 23, 2023; Measured: 0.2 Mt at 1.38% Li</w:t>
      </w:r>
      <w:r w:rsidRPr="00471A2A">
        <w:rPr>
          <w:rFonts w:ascii="Roboto" w:hAnsi="Roboto"/>
          <w:sz w:val="14"/>
          <w:szCs w:val="14"/>
          <w:vertAlign w:val="subscript"/>
        </w:rPr>
        <w:t>2</w:t>
      </w:r>
      <w:r w:rsidRPr="00471A2A">
        <w:rPr>
          <w:rFonts w:ascii="Roboto" w:hAnsi="Roboto"/>
          <w:sz w:val="14"/>
          <w:szCs w:val="14"/>
        </w:rPr>
        <w:t>O, Indicated: 0.1 Mt at 1.39% Li</w:t>
      </w:r>
      <w:r w:rsidRPr="00471A2A">
        <w:rPr>
          <w:rFonts w:ascii="Roboto" w:hAnsi="Roboto"/>
          <w:sz w:val="14"/>
          <w:szCs w:val="14"/>
          <w:vertAlign w:val="subscript"/>
        </w:rPr>
        <w:t>2</w:t>
      </w:r>
      <w:r w:rsidRPr="00471A2A">
        <w:rPr>
          <w:rFonts w:ascii="Roboto" w:hAnsi="Roboto"/>
          <w:sz w:val="14"/>
          <w:szCs w:val="14"/>
        </w:rPr>
        <w:t>O, Inferred: 0.05 Mt at 1.05% Li</w:t>
      </w:r>
      <w:r w:rsidRPr="00471A2A">
        <w:rPr>
          <w:rFonts w:ascii="Roboto" w:hAnsi="Roboto"/>
          <w:sz w:val="14"/>
          <w:szCs w:val="14"/>
          <w:vertAlign w:val="subscript"/>
        </w:rPr>
        <w:t>2</w:t>
      </w:r>
      <w:r w:rsidRPr="00471A2A">
        <w:rPr>
          <w:rFonts w:ascii="Roboto" w:hAnsi="Roboto"/>
          <w:sz w:val="14"/>
          <w:szCs w:val="14"/>
        </w:rPr>
        <w:t>O</w:t>
      </w:r>
    </w:p>
    <w:p w14:paraId="30DAA9FA" w14:textId="319B2B30" w:rsidR="0008266C" w:rsidRPr="00E31871" w:rsidRDefault="0008266C" w:rsidP="00E31871">
      <w:pPr>
        <w:rPr>
          <w:rFonts w:ascii="Roboto" w:hAnsi="Roboto"/>
        </w:rPr>
      </w:pPr>
      <w:r w:rsidRPr="00E31871">
        <w:rPr>
          <w:rFonts w:ascii="Roboto" w:hAnsi="Roboto"/>
          <w:b/>
          <w:bCs/>
        </w:rPr>
        <w:t>Cautionary Statement Regarding Forward-Looking Information</w:t>
      </w:r>
    </w:p>
    <w:p w14:paraId="4FB7AA6B" w14:textId="77777777" w:rsidR="0008266C" w:rsidRPr="00E31871" w:rsidRDefault="0008266C" w:rsidP="00E31871">
      <w:pPr>
        <w:jc w:val="both"/>
        <w:rPr>
          <w:rFonts w:ascii="Roboto" w:hAnsi="Roboto"/>
        </w:rPr>
      </w:pPr>
      <w:r w:rsidRPr="00E31871">
        <w:rPr>
          <w:rFonts w:ascii="Roboto" w:hAnsi="Roboto"/>
          <w:i/>
          <w:iCs/>
        </w:rPr>
        <w:t>Certain statements included in this press release constitute forward-looking information or statements (collectively, “forward-looking statements”), including those identified by the expressions “anticipate”, “believe”, “plan”, “estimate”, “expect”, “intend”, “may”, “should” and similar expressions to the extent they relate to the Company or its management. The forward-looking statements are not historical facts but reflect current expectations regarding future results or events. This press release contains forward looking statements. These forward-looking statements and information reflect management's current beliefs and are based on assumptions made by and information currently available to the company with respect to the matter described in this new release.</w:t>
      </w:r>
      <w:r w:rsidRPr="00E31871">
        <w:rPr>
          <w:rFonts w:ascii="Roboto" w:hAnsi="Roboto"/>
        </w:rPr>
        <w:t> </w:t>
      </w:r>
    </w:p>
    <w:p w14:paraId="5411B977" w14:textId="77777777" w:rsidR="0008266C" w:rsidRPr="00E31871" w:rsidRDefault="0008266C" w:rsidP="00E31871">
      <w:pPr>
        <w:jc w:val="both"/>
        <w:rPr>
          <w:rFonts w:ascii="Roboto" w:hAnsi="Roboto"/>
        </w:rPr>
      </w:pPr>
      <w:r w:rsidRPr="00E31871">
        <w:rPr>
          <w:rFonts w:ascii="Roboto" w:hAnsi="Roboto"/>
          <w:i/>
          <w:iCs/>
        </w:rPr>
        <w:t>Forward-looking statements involve risks and uncertainties, which are based on current expectations as of the date of this release and subject to known and unknown risks and uncertainties that could cause actual results to differ materially from those expressed or implied by such statements. Additional information about these assumptions and risks and uncertainties is contained under "Risk Factors" in the Company's latest annual information form filed on March 27, 2024, which is available under the Company's SEDAR+ profile at www.sedarplus.ca, and in other filings that the Company has made and may make with applicable securities authorities in the future. Forward-looking statements contained herein are made only as to the date of this press release and we undertake no obligation to update or revise any forward-looking statements whether as a result of new information, future events or otherwise, except as required by law. We caution investors not to place considerable reliance on the forward-looking statements contained in this press release.</w:t>
      </w:r>
    </w:p>
    <w:p w14:paraId="4704E7F7" w14:textId="77777777" w:rsidR="0008266C" w:rsidRDefault="0008266C" w:rsidP="00E31871">
      <w:pPr>
        <w:jc w:val="both"/>
        <w:rPr>
          <w:rFonts w:ascii="Roboto" w:hAnsi="Roboto"/>
          <w:i/>
          <w:iCs/>
        </w:rPr>
      </w:pPr>
      <w:r w:rsidRPr="00E31871">
        <w:rPr>
          <w:rFonts w:ascii="Roboto" w:hAnsi="Roboto"/>
          <w:i/>
          <w:iCs/>
        </w:rPr>
        <w:t>Neither the TSX Venture Exchange nor its Regulation Services Provider (as that term is defined in the policies of the TSX Venture Exchange) accepts responsibility for the adequacy or accuracy of this news release.</w:t>
      </w:r>
    </w:p>
    <w:p w14:paraId="0A4C24B4" w14:textId="77777777" w:rsidR="00DB288C" w:rsidRDefault="00DB288C" w:rsidP="00E31871">
      <w:pPr>
        <w:jc w:val="both"/>
        <w:rPr>
          <w:rFonts w:ascii="Roboto" w:hAnsi="Roboto"/>
          <w:i/>
          <w:iCs/>
        </w:rPr>
      </w:pPr>
    </w:p>
    <w:p w14:paraId="54C09337" w14:textId="77777777" w:rsidR="00DB288C" w:rsidRDefault="00DB288C" w:rsidP="00E31871">
      <w:pPr>
        <w:jc w:val="both"/>
        <w:rPr>
          <w:rFonts w:ascii="Roboto" w:hAnsi="Roboto"/>
          <w:i/>
          <w:iCs/>
        </w:rPr>
      </w:pPr>
    </w:p>
    <w:p w14:paraId="18CE852A" w14:textId="77777777" w:rsidR="00336F73" w:rsidRDefault="00336F73" w:rsidP="00E31871">
      <w:pPr>
        <w:jc w:val="both"/>
        <w:rPr>
          <w:rFonts w:ascii="Roboto" w:hAnsi="Roboto"/>
          <w:i/>
          <w:iCs/>
        </w:rPr>
      </w:pPr>
    </w:p>
    <w:p w14:paraId="61BCDC07" w14:textId="77777777" w:rsidR="00336F73" w:rsidRPr="00E31871" w:rsidRDefault="00336F73" w:rsidP="00E31871">
      <w:pPr>
        <w:jc w:val="both"/>
        <w:rPr>
          <w:rFonts w:ascii="Roboto" w:hAnsi="Roboto"/>
        </w:rPr>
      </w:pPr>
    </w:p>
    <w:p w14:paraId="2DEA1FD4" w14:textId="77777777" w:rsidR="00EC164F" w:rsidRPr="00EC164F" w:rsidRDefault="00EC164F" w:rsidP="00EC164F">
      <w:pPr>
        <w:rPr>
          <w:rFonts w:ascii="Roboto" w:hAnsi="Roboto"/>
          <w:lang w:val="en-CA"/>
        </w:rPr>
      </w:pPr>
      <w:r w:rsidRPr="00EC164F">
        <w:rPr>
          <w:rFonts w:ascii="Roboto" w:hAnsi="Roboto"/>
          <w:b/>
          <w:bCs/>
          <w:lang w:val="en-CA"/>
        </w:rPr>
        <w:lastRenderedPageBreak/>
        <w:t>Cautionary Note for U.S. Investors Concerning Mineral Resources and Reserves</w:t>
      </w:r>
    </w:p>
    <w:p w14:paraId="01A0BC5F" w14:textId="72810D60" w:rsidR="0008266C" w:rsidRPr="00EC164F" w:rsidRDefault="00EC164F" w:rsidP="0060065E">
      <w:pPr>
        <w:jc w:val="both"/>
        <w:rPr>
          <w:rFonts w:ascii="Roboto" w:hAnsi="Roboto"/>
          <w:i/>
          <w:iCs/>
          <w:lang w:val="en-CA"/>
        </w:rPr>
      </w:pPr>
      <w:r w:rsidRPr="00EC164F">
        <w:rPr>
          <w:rFonts w:ascii="Roboto" w:hAnsi="Roboto"/>
          <w:i/>
          <w:iCs/>
          <w:lang w:val="en-CA"/>
        </w:rPr>
        <w:t>NI 43-101 is a rule of the Canadian Securities Administrators which establishes standards for all public disclosure an issuer makes of scientific and technical information concerning mineral projects. Technical disclosure contained in this news release has been prepared in accordance with NI 43-101 and the Canadian Institute of Mining, Metallurgy and Petroleum Classification System. These standards differ from the requirements of the U.S. Securities and Exchange Commission (“SEC”) and resource information contained in this news release may not be comparable to similar information disclosed by domestic United States companies subject to the SEC’s reporting and disclosure requirements.</w:t>
      </w:r>
    </w:p>
    <w:sectPr w:rsidR="0008266C" w:rsidRPr="00EC164F">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F472D3" w14:textId="77777777" w:rsidR="00754A14" w:rsidRDefault="00754A14" w:rsidP="00036A61">
      <w:pPr>
        <w:spacing w:after="0" w:line="240" w:lineRule="auto"/>
      </w:pPr>
      <w:r>
        <w:separator/>
      </w:r>
    </w:p>
  </w:endnote>
  <w:endnote w:type="continuationSeparator" w:id="0">
    <w:p w14:paraId="63B35E84" w14:textId="77777777" w:rsidR="00754A14" w:rsidRDefault="00754A14" w:rsidP="00036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0EDEB7" w14:textId="77777777" w:rsidR="00754A14" w:rsidRDefault="00754A14" w:rsidP="00036A61">
      <w:pPr>
        <w:spacing w:after="0" w:line="240" w:lineRule="auto"/>
      </w:pPr>
      <w:r>
        <w:separator/>
      </w:r>
    </w:p>
  </w:footnote>
  <w:footnote w:type="continuationSeparator" w:id="0">
    <w:p w14:paraId="24E84E8E" w14:textId="77777777" w:rsidR="00754A14" w:rsidRDefault="00754A14" w:rsidP="00036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8E2D55" w14:textId="29734AF0" w:rsidR="00036A61" w:rsidRDefault="00036A61">
    <w:pPr>
      <w:pStyle w:val="Header"/>
    </w:pPr>
    <w:r>
      <w:rPr>
        <w:noProof/>
      </w:rPr>
      <w:drawing>
        <wp:anchor distT="0" distB="0" distL="114300" distR="114300" simplePos="0" relativeHeight="251659264" behindDoc="0" locked="0" layoutInCell="1" allowOverlap="1" wp14:anchorId="470EA3F7" wp14:editId="507001D5">
          <wp:simplePos x="0" y="0"/>
          <wp:positionH relativeFrom="margin">
            <wp:posOffset>1247775</wp:posOffset>
          </wp:positionH>
          <wp:positionV relativeFrom="paragraph">
            <wp:posOffset>-971550</wp:posOffset>
          </wp:positionV>
          <wp:extent cx="3315600" cy="1933200"/>
          <wp:effectExtent l="0" t="0" r="0" b="0"/>
          <wp:wrapNone/>
          <wp:docPr id="1448156149" name="Picture 1448156149" descr="A black background with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54932" name="Picture 1" descr="A black background with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15600" cy="1933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922E9D" w14:textId="038F901D" w:rsidR="003C6FE4" w:rsidRDefault="003C6F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42094"/>
    <w:multiLevelType w:val="hybridMultilevel"/>
    <w:tmpl w:val="1910E9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9292526"/>
    <w:multiLevelType w:val="hybridMultilevel"/>
    <w:tmpl w:val="10806F06"/>
    <w:lvl w:ilvl="0" w:tplc="E46C898A">
      <w:start w:val="1"/>
      <w:numFmt w:val="decimal"/>
      <w:lvlText w:val="(%1)"/>
      <w:lvlJc w:val="left"/>
      <w:pPr>
        <w:ind w:left="720" w:hanging="360"/>
      </w:pPr>
      <w:rPr>
        <w:rFonts w:hint="default"/>
        <w:sz w:val="16"/>
        <w:szCs w:val="16"/>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B3227ED"/>
    <w:multiLevelType w:val="hybridMultilevel"/>
    <w:tmpl w:val="F580EB7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71382283">
    <w:abstractNumId w:val="2"/>
  </w:num>
  <w:num w:numId="2" w16cid:durableId="1862165674">
    <w:abstractNumId w:val="0"/>
  </w:num>
  <w:num w:numId="3" w16cid:durableId="2024935494">
    <w:abstractNumId w:val="1"/>
  </w:num>
  <w:num w:numId="4" w16cid:durableId="544831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891"/>
    <w:rsid w:val="00016F9F"/>
    <w:rsid w:val="0002729B"/>
    <w:rsid w:val="00030D48"/>
    <w:rsid w:val="00036A61"/>
    <w:rsid w:val="000403EE"/>
    <w:rsid w:val="000729D8"/>
    <w:rsid w:val="0008266C"/>
    <w:rsid w:val="00082F67"/>
    <w:rsid w:val="00127C5F"/>
    <w:rsid w:val="00134202"/>
    <w:rsid w:val="00163F5E"/>
    <w:rsid w:val="001A5CF3"/>
    <w:rsid w:val="001A747A"/>
    <w:rsid w:val="001B7674"/>
    <w:rsid w:val="001E2879"/>
    <w:rsid w:val="00203FD6"/>
    <w:rsid w:val="00261CBE"/>
    <w:rsid w:val="00270407"/>
    <w:rsid w:val="0027308C"/>
    <w:rsid w:val="002A1559"/>
    <w:rsid w:val="002B5118"/>
    <w:rsid w:val="002E0F78"/>
    <w:rsid w:val="00310A77"/>
    <w:rsid w:val="00311D71"/>
    <w:rsid w:val="00323CFA"/>
    <w:rsid w:val="003358B5"/>
    <w:rsid w:val="00336F73"/>
    <w:rsid w:val="00365045"/>
    <w:rsid w:val="00386BC7"/>
    <w:rsid w:val="003B1528"/>
    <w:rsid w:val="003B1CDC"/>
    <w:rsid w:val="003B27B9"/>
    <w:rsid w:val="003B477D"/>
    <w:rsid w:val="003B4E59"/>
    <w:rsid w:val="003C556E"/>
    <w:rsid w:val="003C6FE4"/>
    <w:rsid w:val="003E030C"/>
    <w:rsid w:val="003E1FF4"/>
    <w:rsid w:val="00431879"/>
    <w:rsid w:val="0045401C"/>
    <w:rsid w:val="00487AEF"/>
    <w:rsid w:val="004964C0"/>
    <w:rsid w:val="004C3561"/>
    <w:rsid w:val="004D0E94"/>
    <w:rsid w:val="00524D55"/>
    <w:rsid w:val="00545033"/>
    <w:rsid w:val="005620A3"/>
    <w:rsid w:val="00570A1D"/>
    <w:rsid w:val="00571692"/>
    <w:rsid w:val="005762DB"/>
    <w:rsid w:val="005A5F43"/>
    <w:rsid w:val="005B3EBC"/>
    <w:rsid w:val="005B6E37"/>
    <w:rsid w:val="005D0927"/>
    <w:rsid w:val="005F6513"/>
    <w:rsid w:val="0060065E"/>
    <w:rsid w:val="00630729"/>
    <w:rsid w:val="0063414E"/>
    <w:rsid w:val="00641ED7"/>
    <w:rsid w:val="00642649"/>
    <w:rsid w:val="00652D6B"/>
    <w:rsid w:val="0068122F"/>
    <w:rsid w:val="006978DA"/>
    <w:rsid w:val="006C6217"/>
    <w:rsid w:val="006E6EE1"/>
    <w:rsid w:val="00702C43"/>
    <w:rsid w:val="0072032C"/>
    <w:rsid w:val="0073707D"/>
    <w:rsid w:val="00741DFC"/>
    <w:rsid w:val="007535B3"/>
    <w:rsid w:val="00754A14"/>
    <w:rsid w:val="00765891"/>
    <w:rsid w:val="00784630"/>
    <w:rsid w:val="00792C29"/>
    <w:rsid w:val="00795562"/>
    <w:rsid w:val="007B2719"/>
    <w:rsid w:val="007F634A"/>
    <w:rsid w:val="0082536A"/>
    <w:rsid w:val="008479A6"/>
    <w:rsid w:val="0085223A"/>
    <w:rsid w:val="00852D01"/>
    <w:rsid w:val="00885CD2"/>
    <w:rsid w:val="00890220"/>
    <w:rsid w:val="008A73F3"/>
    <w:rsid w:val="008C387E"/>
    <w:rsid w:val="008D1740"/>
    <w:rsid w:val="008D480D"/>
    <w:rsid w:val="008E5766"/>
    <w:rsid w:val="008E577C"/>
    <w:rsid w:val="008E5B1B"/>
    <w:rsid w:val="008F1F22"/>
    <w:rsid w:val="008F5905"/>
    <w:rsid w:val="00911900"/>
    <w:rsid w:val="00935E1F"/>
    <w:rsid w:val="00986305"/>
    <w:rsid w:val="00986533"/>
    <w:rsid w:val="009C3933"/>
    <w:rsid w:val="009E00D4"/>
    <w:rsid w:val="009E5E87"/>
    <w:rsid w:val="00A0172D"/>
    <w:rsid w:val="00A33A9D"/>
    <w:rsid w:val="00A750B2"/>
    <w:rsid w:val="00A8062C"/>
    <w:rsid w:val="00A93727"/>
    <w:rsid w:val="00A939BC"/>
    <w:rsid w:val="00A947C5"/>
    <w:rsid w:val="00AA517C"/>
    <w:rsid w:val="00AA6628"/>
    <w:rsid w:val="00AC615C"/>
    <w:rsid w:val="00AC7B3B"/>
    <w:rsid w:val="00AD1498"/>
    <w:rsid w:val="00AE602E"/>
    <w:rsid w:val="00B027B5"/>
    <w:rsid w:val="00B04AAC"/>
    <w:rsid w:val="00B1496A"/>
    <w:rsid w:val="00B76995"/>
    <w:rsid w:val="00B82639"/>
    <w:rsid w:val="00BB1019"/>
    <w:rsid w:val="00BC48A2"/>
    <w:rsid w:val="00BE0DF3"/>
    <w:rsid w:val="00BE481E"/>
    <w:rsid w:val="00BF2BF4"/>
    <w:rsid w:val="00C2710C"/>
    <w:rsid w:val="00C35AEA"/>
    <w:rsid w:val="00C45D83"/>
    <w:rsid w:val="00C7608F"/>
    <w:rsid w:val="00C76E20"/>
    <w:rsid w:val="00C91C4B"/>
    <w:rsid w:val="00CA1B3F"/>
    <w:rsid w:val="00CA2E2A"/>
    <w:rsid w:val="00CA768D"/>
    <w:rsid w:val="00CE37FA"/>
    <w:rsid w:val="00CF489B"/>
    <w:rsid w:val="00D05A40"/>
    <w:rsid w:val="00D109C4"/>
    <w:rsid w:val="00D43726"/>
    <w:rsid w:val="00D55830"/>
    <w:rsid w:val="00D56E45"/>
    <w:rsid w:val="00D705D3"/>
    <w:rsid w:val="00D81106"/>
    <w:rsid w:val="00DB288C"/>
    <w:rsid w:val="00DE24C8"/>
    <w:rsid w:val="00DE694E"/>
    <w:rsid w:val="00E275C2"/>
    <w:rsid w:val="00E31871"/>
    <w:rsid w:val="00E3760F"/>
    <w:rsid w:val="00E45D2B"/>
    <w:rsid w:val="00E649A9"/>
    <w:rsid w:val="00E8370D"/>
    <w:rsid w:val="00EC164F"/>
    <w:rsid w:val="00F24A98"/>
    <w:rsid w:val="00F304E6"/>
    <w:rsid w:val="00F32632"/>
    <w:rsid w:val="00F37323"/>
    <w:rsid w:val="00F96928"/>
    <w:rsid w:val="00F97130"/>
    <w:rsid w:val="00FA2B72"/>
    <w:rsid w:val="00FA3DD7"/>
    <w:rsid w:val="00FB00C6"/>
    <w:rsid w:val="00FC0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91ADA"/>
  <w15:chartTrackingRefBased/>
  <w15:docId w15:val="{93661795-5836-40E0-B600-B3D1D551E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58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58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58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58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58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58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58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58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58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8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58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58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58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58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58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58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58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5891"/>
    <w:rPr>
      <w:rFonts w:eastAsiaTheme="majorEastAsia" w:cstheme="majorBidi"/>
      <w:color w:val="272727" w:themeColor="text1" w:themeTint="D8"/>
    </w:rPr>
  </w:style>
  <w:style w:type="paragraph" w:styleId="Title">
    <w:name w:val="Title"/>
    <w:basedOn w:val="Normal"/>
    <w:next w:val="Normal"/>
    <w:link w:val="TitleChar"/>
    <w:uiPriority w:val="10"/>
    <w:qFormat/>
    <w:rsid w:val="007658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58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58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58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5891"/>
    <w:pPr>
      <w:spacing w:before="160"/>
      <w:jc w:val="center"/>
    </w:pPr>
    <w:rPr>
      <w:i/>
      <w:iCs/>
      <w:color w:val="404040" w:themeColor="text1" w:themeTint="BF"/>
    </w:rPr>
  </w:style>
  <w:style w:type="character" w:customStyle="1" w:styleId="QuoteChar">
    <w:name w:val="Quote Char"/>
    <w:basedOn w:val="DefaultParagraphFont"/>
    <w:link w:val="Quote"/>
    <w:uiPriority w:val="29"/>
    <w:rsid w:val="00765891"/>
    <w:rPr>
      <w:i/>
      <w:iCs/>
      <w:color w:val="404040" w:themeColor="text1" w:themeTint="BF"/>
    </w:rPr>
  </w:style>
  <w:style w:type="paragraph" w:styleId="ListParagraph">
    <w:name w:val="List Paragraph"/>
    <w:basedOn w:val="Normal"/>
    <w:link w:val="ListParagraphChar"/>
    <w:uiPriority w:val="34"/>
    <w:qFormat/>
    <w:rsid w:val="00765891"/>
    <w:pPr>
      <w:ind w:left="720"/>
      <w:contextualSpacing/>
    </w:pPr>
  </w:style>
  <w:style w:type="character" w:styleId="IntenseEmphasis">
    <w:name w:val="Intense Emphasis"/>
    <w:basedOn w:val="DefaultParagraphFont"/>
    <w:uiPriority w:val="21"/>
    <w:qFormat/>
    <w:rsid w:val="00765891"/>
    <w:rPr>
      <w:i/>
      <w:iCs/>
      <w:color w:val="0F4761" w:themeColor="accent1" w:themeShade="BF"/>
    </w:rPr>
  </w:style>
  <w:style w:type="paragraph" w:styleId="IntenseQuote">
    <w:name w:val="Intense Quote"/>
    <w:basedOn w:val="Normal"/>
    <w:next w:val="Normal"/>
    <w:link w:val="IntenseQuoteChar"/>
    <w:uiPriority w:val="30"/>
    <w:qFormat/>
    <w:rsid w:val="007658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5891"/>
    <w:rPr>
      <w:i/>
      <w:iCs/>
      <w:color w:val="0F4761" w:themeColor="accent1" w:themeShade="BF"/>
    </w:rPr>
  </w:style>
  <w:style w:type="character" w:styleId="IntenseReference">
    <w:name w:val="Intense Reference"/>
    <w:basedOn w:val="DefaultParagraphFont"/>
    <w:uiPriority w:val="32"/>
    <w:qFormat/>
    <w:rsid w:val="00765891"/>
    <w:rPr>
      <w:b/>
      <w:bCs/>
      <w:smallCaps/>
      <w:color w:val="0F4761" w:themeColor="accent1" w:themeShade="BF"/>
      <w:spacing w:val="5"/>
    </w:rPr>
  </w:style>
  <w:style w:type="character" w:styleId="Hyperlink">
    <w:name w:val="Hyperlink"/>
    <w:basedOn w:val="DefaultParagraphFont"/>
    <w:uiPriority w:val="99"/>
    <w:unhideWhenUsed/>
    <w:rsid w:val="0008266C"/>
    <w:rPr>
      <w:color w:val="467886" w:themeColor="hyperlink"/>
      <w:u w:val="single"/>
    </w:rPr>
  </w:style>
  <w:style w:type="character" w:styleId="UnresolvedMention">
    <w:name w:val="Unresolved Mention"/>
    <w:basedOn w:val="DefaultParagraphFont"/>
    <w:uiPriority w:val="99"/>
    <w:semiHidden/>
    <w:unhideWhenUsed/>
    <w:rsid w:val="0008266C"/>
    <w:rPr>
      <w:color w:val="605E5C"/>
      <w:shd w:val="clear" w:color="auto" w:fill="E1DFDD"/>
    </w:rPr>
  </w:style>
  <w:style w:type="paragraph" w:styleId="Revision">
    <w:name w:val="Revision"/>
    <w:hidden/>
    <w:uiPriority w:val="99"/>
    <w:semiHidden/>
    <w:rsid w:val="00A939BC"/>
    <w:pPr>
      <w:spacing w:after="0" w:line="240" w:lineRule="auto"/>
    </w:pPr>
  </w:style>
  <w:style w:type="paragraph" w:styleId="Caption">
    <w:name w:val="caption"/>
    <w:aliases w:val="Table caption,Char,Char1,Figure Caption,Char2,Char11"/>
    <w:basedOn w:val="Normal"/>
    <w:next w:val="Normal"/>
    <w:link w:val="CaptionChar"/>
    <w:qFormat/>
    <w:rsid w:val="00F37323"/>
    <w:pPr>
      <w:spacing w:after="120" w:line="276" w:lineRule="auto"/>
      <w:jc w:val="center"/>
    </w:pPr>
    <w:rPr>
      <w:rFonts w:ascii="Arial" w:eastAsia="Calibri" w:hAnsi="Arial" w:cs="Times New Roman"/>
      <w:b/>
      <w:bCs/>
      <w:kern w:val="0"/>
      <w:szCs w:val="20"/>
      <w14:ligatures w14:val="none"/>
    </w:rPr>
  </w:style>
  <w:style w:type="character" w:customStyle="1" w:styleId="ListParagraphChar">
    <w:name w:val="List Paragraph Char"/>
    <w:link w:val="ListParagraph"/>
    <w:uiPriority w:val="34"/>
    <w:locked/>
    <w:rsid w:val="00F37323"/>
  </w:style>
  <w:style w:type="character" w:customStyle="1" w:styleId="CaptionChar">
    <w:name w:val="Caption Char"/>
    <w:aliases w:val="Table caption Char,Char Char,Char1 Char,Figure Caption Char,Char2 Char,Char11 Char"/>
    <w:basedOn w:val="DefaultParagraphFont"/>
    <w:link w:val="Caption"/>
    <w:rsid w:val="00F37323"/>
    <w:rPr>
      <w:rFonts w:ascii="Arial" w:eastAsia="Calibri" w:hAnsi="Arial" w:cs="Times New Roman"/>
      <w:b/>
      <w:bCs/>
      <w:kern w:val="0"/>
      <w:szCs w:val="20"/>
      <w14:ligatures w14:val="none"/>
    </w:rPr>
  </w:style>
  <w:style w:type="table" w:styleId="TableGrid">
    <w:name w:val="Table Grid"/>
    <w:basedOn w:val="TableNormal"/>
    <w:uiPriority w:val="39"/>
    <w:rsid w:val="00F37323"/>
    <w:pPr>
      <w:spacing w:after="0" w:line="240" w:lineRule="auto"/>
    </w:pPr>
    <w:rPr>
      <w:kern w:val="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37323"/>
    <w:rPr>
      <w:rFonts w:ascii="Helvetica Neue" w:hAnsi="Helvetica Neue"/>
      <w:b/>
      <w:bCs/>
      <w:i w:val="0"/>
      <w:color w:val="000000" w:themeColor="text1"/>
      <w:spacing w:val="0"/>
      <w:kern w:val="22"/>
      <w:position w:val="0"/>
      <w:sz w:val="22"/>
      <w:bdr w:val="none" w:sz="0" w:space="0" w:color="auto"/>
    </w:rPr>
  </w:style>
  <w:style w:type="paragraph" w:styleId="NormalWeb">
    <w:name w:val="Normal (Web)"/>
    <w:basedOn w:val="Normal"/>
    <w:uiPriority w:val="99"/>
    <w:unhideWhenUsed/>
    <w:rsid w:val="00F37323"/>
    <w:pPr>
      <w:spacing w:before="100" w:beforeAutospacing="1" w:after="100" w:afterAutospacing="1" w:line="240" w:lineRule="auto"/>
    </w:pPr>
    <w:rPr>
      <w:rFonts w:ascii="Times New Roman" w:eastAsia="Times New Roman" w:hAnsi="Times New Roman" w:cs="Times New Roman"/>
      <w:kern w:val="0"/>
      <w:sz w:val="24"/>
      <w:szCs w:val="24"/>
      <w:lang w:val="en-CA"/>
      <w14:ligatures w14:val="none"/>
    </w:rPr>
  </w:style>
  <w:style w:type="character" w:styleId="CommentReference">
    <w:name w:val="annotation reference"/>
    <w:basedOn w:val="DefaultParagraphFont"/>
    <w:uiPriority w:val="99"/>
    <w:semiHidden/>
    <w:unhideWhenUsed/>
    <w:rsid w:val="003C556E"/>
    <w:rPr>
      <w:sz w:val="16"/>
      <w:szCs w:val="16"/>
    </w:rPr>
  </w:style>
  <w:style w:type="paragraph" w:styleId="CommentText">
    <w:name w:val="annotation text"/>
    <w:basedOn w:val="Normal"/>
    <w:link w:val="CommentTextChar"/>
    <w:uiPriority w:val="99"/>
    <w:unhideWhenUsed/>
    <w:rsid w:val="003C556E"/>
    <w:pPr>
      <w:spacing w:line="240" w:lineRule="auto"/>
    </w:pPr>
    <w:rPr>
      <w:sz w:val="20"/>
      <w:szCs w:val="20"/>
    </w:rPr>
  </w:style>
  <w:style w:type="character" w:customStyle="1" w:styleId="CommentTextChar">
    <w:name w:val="Comment Text Char"/>
    <w:basedOn w:val="DefaultParagraphFont"/>
    <w:link w:val="CommentText"/>
    <w:uiPriority w:val="99"/>
    <w:rsid w:val="003C556E"/>
    <w:rPr>
      <w:sz w:val="20"/>
      <w:szCs w:val="20"/>
    </w:rPr>
  </w:style>
  <w:style w:type="paragraph" w:styleId="CommentSubject">
    <w:name w:val="annotation subject"/>
    <w:basedOn w:val="CommentText"/>
    <w:next w:val="CommentText"/>
    <w:link w:val="CommentSubjectChar"/>
    <w:uiPriority w:val="99"/>
    <w:semiHidden/>
    <w:unhideWhenUsed/>
    <w:rsid w:val="003C556E"/>
    <w:rPr>
      <w:b/>
      <w:bCs/>
    </w:rPr>
  </w:style>
  <w:style w:type="character" w:customStyle="1" w:styleId="CommentSubjectChar">
    <w:name w:val="Comment Subject Char"/>
    <w:basedOn w:val="CommentTextChar"/>
    <w:link w:val="CommentSubject"/>
    <w:uiPriority w:val="99"/>
    <w:semiHidden/>
    <w:rsid w:val="003C556E"/>
    <w:rPr>
      <w:b/>
      <w:bCs/>
      <w:sz w:val="20"/>
      <w:szCs w:val="20"/>
    </w:rPr>
  </w:style>
  <w:style w:type="paragraph" w:styleId="Header">
    <w:name w:val="header"/>
    <w:basedOn w:val="Normal"/>
    <w:link w:val="HeaderChar"/>
    <w:uiPriority w:val="99"/>
    <w:unhideWhenUsed/>
    <w:rsid w:val="00036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A61"/>
  </w:style>
  <w:style w:type="paragraph" w:styleId="Footer">
    <w:name w:val="footer"/>
    <w:basedOn w:val="Normal"/>
    <w:link w:val="FooterChar"/>
    <w:uiPriority w:val="99"/>
    <w:unhideWhenUsed/>
    <w:rsid w:val="00036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A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873038">
      <w:bodyDiv w:val="1"/>
      <w:marLeft w:val="0"/>
      <w:marRight w:val="0"/>
      <w:marTop w:val="0"/>
      <w:marBottom w:val="0"/>
      <w:divBdr>
        <w:top w:val="none" w:sz="0" w:space="0" w:color="auto"/>
        <w:left w:val="none" w:sz="0" w:space="0" w:color="auto"/>
        <w:bottom w:val="none" w:sz="0" w:space="0" w:color="auto"/>
        <w:right w:val="none" w:sz="0" w:space="0" w:color="auto"/>
      </w:divBdr>
    </w:div>
    <w:div w:id="358824182">
      <w:bodyDiv w:val="1"/>
      <w:marLeft w:val="0"/>
      <w:marRight w:val="0"/>
      <w:marTop w:val="0"/>
      <w:marBottom w:val="0"/>
      <w:divBdr>
        <w:top w:val="none" w:sz="0" w:space="0" w:color="auto"/>
        <w:left w:val="none" w:sz="0" w:space="0" w:color="auto"/>
        <w:bottom w:val="none" w:sz="0" w:space="0" w:color="auto"/>
        <w:right w:val="none" w:sz="0" w:space="0" w:color="auto"/>
      </w:divBdr>
    </w:div>
    <w:div w:id="458037990">
      <w:bodyDiv w:val="1"/>
      <w:marLeft w:val="0"/>
      <w:marRight w:val="0"/>
      <w:marTop w:val="0"/>
      <w:marBottom w:val="0"/>
      <w:divBdr>
        <w:top w:val="none" w:sz="0" w:space="0" w:color="auto"/>
        <w:left w:val="none" w:sz="0" w:space="0" w:color="auto"/>
        <w:bottom w:val="none" w:sz="0" w:space="0" w:color="auto"/>
        <w:right w:val="none" w:sz="0" w:space="0" w:color="auto"/>
      </w:divBdr>
    </w:div>
    <w:div w:id="480974045">
      <w:bodyDiv w:val="1"/>
      <w:marLeft w:val="0"/>
      <w:marRight w:val="0"/>
      <w:marTop w:val="0"/>
      <w:marBottom w:val="0"/>
      <w:divBdr>
        <w:top w:val="none" w:sz="0" w:space="0" w:color="auto"/>
        <w:left w:val="none" w:sz="0" w:space="0" w:color="auto"/>
        <w:bottom w:val="none" w:sz="0" w:space="0" w:color="auto"/>
        <w:right w:val="none" w:sz="0" w:space="0" w:color="auto"/>
      </w:divBdr>
    </w:div>
    <w:div w:id="549804082">
      <w:bodyDiv w:val="1"/>
      <w:marLeft w:val="0"/>
      <w:marRight w:val="0"/>
      <w:marTop w:val="0"/>
      <w:marBottom w:val="0"/>
      <w:divBdr>
        <w:top w:val="none" w:sz="0" w:space="0" w:color="auto"/>
        <w:left w:val="none" w:sz="0" w:space="0" w:color="auto"/>
        <w:bottom w:val="none" w:sz="0" w:space="0" w:color="auto"/>
        <w:right w:val="none" w:sz="0" w:space="0" w:color="auto"/>
      </w:divBdr>
    </w:div>
    <w:div w:id="782117427">
      <w:bodyDiv w:val="1"/>
      <w:marLeft w:val="0"/>
      <w:marRight w:val="0"/>
      <w:marTop w:val="0"/>
      <w:marBottom w:val="0"/>
      <w:divBdr>
        <w:top w:val="none" w:sz="0" w:space="0" w:color="auto"/>
        <w:left w:val="none" w:sz="0" w:space="0" w:color="auto"/>
        <w:bottom w:val="none" w:sz="0" w:space="0" w:color="auto"/>
        <w:right w:val="none" w:sz="0" w:space="0" w:color="auto"/>
      </w:divBdr>
    </w:div>
    <w:div w:id="1086151480">
      <w:bodyDiv w:val="1"/>
      <w:marLeft w:val="0"/>
      <w:marRight w:val="0"/>
      <w:marTop w:val="0"/>
      <w:marBottom w:val="0"/>
      <w:divBdr>
        <w:top w:val="none" w:sz="0" w:space="0" w:color="auto"/>
        <w:left w:val="none" w:sz="0" w:space="0" w:color="auto"/>
        <w:bottom w:val="none" w:sz="0" w:space="0" w:color="auto"/>
        <w:right w:val="none" w:sz="0" w:space="0" w:color="auto"/>
      </w:divBdr>
    </w:div>
    <w:div w:id="1236818259">
      <w:bodyDiv w:val="1"/>
      <w:marLeft w:val="0"/>
      <w:marRight w:val="0"/>
      <w:marTop w:val="0"/>
      <w:marBottom w:val="0"/>
      <w:divBdr>
        <w:top w:val="none" w:sz="0" w:space="0" w:color="auto"/>
        <w:left w:val="none" w:sz="0" w:space="0" w:color="auto"/>
        <w:bottom w:val="none" w:sz="0" w:space="0" w:color="auto"/>
        <w:right w:val="none" w:sz="0" w:space="0" w:color="auto"/>
      </w:divBdr>
    </w:div>
    <w:div w:id="1245913230">
      <w:bodyDiv w:val="1"/>
      <w:marLeft w:val="0"/>
      <w:marRight w:val="0"/>
      <w:marTop w:val="0"/>
      <w:marBottom w:val="0"/>
      <w:divBdr>
        <w:top w:val="none" w:sz="0" w:space="0" w:color="auto"/>
        <w:left w:val="none" w:sz="0" w:space="0" w:color="auto"/>
        <w:bottom w:val="none" w:sz="0" w:space="0" w:color="auto"/>
        <w:right w:val="none" w:sz="0" w:space="0" w:color="auto"/>
      </w:divBdr>
    </w:div>
    <w:div w:id="1249776037">
      <w:bodyDiv w:val="1"/>
      <w:marLeft w:val="0"/>
      <w:marRight w:val="0"/>
      <w:marTop w:val="0"/>
      <w:marBottom w:val="0"/>
      <w:divBdr>
        <w:top w:val="none" w:sz="0" w:space="0" w:color="auto"/>
        <w:left w:val="none" w:sz="0" w:space="0" w:color="auto"/>
        <w:bottom w:val="none" w:sz="0" w:space="0" w:color="auto"/>
        <w:right w:val="none" w:sz="0" w:space="0" w:color="auto"/>
      </w:divBdr>
    </w:div>
    <w:div w:id="1549223824">
      <w:bodyDiv w:val="1"/>
      <w:marLeft w:val="0"/>
      <w:marRight w:val="0"/>
      <w:marTop w:val="0"/>
      <w:marBottom w:val="0"/>
      <w:divBdr>
        <w:top w:val="none" w:sz="0" w:space="0" w:color="auto"/>
        <w:left w:val="none" w:sz="0" w:space="0" w:color="auto"/>
        <w:bottom w:val="none" w:sz="0" w:space="0" w:color="auto"/>
        <w:right w:val="none" w:sz="0" w:space="0" w:color="auto"/>
      </w:divBdr>
    </w:div>
    <w:div w:id="1682274702">
      <w:bodyDiv w:val="1"/>
      <w:marLeft w:val="0"/>
      <w:marRight w:val="0"/>
      <w:marTop w:val="0"/>
      <w:marBottom w:val="0"/>
      <w:divBdr>
        <w:top w:val="none" w:sz="0" w:space="0" w:color="auto"/>
        <w:left w:val="none" w:sz="0" w:space="0" w:color="auto"/>
        <w:bottom w:val="none" w:sz="0" w:space="0" w:color="auto"/>
        <w:right w:val="none" w:sz="0" w:space="0" w:color="auto"/>
      </w:divBdr>
    </w:div>
    <w:div w:id="1834683995">
      <w:bodyDiv w:val="1"/>
      <w:marLeft w:val="0"/>
      <w:marRight w:val="0"/>
      <w:marTop w:val="0"/>
      <w:marBottom w:val="0"/>
      <w:divBdr>
        <w:top w:val="none" w:sz="0" w:space="0" w:color="auto"/>
        <w:left w:val="none" w:sz="0" w:space="0" w:color="auto"/>
        <w:bottom w:val="none" w:sz="0" w:space="0" w:color="auto"/>
        <w:right w:val="none" w:sz="0" w:space="0" w:color="auto"/>
      </w:divBdr>
    </w:div>
    <w:div w:id="1843279906">
      <w:bodyDiv w:val="1"/>
      <w:marLeft w:val="0"/>
      <w:marRight w:val="0"/>
      <w:marTop w:val="0"/>
      <w:marBottom w:val="0"/>
      <w:divBdr>
        <w:top w:val="none" w:sz="0" w:space="0" w:color="auto"/>
        <w:left w:val="none" w:sz="0" w:space="0" w:color="auto"/>
        <w:bottom w:val="none" w:sz="0" w:space="0" w:color="auto"/>
        <w:right w:val="none" w:sz="0" w:space="0" w:color="auto"/>
      </w:divBdr>
    </w:div>
    <w:div w:id="1950235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emf"/><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6.png"/><Relationship Id="rId17"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2920</Words>
  <Characters>16648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Smithson</dc:creator>
  <cp:keywords/>
  <dc:description/>
  <cp:lastModifiedBy>Francis MacDonald</cp:lastModifiedBy>
  <cp:revision>2</cp:revision>
  <cp:lastPrinted>2024-10-01T04:26:00Z</cp:lastPrinted>
  <dcterms:created xsi:type="dcterms:W3CDTF">2024-10-01T04:28:00Z</dcterms:created>
  <dcterms:modified xsi:type="dcterms:W3CDTF">2024-10-01T04:28:00Z</dcterms:modified>
</cp:coreProperties>
</file>