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9E0E7" w14:textId="0F0D9140" w:rsidR="00177558" w:rsidRPr="005D2099" w:rsidRDefault="61C8FA2D" w:rsidP="4A493351">
      <w:pPr>
        <w:spacing w:after="231" w:line="259" w:lineRule="auto"/>
        <w:ind w:left="0" w:firstLine="0"/>
        <w:jc w:val="right"/>
        <w:rPr>
          <w:rFonts w:asciiTheme="minorHAnsi" w:hAnsiTheme="minorHAnsi" w:cstheme="minorHAnsi"/>
          <w:sz w:val="24"/>
          <w:szCs w:val="24"/>
        </w:rPr>
      </w:pPr>
      <w:r w:rsidRPr="005D2099">
        <w:rPr>
          <w:rFonts w:asciiTheme="minorHAnsi" w:hAnsiTheme="minorHAnsi" w:cstheme="minorHAnsi"/>
          <w:noProof/>
          <w:sz w:val="24"/>
          <w:szCs w:val="24"/>
        </w:rPr>
        <w:drawing>
          <wp:inline distT="0" distB="0" distL="0" distR="0" wp14:anchorId="54907EB5" wp14:editId="1D9E5A89">
            <wp:extent cx="2061591" cy="536575"/>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1591" cy="536575"/>
                    </a:xfrm>
                    <a:prstGeom prst="rect">
                      <a:avLst/>
                    </a:prstGeom>
                  </pic:spPr>
                </pic:pic>
              </a:graphicData>
            </a:graphic>
          </wp:inline>
        </w:drawing>
      </w:r>
      <w:r w:rsidRPr="005D2099">
        <w:rPr>
          <w:rFonts w:asciiTheme="minorHAnsi" w:hAnsiTheme="minorHAnsi" w:cstheme="minorHAnsi"/>
          <w:sz w:val="24"/>
          <w:szCs w:val="24"/>
        </w:rPr>
        <w:t xml:space="preserve"> </w:t>
      </w:r>
    </w:p>
    <w:p w14:paraId="118FC5F5" w14:textId="77777777" w:rsidR="00B66846" w:rsidRDefault="00B66846" w:rsidP="002C1BE9">
      <w:pPr>
        <w:jc w:val="center"/>
        <w:rPr>
          <w:rFonts w:asciiTheme="minorHAnsi" w:eastAsia="Times New Roman" w:hAnsiTheme="minorHAnsi" w:cstheme="minorBidi"/>
          <w:color w:val="auto"/>
          <w:sz w:val="24"/>
          <w:szCs w:val="24"/>
        </w:rPr>
      </w:pPr>
    </w:p>
    <w:p w14:paraId="1A14066D" w14:textId="27DB1BA7" w:rsidR="002C1BE9" w:rsidRPr="00934665" w:rsidRDefault="00A171D5" w:rsidP="1C2FBD09">
      <w:pPr>
        <w:jc w:val="center"/>
        <w:rPr>
          <w:i/>
          <w:iCs/>
          <w:sz w:val="24"/>
          <w:szCs w:val="24"/>
        </w:rPr>
      </w:pPr>
      <w:r w:rsidRPr="1C2FBD09">
        <w:rPr>
          <w:rFonts w:asciiTheme="minorHAnsi" w:hAnsiTheme="minorHAnsi" w:cstheme="minorBidi"/>
          <w:b/>
          <w:bCs/>
          <w:sz w:val="24"/>
          <w:szCs w:val="24"/>
        </w:rPr>
        <w:t xml:space="preserve">Icotrokinra Clinical Study Results </w:t>
      </w:r>
      <w:r w:rsidR="135CA113" w:rsidRPr="1C2FBD09">
        <w:rPr>
          <w:rFonts w:asciiTheme="minorHAnsi" w:hAnsiTheme="minorHAnsi" w:cstheme="minorBidi"/>
          <w:b/>
          <w:bCs/>
          <w:sz w:val="24"/>
          <w:szCs w:val="24"/>
        </w:rPr>
        <w:t>Demonstrate</w:t>
      </w:r>
      <w:r w:rsidRPr="1C2FBD09">
        <w:rPr>
          <w:rFonts w:asciiTheme="minorHAnsi" w:hAnsiTheme="minorHAnsi" w:cstheme="minorBidi"/>
          <w:b/>
          <w:bCs/>
          <w:sz w:val="24"/>
          <w:szCs w:val="24"/>
        </w:rPr>
        <w:t xml:space="preserve"> its Potential to </w:t>
      </w:r>
      <w:r w:rsidR="00806941" w:rsidRPr="1C2FBD09">
        <w:rPr>
          <w:rFonts w:asciiTheme="minorHAnsi" w:hAnsiTheme="minorHAnsi" w:cstheme="minorBidi"/>
          <w:b/>
          <w:bCs/>
          <w:sz w:val="24"/>
          <w:szCs w:val="24"/>
        </w:rPr>
        <w:t xml:space="preserve">Shift Treatment Paradigm and </w:t>
      </w:r>
      <w:r w:rsidRPr="1C2FBD09">
        <w:rPr>
          <w:rFonts w:asciiTheme="minorHAnsi" w:hAnsiTheme="minorHAnsi" w:cstheme="minorBidi"/>
          <w:b/>
          <w:bCs/>
          <w:sz w:val="24"/>
          <w:szCs w:val="24"/>
        </w:rPr>
        <w:t xml:space="preserve">Set a New Standard for Treatment </w:t>
      </w:r>
      <w:r w:rsidR="00992BE8">
        <w:rPr>
          <w:rFonts w:asciiTheme="minorHAnsi" w:hAnsiTheme="minorHAnsi" w:cstheme="minorBidi"/>
          <w:b/>
          <w:bCs/>
          <w:sz w:val="24"/>
          <w:szCs w:val="24"/>
        </w:rPr>
        <w:t>i</w:t>
      </w:r>
      <w:r w:rsidRPr="1C2FBD09">
        <w:rPr>
          <w:rFonts w:asciiTheme="minorHAnsi" w:hAnsiTheme="minorHAnsi" w:cstheme="minorBidi"/>
          <w:b/>
          <w:bCs/>
          <w:sz w:val="24"/>
          <w:szCs w:val="24"/>
        </w:rPr>
        <w:t>n Plaque Psoriasis</w:t>
      </w:r>
    </w:p>
    <w:p w14:paraId="1BEBDE27" w14:textId="4E9D45F1" w:rsidR="00EA7937" w:rsidRPr="00C55D68" w:rsidRDefault="00EA7937" w:rsidP="00C55D68">
      <w:pPr>
        <w:ind w:left="0" w:firstLine="0"/>
        <w:jc w:val="center"/>
        <w:rPr>
          <w:rFonts w:asciiTheme="minorHAnsi" w:hAnsiTheme="minorHAnsi" w:cstheme="minorHAnsi"/>
          <w:b/>
          <w:bCs/>
          <w:sz w:val="24"/>
          <w:szCs w:val="24"/>
        </w:rPr>
      </w:pPr>
    </w:p>
    <w:p w14:paraId="66432C61" w14:textId="28F1530F" w:rsidR="199AB180" w:rsidRPr="00DA204C" w:rsidRDefault="00C55D68" w:rsidP="009068FD">
      <w:pPr>
        <w:spacing w:after="240"/>
        <w:jc w:val="center"/>
        <w:rPr>
          <w:rFonts w:asciiTheme="minorHAnsi" w:eastAsia="Arial" w:hAnsiTheme="minorHAnsi" w:cstheme="minorHAnsi"/>
          <w:i/>
          <w:iCs/>
          <w:sz w:val="24"/>
          <w:szCs w:val="24"/>
        </w:rPr>
      </w:pPr>
      <w:r w:rsidRPr="00DA204C">
        <w:rPr>
          <w:rFonts w:asciiTheme="minorHAnsi" w:eastAsia="Arial" w:hAnsiTheme="minorHAnsi" w:cstheme="minorHAnsi"/>
          <w:i/>
          <w:iCs/>
          <w:sz w:val="24"/>
          <w:szCs w:val="24"/>
        </w:rPr>
        <w:t>Nearly half of patients with moderate-to-severe plaque psoriasis (</w:t>
      </w:r>
      <w:proofErr w:type="spellStart"/>
      <w:r w:rsidRPr="00DA204C">
        <w:rPr>
          <w:rFonts w:asciiTheme="minorHAnsi" w:eastAsia="Arial" w:hAnsiTheme="minorHAnsi" w:cstheme="minorHAnsi"/>
          <w:i/>
          <w:iCs/>
          <w:sz w:val="24"/>
          <w:szCs w:val="24"/>
        </w:rPr>
        <w:t>PsO</w:t>
      </w:r>
      <w:proofErr w:type="spellEnd"/>
      <w:r w:rsidRPr="00DA204C">
        <w:rPr>
          <w:rFonts w:asciiTheme="minorHAnsi" w:eastAsia="Arial" w:hAnsiTheme="minorHAnsi" w:cstheme="minorHAnsi"/>
          <w:i/>
          <w:iCs/>
          <w:sz w:val="24"/>
          <w:szCs w:val="24"/>
        </w:rPr>
        <w:t>) treated with icotrokinra achieved completely clear skin (IGA 0) at Week 24</w:t>
      </w:r>
      <w:r w:rsidR="00A171D5" w:rsidRPr="00DA204C">
        <w:rPr>
          <w:rFonts w:asciiTheme="minorHAnsi" w:eastAsia="Arial" w:hAnsiTheme="minorHAnsi" w:cstheme="minorHAnsi"/>
          <w:i/>
          <w:iCs/>
          <w:sz w:val="24"/>
          <w:szCs w:val="24"/>
        </w:rPr>
        <w:t xml:space="preserve"> in Phase 3 ICONIC-LEAD study</w:t>
      </w:r>
    </w:p>
    <w:p w14:paraId="6D928978" w14:textId="2DE4CAF2" w:rsidR="199AB180" w:rsidRPr="00DA204C" w:rsidRDefault="648DE668" w:rsidP="0EF3169A">
      <w:pPr>
        <w:spacing w:after="240"/>
        <w:jc w:val="center"/>
        <w:rPr>
          <w:rFonts w:asciiTheme="minorHAnsi" w:hAnsiTheme="minorHAnsi" w:cstheme="minorHAnsi"/>
          <w:sz w:val="24"/>
          <w:szCs w:val="24"/>
        </w:rPr>
      </w:pPr>
      <w:r w:rsidRPr="00DA204C">
        <w:rPr>
          <w:rFonts w:asciiTheme="minorHAnsi" w:eastAsia="Arial" w:hAnsiTheme="minorHAnsi" w:cstheme="minorHAnsi"/>
          <w:i/>
          <w:iCs/>
          <w:sz w:val="24"/>
          <w:szCs w:val="24"/>
        </w:rPr>
        <w:t>Topline results from Phase 3 ICONIC-ADVANCE 1&amp;2</w:t>
      </w:r>
      <w:r w:rsidRPr="00DA204C">
        <w:rPr>
          <w:rFonts w:asciiTheme="minorHAnsi" w:eastAsia="Arial" w:hAnsiTheme="minorHAnsi" w:cstheme="minorHAnsi"/>
          <w:i/>
          <w:iCs/>
          <w:sz w:val="24"/>
          <w:szCs w:val="24"/>
          <w:vertAlign w:val="superscript"/>
        </w:rPr>
        <w:t xml:space="preserve"> </w:t>
      </w:r>
      <w:r w:rsidRPr="00DA204C">
        <w:rPr>
          <w:rFonts w:asciiTheme="minorHAnsi" w:eastAsia="Arial" w:hAnsiTheme="minorHAnsi" w:cstheme="minorHAnsi"/>
          <w:i/>
          <w:iCs/>
          <w:sz w:val="24"/>
          <w:szCs w:val="24"/>
        </w:rPr>
        <w:t xml:space="preserve">studies show icotrokinra achieved co-primary endpoints and showed superiority to </w:t>
      </w:r>
      <w:proofErr w:type="spellStart"/>
      <w:r w:rsidRPr="00DA204C">
        <w:rPr>
          <w:rFonts w:asciiTheme="minorHAnsi" w:eastAsia="Arial" w:hAnsiTheme="minorHAnsi" w:cstheme="minorHAnsi"/>
          <w:i/>
          <w:iCs/>
          <w:sz w:val="24"/>
          <w:szCs w:val="24"/>
        </w:rPr>
        <w:t>deucravacitinib</w:t>
      </w:r>
      <w:proofErr w:type="spellEnd"/>
      <w:r w:rsidRPr="00DA204C">
        <w:rPr>
          <w:rFonts w:asciiTheme="minorHAnsi" w:eastAsia="Arial" w:hAnsiTheme="minorHAnsi" w:cstheme="minorHAnsi"/>
          <w:i/>
          <w:iCs/>
          <w:sz w:val="24"/>
          <w:szCs w:val="24"/>
        </w:rPr>
        <w:t xml:space="preserve"> in moderate-to-severe </w:t>
      </w:r>
      <w:proofErr w:type="spellStart"/>
      <w:r w:rsidRPr="00DA204C">
        <w:rPr>
          <w:rFonts w:asciiTheme="minorHAnsi" w:eastAsia="Arial" w:hAnsiTheme="minorHAnsi" w:cstheme="minorHAnsi"/>
          <w:i/>
          <w:iCs/>
          <w:sz w:val="24"/>
          <w:szCs w:val="24"/>
        </w:rPr>
        <w:t>PsO</w:t>
      </w:r>
      <w:proofErr w:type="spellEnd"/>
    </w:p>
    <w:p w14:paraId="3A2536AF" w14:textId="6FD9A293" w:rsidR="00186C0A" w:rsidRPr="00DA204C" w:rsidRDefault="002C6A5A" w:rsidP="009068FD">
      <w:pPr>
        <w:spacing w:after="240"/>
        <w:jc w:val="center"/>
        <w:rPr>
          <w:rFonts w:asciiTheme="minorHAnsi" w:eastAsia="Arial" w:hAnsiTheme="minorHAnsi" w:cstheme="minorHAnsi"/>
          <w:i/>
          <w:iCs/>
          <w:sz w:val="24"/>
          <w:szCs w:val="24"/>
        </w:rPr>
      </w:pPr>
      <w:r>
        <w:rPr>
          <w:rFonts w:asciiTheme="minorHAnsi" w:eastAsia="Arial" w:hAnsiTheme="minorHAnsi" w:cstheme="minorHAnsi"/>
          <w:i/>
          <w:iCs/>
          <w:sz w:val="24"/>
          <w:szCs w:val="24"/>
        </w:rPr>
        <w:t>R</w:t>
      </w:r>
      <w:r w:rsidR="00485CBD" w:rsidRPr="002C6A5A">
        <w:rPr>
          <w:rFonts w:asciiTheme="minorHAnsi" w:eastAsia="Arial" w:hAnsiTheme="minorHAnsi" w:cstheme="minorHAnsi"/>
          <w:i/>
          <w:iCs/>
          <w:sz w:val="24"/>
          <w:szCs w:val="24"/>
        </w:rPr>
        <w:t>esults pave the way to initiate</w:t>
      </w:r>
      <w:r w:rsidR="00A171D5" w:rsidRPr="00DA204C">
        <w:rPr>
          <w:rFonts w:asciiTheme="minorHAnsi" w:eastAsia="Arial" w:hAnsiTheme="minorHAnsi" w:cstheme="minorHAnsi"/>
          <w:i/>
          <w:iCs/>
          <w:sz w:val="24"/>
          <w:szCs w:val="24"/>
        </w:rPr>
        <w:t xml:space="preserve"> the</w:t>
      </w:r>
      <w:r w:rsidR="00806941" w:rsidRPr="00DA204C">
        <w:rPr>
          <w:rFonts w:asciiTheme="minorHAnsi" w:eastAsia="Arial" w:hAnsiTheme="minorHAnsi" w:cstheme="minorHAnsi"/>
          <w:i/>
          <w:iCs/>
          <w:sz w:val="24"/>
          <w:szCs w:val="24"/>
        </w:rPr>
        <w:t xml:space="preserve"> </w:t>
      </w:r>
      <w:r w:rsidR="00C55D68" w:rsidRPr="00DA204C">
        <w:rPr>
          <w:rFonts w:asciiTheme="minorHAnsi" w:eastAsia="Arial" w:hAnsiTheme="minorHAnsi" w:cstheme="minorHAnsi"/>
          <w:i/>
          <w:iCs/>
          <w:sz w:val="24"/>
          <w:szCs w:val="24"/>
        </w:rPr>
        <w:t>first-ever head-to-head study</w:t>
      </w:r>
      <w:r w:rsidR="00602F15">
        <w:rPr>
          <w:rFonts w:asciiTheme="minorHAnsi" w:eastAsia="Arial" w:hAnsiTheme="minorHAnsi" w:cstheme="minorHAnsi"/>
          <w:i/>
          <w:iCs/>
          <w:sz w:val="24"/>
          <w:szCs w:val="24"/>
        </w:rPr>
        <w:t xml:space="preserve"> (</w:t>
      </w:r>
      <w:r w:rsidR="00602F15" w:rsidRPr="00DA204C">
        <w:rPr>
          <w:rFonts w:asciiTheme="minorHAnsi" w:eastAsia="Arial" w:hAnsiTheme="minorHAnsi" w:cstheme="minorHAnsi"/>
          <w:i/>
          <w:iCs/>
          <w:sz w:val="24"/>
          <w:szCs w:val="24"/>
        </w:rPr>
        <w:t>ICONIC-ASCEND</w:t>
      </w:r>
      <w:r w:rsidR="00602F15">
        <w:rPr>
          <w:rFonts w:asciiTheme="minorHAnsi" w:eastAsia="Arial" w:hAnsiTheme="minorHAnsi" w:cstheme="minorHAnsi"/>
          <w:i/>
          <w:iCs/>
          <w:sz w:val="24"/>
          <w:szCs w:val="24"/>
        </w:rPr>
        <w:t>)</w:t>
      </w:r>
      <w:r w:rsidR="00C55D68" w:rsidRPr="00DA204C">
        <w:rPr>
          <w:rFonts w:asciiTheme="minorHAnsi" w:eastAsia="Arial" w:hAnsiTheme="minorHAnsi" w:cstheme="minorHAnsi"/>
          <w:i/>
          <w:iCs/>
          <w:sz w:val="24"/>
          <w:szCs w:val="24"/>
        </w:rPr>
        <w:t xml:space="preserve"> seeking to demonstrate the superiority of a pill versus injectable biologic in moderate-to-severe </w:t>
      </w:r>
      <w:proofErr w:type="spellStart"/>
      <w:r w:rsidR="00C55D68" w:rsidRPr="00DA204C">
        <w:rPr>
          <w:rFonts w:asciiTheme="minorHAnsi" w:eastAsia="Arial" w:hAnsiTheme="minorHAnsi" w:cstheme="minorHAnsi"/>
          <w:i/>
          <w:iCs/>
          <w:sz w:val="24"/>
          <w:szCs w:val="24"/>
        </w:rPr>
        <w:t>PsO</w:t>
      </w:r>
      <w:proofErr w:type="spellEnd"/>
    </w:p>
    <w:p w14:paraId="224B355F" w14:textId="65AFDABB" w:rsidR="00C55D68" w:rsidRPr="00C55D68" w:rsidRDefault="0D88DA25" w:rsidP="00C55D68">
      <w:pPr>
        <w:spacing w:after="240"/>
        <w:rPr>
          <w:rFonts w:asciiTheme="minorHAnsi" w:eastAsia="Arial" w:hAnsiTheme="minorHAnsi" w:cstheme="minorHAnsi"/>
          <w:color w:val="000000" w:themeColor="text1"/>
          <w:sz w:val="24"/>
          <w:szCs w:val="24"/>
        </w:rPr>
      </w:pPr>
      <w:r w:rsidRPr="00065430">
        <w:rPr>
          <w:rFonts w:asciiTheme="minorHAnsi" w:hAnsiTheme="minorHAnsi" w:cstheme="minorHAnsi"/>
          <w:b/>
          <w:bCs/>
          <w:sz w:val="24"/>
          <w:szCs w:val="24"/>
        </w:rPr>
        <w:t>NEWARK, Calif., </w:t>
      </w:r>
      <w:r w:rsidR="004C29B0" w:rsidRPr="00065430">
        <w:rPr>
          <w:rFonts w:asciiTheme="minorHAnsi" w:hAnsiTheme="minorHAnsi" w:cstheme="minorHAnsi"/>
          <w:b/>
          <w:bCs/>
          <w:sz w:val="24"/>
          <w:szCs w:val="24"/>
        </w:rPr>
        <w:t>March</w:t>
      </w:r>
      <w:r w:rsidR="007860B3" w:rsidRPr="00065430">
        <w:rPr>
          <w:rFonts w:asciiTheme="minorHAnsi" w:hAnsiTheme="minorHAnsi" w:cstheme="minorHAnsi"/>
          <w:b/>
          <w:bCs/>
          <w:sz w:val="24"/>
          <w:szCs w:val="24"/>
        </w:rPr>
        <w:t xml:space="preserve"> </w:t>
      </w:r>
      <w:r w:rsidR="009068FD">
        <w:rPr>
          <w:rFonts w:asciiTheme="minorHAnsi" w:hAnsiTheme="minorHAnsi" w:cstheme="minorHAnsi"/>
          <w:b/>
          <w:bCs/>
          <w:sz w:val="24"/>
          <w:szCs w:val="24"/>
        </w:rPr>
        <w:t>8</w:t>
      </w:r>
      <w:r w:rsidR="3F74FC9B" w:rsidRPr="00065430">
        <w:rPr>
          <w:rFonts w:asciiTheme="minorHAnsi" w:hAnsiTheme="minorHAnsi" w:cstheme="minorHAnsi"/>
          <w:b/>
          <w:bCs/>
          <w:sz w:val="24"/>
          <w:szCs w:val="24"/>
        </w:rPr>
        <w:t xml:space="preserve">, </w:t>
      </w:r>
      <w:r w:rsidRPr="00065430">
        <w:rPr>
          <w:rFonts w:asciiTheme="minorHAnsi" w:hAnsiTheme="minorHAnsi" w:cstheme="minorHAnsi"/>
          <w:b/>
          <w:bCs/>
          <w:sz w:val="24"/>
          <w:szCs w:val="24"/>
        </w:rPr>
        <w:t>202</w:t>
      </w:r>
      <w:r w:rsidR="004C29B0" w:rsidRPr="00065430">
        <w:rPr>
          <w:rFonts w:asciiTheme="minorHAnsi" w:hAnsiTheme="minorHAnsi" w:cstheme="minorHAnsi"/>
          <w:b/>
          <w:bCs/>
          <w:sz w:val="24"/>
          <w:szCs w:val="24"/>
        </w:rPr>
        <w:t>5</w:t>
      </w:r>
      <w:r w:rsidRPr="00065430">
        <w:rPr>
          <w:rFonts w:asciiTheme="minorHAnsi" w:hAnsiTheme="minorHAnsi" w:cstheme="minorHAnsi"/>
          <w:b/>
          <w:bCs/>
          <w:sz w:val="24"/>
          <w:szCs w:val="24"/>
        </w:rPr>
        <w:t> – </w:t>
      </w:r>
      <w:r w:rsidR="46F47CB7" w:rsidRPr="00065430">
        <w:rPr>
          <w:rFonts w:asciiTheme="minorHAnsi" w:hAnsiTheme="minorHAnsi" w:cstheme="minorHAnsi"/>
          <w:sz w:val="24"/>
          <w:szCs w:val="24"/>
        </w:rPr>
        <w:t>Protagonist Therapeuti</w:t>
      </w:r>
      <w:r w:rsidR="46F47CB7" w:rsidRPr="00C55D68">
        <w:rPr>
          <w:rFonts w:asciiTheme="minorHAnsi" w:hAnsiTheme="minorHAnsi" w:cstheme="minorHAnsi"/>
          <w:sz w:val="24"/>
          <w:szCs w:val="24"/>
        </w:rPr>
        <w:t xml:space="preserve">cs, Inc. (“Protagonist” or </w:t>
      </w:r>
      <w:r w:rsidR="6828C8F3" w:rsidRPr="00C55D68">
        <w:rPr>
          <w:rFonts w:asciiTheme="minorHAnsi" w:hAnsiTheme="minorHAnsi" w:cstheme="minorHAnsi"/>
          <w:sz w:val="24"/>
          <w:szCs w:val="24"/>
        </w:rPr>
        <w:t>the “</w:t>
      </w:r>
      <w:r w:rsidR="46F47CB7" w:rsidRPr="00C55D68">
        <w:rPr>
          <w:rFonts w:asciiTheme="minorHAnsi" w:hAnsiTheme="minorHAnsi" w:cstheme="minorHAnsi"/>
          <w:sz w:val="24"/>
          <w:szCs w:val="24"/>
        </w:rPr>
        <w:t>Company”)</w:t>
      </w:r>
      <w:r w:rsidR="003B6530" w:rsidRPr="00C55D68">
        <w:rPr>
          <w:rFonts w:asciiTheme="minorHAnsi" w:hAnsiTheme="minorHAnsi" w:cstheme="minorHAnsi"/>
          <w:color w:val="1D2228"/>
          <w:sz w:val="24"/>
          <w:szCs w:val="24"/>
          <w:shd w:val="clear" w:color="auto" w:fill="FFFFFF"/>
        </w:rPr>
        <w:t> </w:t>
      </w:r>
      <w:r w:rsidR="00C55D68" w:rsidRPr="00C55D68">
        <w:rPr>
          <w:rFonts w:asciiTheme="minorHAnsi" w:eastAsia="Arial" w:hAnsiTheme="minorHAnsi" w:cstheme="minorHAnsi"/>
          <w:color w:val="000000" w:themeColor="text1"/>
          <w:sz w:val="24"/>
          <w:szCs w:val="24"/>
        </w:rPr>
        <w:t xml:space="preserve">today announced new icotrokinra (JNJ-2113) data from </w:t>
      </w:r>
      <w:r w:rsidR="00714ABB">
        <w:rPr>
          <w:rFonts w:asciiTheme="minorHAnsi" w:eastAsia="Arial" w:hAnsiTheme="minorHAnsi" w:cstheme="minorHAnsi"/>
          <w:color w:val="000000" w:themeColor="text1"/>
          <w:sz w:val="24"/>
          <w:szCs w:val="24"/>
        </w:rPr>
        <w:t>the</w:t>
      </w:r>
      <w:r w:rsidR="00C55D68" w:rsidRPr="00C55D68">
        <w:rPr>
          <w:rFonts w:asciiTheme="minorHAnsi" w:eastAsia="Arial" w:hAnsiTheme="minorHAnsi" w:cstheme="minorHAnsi"/>
          <w:color w:val="000000" w:themeColor="text1"/>
          <w:sz w:val="24"/>
          <w:szCs w:val="24"/>
        </w:rPr>
        <w:t xml:space="preserve"> comprehensive Phase 3 clinical program and the</w:t>
      </w:r>
      <w:r w:rsidR="00595621">
        <w:rPr>
          <w:rFonts w:asciiTheme="minorHAnsi" w:eastAsia="Arial" w:hAnsiTheme="minorHAnsi" w:cstheme="minorHAnsi"/>
          <w:color w:val="000000" w:themeColor="text1"/>
          <w:sz w:val="24"/>
          <w:szCs w:val="24"/>
        </w:rPr>
        <w:t xml:space="preserve"> planned</w:t>
      </w:r>
      <w:r w:rsidR="00C55D68" w:rsidRPr="00C55D68">
        <w:rPr>
          <w:rFonts w:asciiTheme="minorHAnsi" w:eastAsia="Arial" w:hAnsiTheme="minorHAnsi" w:cstheme="minorHAnsi"/>
          <w:color w:val="000000" w:themeColor="text1"/>
          <w:sz w:val="24"/>
          <w:szCs w:val="24"/>
        </w:rPr>
        <w:t xml:space="preserve"> </w:t>
      </w:r>
      <w:r w:rsidR="00714ABB">
        <w:rPr>
          <w:rFonts w:asciiTheme="minorHAnsi" w:eastAsia="Arial" w:hAnsiTheme="minorHAnsi" w:cstheme="minorHAnsi"/>
          <w:color w:val="000000" w:themeColor="text1"/>
          <w:sz w:val="24"/>
          <w:szCs w:val="24"/>
        </w:rPr>
        <w:t>initiation</w:t>
      </w:r>
      <w:r w:rsidR="00595621">
        <w:rPr>
          <w:rFonts w:asciiTheme="minorHAnsi" w:eastAsia="Arial" w:hAnsiTheme="minorHAnsi" w:cstheme="minorHAnsi"/>
          <w:color w:val="000000" w:themeColor="text1"/>
          <w:sz w:val="24"/>
          <w:szCs w:val="24"/>
        </w:rPr>
        <w:t xml:space="preserve"> </w:t>
      </w:r>
      <w:r w:rsidR="00C55D68" w:rsidRPr="00C55D68">
        <w:rPr>
          <w:rFonts w:asciiTheme="minorHAnsi" w:eastAsia="Arial" w:hAnsiTheme="minorHAnsi" w:cstheme="minorHAnsi"/>
          <w:color w:val="000000" w:themeColor="text1"/>
          <w:sz w:val="24"/>
          <w:szCs w:val="24"/>
        </w:rPr>
        <w:t xml:space="preserve">of the </w:t>
      </w:r>
      <w:r w:rsidR="00C55D68" w:rsidRPr="00C55D68">
        <w:rPr>
          <w:rFonts w:asciiTheme="minorHAnsi" w:eastAsia="Arial" w:hAnsiTheme="minorHAnsi" w:cstheme="minorHAnsi"/>
          <w:sz w:val="24"/>
          <w:szCs w:val="24"/>
        </w:rPr>
        <w:t>first-ever head-to-head study in plaque psoriasis (PsO) seeking to demonstrate the superiority of an oral pill, i</w:t>
      </w:r>
      <w:r w:rsidR="00C55D68" w:rsidRPr="00C55D68">
        <w:rPr>
          <w:rFonts w:asciiTheme="minorHAnsi" w:eastAsia="Arial" w:hAnsiTheme="minorHAnsi" w:cstheme="minorHAnsi"/>
          <w:color w:val="000000" w:themeColor="text1"/>
          <w:sz w:val="24"/>
          <w:szCs w:val="24"/>
        </w:rPr>
        <w:t>cotrokinra,</w:t>
      </w:r>
      <w:r w:rsidR="00C55D68" w:rsidRPr="00C55D68">
        <w:rPr>
          <w:rFonts w:asciiTheme="minorHAnsi" w:eastAsia="Arial" w:hAnsiTheme="minorHAnsi" w:cstheme="minorHAnsi"/>
          <w:sz w:val="24"/>
          <w:szCs w:val="24"/>
        </w:rPr>
        <w:t xml:space="preserve"> compared to an injectable biologic, </w:t>
      </w:r>
      <w:proofErr w:type="spellStart"/>
      <w:r w:rsidR="00C55D68" w:rsidRPr="00C55D68">
        <w:rPr>
          <w:rFonts w:asciiTheme="minorHAnsi" w:eastAsia="Arial" w:hAnsiTheme="minorHAnsi" w:cstheme="minorHAnsi"/>
          <w:color w:val="000000" w:themeColor="text1"/>
          <w:sz w:val="24"/>
          <w:szCs w:val="24"/>
        </w:rPr>
        <w:t>ustekinumab</w:t>
      </w:r>
      <w:proofErr w:type="spellEnd"/>
      <w:r w:rsidR="00C55D68" w:rsidRPr="00C55D68">
        <w:rPr>
          <w:rFonts w:asciiTheme="minorHAnsi" w:eastAsia="Arial" w:hAnsiTheme="minorHAnsi" w:cstheme="minorHAnsi"/>
          <w:sz w:val="24"/>
          <w:szCs w:val="24"/>
        </w:rPr>
        <w:t>.</w:t>
      </w:r>
      <w:r w:rsidR="00C55D68" w:rsidRPr="00C55D68">
        <w:rPr>
          <w:rFonts w:asciiTheme="minorHAnsi" w:eastAsia="Arial" w:hAnsiTheme="minorHAnsi" w:cstheme="minorHAnsi"/>
          <w:color w:val="000000" w:themeColor="text1"/>
          <w:sz w:val="24"/>
          <w:szCs w:val="24"/>
        </w:rPr>
        <w:t xml:space="preserve"> Icotrokinra is a first-in-class investigational targeted oral peptide that selectively blocks the IL-23 receptor and is being studied in adults and adolescents 12 years of age and older with moderate-to-severe plaque PsO.</w:t>
      </w:r>
    </w:p>
    <w:p w14:paraId="3A4B4B23" w14:textId="77777777" w:rsidR="00C55D68" w:rsidRPr="00C55D68" w:rsidRDefault="00C55D68" w:rsidP="00C55D68">
      <w:pPr>
        <w:spacing w:after="240"/>
        <w:rPr>
          <w:rFonts w:asciiTheme="minorHAnsi" w:eastAsia="Arial" w:hAnsiTheme="minorHAnsi" w:cstheme="minorHAnsi"/>
          <w:color w:val="000000" w:themeColor="text1"/>
          <w:sz w:val="24"/>
          <w:szCs w:val="24"/>
          <w:vertAlign w:val="superscript"/>
        </w:rPr>
      </w:pPr>
      <w:r w:rsidRPr="00C55D68">
        <w:rPr>
          <w:rFonts w:asciiTheme="minorHAnsi" w:eastAsia="Arial" w:hAnsiTheme="minorHAnsi" w:cstheme="minorHAnsi"/>
          <w:color w:val="000000" w:themeColor="text1"/>
          <w:sz w:val="24"/>
          <w:szCs w:val="24"/>
        </w:rPr>
        <w:t>Data from the Phase 3 ICONIC-LEAD</w:t>
      </w:r>
      <w:r w:rsidRPr="00C55D68">
        <w:rPr>
          <w:rFonts w:asciiTheme="minorHAnsi" w:eastAsia="Arial" w:hAnsiTheme="minorHAnsi" w:cstheme="minorHAnsi"/>
          <w:color w:val="000000" w:themeColor="text1"/>
          <w:sz w:val="24"/>
          <w:szCs w:val="24"/>
          <w:vertAlign w:val="superscript"/>
        </w:rPr>
        <w:t>a</w:t>
      </w:r>
      <w:r w:rsidRPr="00C55D68">
        <w:rPr>
          <w:rFonts w:asciiTheme="minorHAnsi" w:eastAsia="Arial" w:hAnsiTheme="minorHAnsi" w:cstheme="minorHAnsi"/>
          <w:color w:val="000000" w:themeColor="text1"/>
          <w:sz w:val="24"/>
          <w:szCs w:val="24"/>
        </w:rPr>
        <w:t xml:space="preserve"> study, presented as a late-breaking abstract at the 2025 American Academy of Dermatology (AAD) Annual Meeting, show once daily icotrokinra demonstrated significant skin clearance and a favorable safety profile in adults and adolescents 12 years of age and older with moderate-to-severe plaque PsO.</w:t>
      </w:r>
      <w:bookmarkStart w:id="0" w:name="_Ref188633103"/>
      <w:r w:rsidRPr="00C55D68">
        <w:rPr>
          <w:rStyle w:val="EndnoteReference"/>
          <w:rFonts w:asciiTheme="minorHAnsi" w:eastAsia="Arial" w:hAnsiTheme="minorHAnsi" w:cstheme="minorHAnsi"/>
          <w:color w:val="000000" w:themeColor="text1"/>
          <w:sz w:val="24"/>
          <w:szCs w:val="24"/>
        </w:rPr>
        <w:endnoteReference w:id="2"/>
      </w:r>
      <w:bookmarkEnd w:id="0"/>
    </w:p>
    <w:p w14:paraId="488EE288" w14:textId="27030D11" w:rsidR="00B52B90" w:rsidRDefault="00714ABB" w:rsidP="00C55D68">
      <w:pPr>
        <w:spacing w:after="240"/>
        <w:rPr>
          <w:rFonts w:asciiTheme="minorHAnsi" w:eastAsia="Arial" w:hAnsiTheme="minorHAnsi" w:cstheme="minorHAnsi"/>
          <w:color w:val="000000" w:themeColor="text1"/>
          <w:sz w:val="24"/>
          <w:szCs w:val="24"/>
        </w:rPr>
      </w:pPr>
      <w:r>
        <w:rPr>
          <w:rFonts w:asciiTheme="minorHAnsi" w:eastAsia="Arial" w:hAnsiTheme="minorHAnsi" w:cstheme="minorHAnsi"/>
          <w:color w:val="000000" w:themeColor="text1"/>
          <w:sz w:val="24"/>
          <w:szCs w:val="24"/>
        </w:rPr>
        <w:t>Key</w:t>
      </w:r>
      <w:r w:rsidR="00247444">
        <w:rPr>
          <w:rFonts w:asciiTheme="minorHAnsi" w:eastAsia="Arial" w:hAnsiTheme="minorHAnsi" w:cstheme="minorHAnsi"/>
          <w:color w:val="000000" w:themeColor="text1"/>
          <w:sz w:val="24"/>
          <w:szCs w:val="24"/>
        </w:rPr>
        <w:t xml:space="preserve"> findings from the</w:t>
      </w:r>
      <w:r w:rsidR="00C55D68" w:rsidRPr="00C55D68">
        <w:rPr>
          <w:rFonts w:asciiTheme="minorHAnsi" w:eastAsia="Arial" w:hAnsiTheme="minorHAnsi" w:cstheme="minorHAnsi"/>
          <w:color w:val="000000" w:themeColor="text1"/>
          <w:sz w:val="24"/>
          <w:szCs w:val="24"/>
        </w:rPr>
        <w:t xml:space="preserve"> ICONIC-LEAD study</w:t>
      </w:r>
      <w:r w:rsidR="00B52B90">
        <w:rPr>
          <w:rFonts w:asciiTheme="minorHAnsi" w:eastAsia="Arial" w:hAnsiTheme="minorHAnsi" w:cstheme="minorHAnsi"/>
          <w:color w:val="000000" w:themeColor="text1"/>
          <w:sz w:val="24"/>
          <w:szCs w:val="24"/>
        </w:rPr>
        <w:t>:</w:t>
      </w:r>
      <w:r w:rsidR="00C55D68" w:rsidRPr="00C55D68">
        <w:rPr>
          <w:rFonts w:asciiTheme="minorHAnsi" w:eastAsia="Arial" w:hAnsiTheme="minorHAnsi" w:cstheme="minorHAnsi"/>
          <w:color w:val="000000" w:themeColor="text1"/>
          <w:sz w:val="24"/>
          <w:szCs w:val="24"/>
        </w:rPr>
        <w:t xml:space="preserve"> </w:t>
      </w:r>
    </w:p>
    <w:p w14:paraId="046901B3" w14:textId="77777777" w:rsidR="001E0A14" w:rsidRDefault="001E0A14" w:rsidP="001E0A14">
      <w:pPr>
        <w:pStyle w:val="ListParagraph"/>
        <w:numPr>
          <w:ilvl w:val="0"/>
          <w:numId w:val="21"/>
        </w:numPr>
        <w:spacing w:after="240"/>
        <w:rPr>
          <w:rFonts w:asciiTheme="minorHAnsi" w:eastAsia="Arial" w:hAnsiTheme="minorHAnsi" w:cstheme="minorHAnsi"/>
          <w:color w:val="000000" w:themeColor="text1"/>
          <w:sz w:val="24"/>
          <w:szCs w:val="24"/>
        </w:rPr>
      </w:pPr>
      <w:r w:rsidRPr="00B52B90">
        <w:rPr>
          <w:rFonts w:asciiTheme="minorHAnsi" w:eastAsia="Arial" w:hAnsiTheme="minorHAnsi" w:cstheme="minorHAnsi"/>
          <w:color w:val="000000" w:themeColor="text1"/>
          <w:sz w:val="24"/>
          <w:szCs w:val="24"/>
        </w:rPr>
        <w:t>At Week 24, nearly half of patients treated with icotrokinra achieved completely clear skin – 46% reached IGA 0 and 40% reached PASI 100.</w:t>
      </w:r>
      <w:r w:rsidRPr="00B52B90">
        <w:rPr>
          <w:rFonts w:asciiTheme="minorHAnsi" w:eastAsia="Arial" w:hAnsiTheme="minorHAnsi" w:cstheme="minorHAnsi"/>
          <w:color w:val="000000" w:themeColor="text1"/>
          <w:sz w:val="24"/>
          <w:szCs w:val="24"/>
          <w:vertAlign w:val="superscript"/>
        </w:rPr>
        <w:fldChar w:fldCharType="begin"/>
      </w:r>
      <w:r w:rsidRPr="00B52B90">
        <w:rPr>
          <w:rFonts w:asciiTheme="minorHAnsi" w:eastAsia="Arial" w:hAnsiTheme="minorHAnsi" w:cstheme="minorHAnsi"/>
          <w:color w:val="000000" w:themeColor="text1"/>
          <w:sz w:val="24"/>
          <w:szCs w:val="24"/>
          <w:vertAlign w:val="superscript"/>
        </w:rPr>
        <w:instrText xml:space="preserve"> NOTEREF _Ref188633103 \h  \* MERGEFORMAT </w:instrText>
      </w:r>
      <w:r w:rsidRPr="00B52B90">
        <w:rPr>
          <w:rFonts w:asciiTheme="minorHAnsi" w:eastAsia="Arial" w:hAnsiTheme="minorHAnsi" w:cstheme="minorHAnsi"/>
          <w:color w:val="000000" w:themeColor="text1"/>
          <w:sz w:val="24"/>
          <w:szCs w:val="24"/>
          <w:vertAlign w:val="superscript"/>
        </w:rPr>
      </w:r>
      <w:r w:rsidRPr="00B52B90">
        <w:rPr>
          <w:rFonts w:asciiTheme="minorHAnsi" w:eastAsia="Arial" w:hAnsiTheme="minorHAnsi" w:cstheme="minorHAnsi"/>
          <w:color w:val="000000" w:themeColor="text1"/>
          <w:sz w:val="24"/>
          <w:szCs w:val="24"/>
          <w:vertAlign w:val="superscript"/>
        </w:rPr>
        <w:fldChar w:fldCharType="separate"/>
      </w:r>
      <w:r w:rsidRPr="00B52B90">
        <w:rPr>
          <w:rFonts w:asciiTheme="minorHAnsi" w:eastAsia="Arial" w:hAnsiTheme="minorHAnsi" w:cstheme="minorHAnsi"/>
          <w:color w:val="000000" w:themeColor="text1"/>
          <w:sz w:val="24"/>
          <w:szCs w:val="24"/>
          <w:vertAlign w:val="superscript"/>
        </w:rPr>
        <w:t>1</w:t>
      </w:r>
      <w:r w:rsidRPr="00B52B90">
        <w:rPr>
          <w:rFonts w:asciiTheme="minorHAnsi" w:eastAsia="Arial" w:hAnsiTheme="minorHAnsi" w:cstheme="minorHAnsi"/>
          <w:color w:val="000000" w:themeColor="text1"/>
          <w:sz w:val="24"/>
          <w:szCs w:val="24"/>
          <w:vertAlign w:val="superscript"/>
        </w:rPr>
        <w:fldChar w:fldCharType="end"/>
      </w:r>
      <w:r w:rsidRPr="00B52B90">
        <w:rPr>
          <w:rFonts w:asciiTheme="minorHAnsi" w:eastAsia="Arial" w:hAnsiTheme="minorHAnsi" w:cstheme="minorHAnsi"/>
          <w:color w:val="000000" w:themeColor="text1"/>
          <w:sz w:val="24"/>
          <w:szCs w:val="24"/>
        </w:rPr>
        <w:t xml:space="preserve"> </w:t>
      </w:r>
    </w:p>
    <w:p w14:paraId="695C5807" w14:textId="77777777" w:rsidR="00B52B90" w:rsidRDefault="00B52B90" w:rsidP="00B52B90">
      <w:pPr>
        <w:pStyle w:val="ListParagraph"/>
        <w:numPr>
          <w:ilvl w:val="0"/>
          <w:numId w:val="21"/>
        </w:numPr>
        <w:spacing w:after="240"/>
        <w:rPr>
          <w:rFonts w:asciiTheme="minorHAnsi" w:eastAsia="Arial" w:hAnsiTheme="minorHAnsi" w:cstheme="minorHAnsi"/>
          <w:color w:val="000000" w:themeColor="text1"/>
          <w:sz w:val="24"/>
          <w:szCs w:val="24"/>
        </w:rPr>
      </w:pPr>
      <w:r w:rsidRPr="00B52B90">
        <w:rPr>
          <w:rFonts w:asciiTheme="minorHAnsi" w:eastAsia="Arial" w:hAnsiTheme="minorHAnsi" w:cstheme="minorHAnsi"/>
          <w:color w:val="000000" w:themeColor="text1"/>
          <w:sz w:val="24"/>
          <w:szCs w:val="24"/>
        </w:rPr>
        <w:t>N</w:t>
      </w:r>
      <w:r w:rsidR="00C55D68" w:rsidRPr="00B52B90">
        <w:rPr>
          <w:rFonts w:asciiTheme="minorHAnsi" w:eastAsia="Arial" w:hAnsiTheme="minorHAnsi" w:cstheme="minorHAnsi"/>
          <w:color w:val="000000" w:themeColor="text1"/>
          <w:sz w:val="24"/>
          <w:szCs w:val="24"/>
        </w:rPr>
        <w:t>early two-thirds (65%) of patients treated with once daily icotrokinra achieved an Investigator’s Global Assessment (IGA)</w:t>
      </w:r>
      <w:r w:rsidR="00C55D68" w:rsidRPr="00B52B90">
        <w:rPr>
          <w:rFonts w:asciiTheme="minorHAnsi" w:eastAsia="Arial" w:hAnsiTheme="minorHAnsi" w:cstheme="minorHAnsi"/>
          <w:color w:val="000000" w:themeColor="text1"/>
          <w:sz w:val="24"/>
          <w:szCs w:val="24"/>
          <w:vertAlign w:val="superscript"/>
        </w:rPr>
        <w:t>b</w:t>
      </w:r>
      <w:r w:rsidR="00C55D68" w:rsidRPr="00B52B90">
        <w:rPr>
          <w:rFonts w:asciiTheme="minorHAnsi" w:eastAsia="Arial" w:hAnsiTheme="minorHAnsi" w:cstheme="minorHAnsi"/>
          <w:color w:val="000000" w:themeColor="text1"/>
          <w:sz w:val="24"/>
          <w:szCs w:val="24"/>
        </w:rPr>
        <w:t xml:space="preserve"> score of 0/1 (clear or almost clear skin) and 50% achieved a Psoriasis Area and Severity Index (PASI)</w:t>
      </w:r>
      <w:r w:rsidR="00C55D68" w:rsidRPr="00B52B90">
        <w:rPr>
          <w:rFonts w:asciiTheme="minorHAnsi" w:eastAsia="Arial" w:hAnsiTheme="minorHAnsi" w:cstheme="minorHAnsi"/>
          <w:color w:val="000000" w:themeColor="text1"/>
          <w:sz w:val="24"/>
          <w:szCs w:val="24"/>
          <w:vertAlign w:val="superscript"/>
        </w:rPr>
        <w:t xml:space="preserve">c </w:t>
      </w:r>
      <w:r w:rsidR="00C55D68" w:rsidRPr="00B52B90">
        <w:rPr>
          <w:rFonts w:asciiTheme="minorHAnsi" w:eastAsia="Arial" w:hAnsiTheme="minorHAnsi" w:cstheme="minorHAnsi"/>
          <w:color w:val="000000" w:themeColor="text1"/>
          <w:sz w:val="24"/>
          <w:szCs w:val="24"/>
        </w:rPr>
        <w:t>90 response, compared to 8% and 4% receiving placebo, respectively (P&lt;0.001 for both endpoints) at Week 16.</w:t>
      </w:r>
      <w:r w:rsidR="00C55D68" w:rsidRPr="00B52B90">
        <w:rPr>
          <w:rFonts w:asciiTheme="minorHAnsi" w:eastAsia="Arial" w:hAnsiTheme="minorHAnsi" w:cstheme="minorHAnsi"/>
          <w:color w:val="000000" w:themeColor="text1"/>
          <w:sz w:val="24"/>
          <w:szCs w:val="24"/>
          <w:vertAlign w:val="superscript"/>
        </w:rPr>
        <w:fldChar w:fldCharType="begin"/>
      </w:r>
      <w:r w:rsidR="00C55D68" w:rsidRPr="00B52B90">
        <w:rPr>
          <w:rFonts w:asciiTheme="minorHAnsi" w:eastAsia="Arial" w:hAnsiTheme="minorHAnsi" w:cstheme="minorHAnsi"/>
          <w:color w:val="000000" w:themeColor="text1"/>
          <w:sz w:val="24"/>
          <w:szCs w:val="24"/>
          <w:vertAlign w:val="superscript"/>
        </w:rPr>
        <w:instrText xml:space="preserve"> NOTEREF _Ref188633103 \h  \* MERGEFORMAT </w:instrText>
      </w:r>
      <w:r w:rsidR="00C55D68" w:rsidRPr="00B52B90">
        <w:rPr>
          <w:rFonts w:asciiTheme="minorHAnsi" w:eastAsia="Arial" w:hAnsiTheme="minorHAnsi" w:cstheme="minorHAnsi"/>
          <w:color w:val="000000" w:themeColor="text1"/>
          <w:sz w:val="24"/>
          <w:szCs w:val="24"/>
          <w:vertAlign w:val="superscript"/>
        </w:rPr>
      </w:r>
      <w:r w:rsidR="00C55D68" w:rsidRPr="00B52B90">
        <w:rPr>
          <w:rFonts w:asciiTheme="minorHAnsi" w:eastAsia="Arial" w:hAnsiTheme="minorHAnsi" w:cstheme="minorHAnsi"/>
          <w:color w:val="000000" w:themeColor="text1"/>
          <w:sz w:val="24"/>
          <w:szCs w:val="24"/>
          <w:vertAlign w:val="superscript"/>
        </w:rPr>
        <w:fldChar w:fldCharType="separate"/>
      </w:r>
      <w:r w:rsidR="00C55D68" w:rsidRPr="00B52B90">
        <w:rPr>
          <w:rFonts w:asciiTheme="minorHAnsi" w:eastAsia="Arial" w:hAnsiTheme="minorHAnsi" w:cstheme="minorHAnsi"/>
          <w:color w:val="000000" w:themeColor="text1"/>
          <w:sz w:val="24"/>
          <w:szCs w:val="24"/>
          <w:vertAlign w:val="superscript"/>
        </w:rPr>
        <w:t>1</w:t>
      </w:r>
      <w:r w:rsidR="00C55D68" w:rsidRPr="00B52B90">
        <w:rPr>
          <w:rFonts w:asciiTheme="minorHAnsi" w:eastAsia="Arial" w:hAnsiTheme="minorHAnsi" w:cstheme="minorHAnsi"/>
          <w:color w:val="000000" w:themeColor="text1"/>
          <w:sz w:val="24"/>
          <w:szCs w:val="24"/>
          <w:vertAlign w:val="superscript"/>
        </w:rPr>
        <w:fldChar w:fldCharType="end"/>
      </w:r>
      <w:r w:rsidR="00C55D68" w:rsidRPr="00B52B90">
        <w:rPr>
          <w:rFonts w:asciiTheme="minorHAnsi" w:eastAsia="Arial" w:hAnsiTheme="minorHAnsi" w:cstheme="minorHAnsi"/>
          <w:color w:val="000000" w:themeColor="text1"/>
          <w:sz w:val="24"/>
          <w:szCs w:val="24"/>
        </w:rPr>
        <w:t xml:space="preserve"> </w:t>
      </w:r>
    </w:p>
    <w:p w14:paraId="61165AAA" w14:textId="77777777" w:rsidR="00B52B90" w:rsidRDefault="00C55D68" w:rsidP="00B52B90">
      <w:pPr>
        <w:pStyle w:val="ListParagraph"/>
        <w:numPr>
          <w:ilvl w:val="0"/>
          <w:numId w:val="21"/>
        </w:numPr>
        <w:spacing w:after="240"/>
        <w:rPr>
          <w:rFonts w:asciiTheme="minorHAnsi" w:eastAsia="Arial" w:hAnsiTheme="minorHAnsi" w:cstheme="minorHAnsi"/>
          <w:color w:val="000000" w:themeColor="text1"/>
          <w:sz w:val="24"/>
          <w:szCs w:val="24"/>
        </w:rPr>
      </w:pPr>
      <w:r w:rsidRPr="00B52B90">
        <w:rPr>
          <w:rFonts w:asciiTheme="minorHAnsi" w:eastAsia="Arial" w:hAnsiTheme="minorHAnsi" w:cstheme="minorHAnsi"/>
          <w:color w:val="000000" w:themeColor="text1"/>
          <w:sz w:val="24"/>
          <w:szCs w:val="24"/>
        </w:rPr>
        <w:t xml:space="preserve">Continued skin clearance improvement was reported at Week 24 with 74% of patients treated with icotrokinra achieving IGA 0/1 and 65% achieving PASI 90. </w:t>
      </w:r>
    </w:p>
    <w:p w14:paraId="758E5E72" w14:textId="16A9F2C4" w:rsidR="00C55D68" w:rsidRPr="00B52B90" w:rsidRDefault="00C55D68" w:rsidP="00B52B90">
      <w:pPr>
        <w:pStyle w:val="ListParagraph"/>
        <w:numPr>
          <w:ilvl w:val="0"/>
          <w:numId w:val="21"/>
        </w:numPr>
        <w:spacing w:after="240"/>
        <w:rPr>
          <w:rFonts w:asciiTheme="minorHAnsi" w:eastAsia="Arial" w:hAnsiTheme="minorHAnsi" w:cstheme="minorHAnsi"/>
          <w:color w:val="000000" w:themeColor="text1"/>
          <w:sz w:val="24"/>
          <w:szCs w:val="24"/>
        </w:rPr>
      </w:pPr>
      <w:r w:rsidRPr="00B52B90">
        <w:rPr>
          <w:rFonts w:asciiTheme="minorHAnsi" w:eastAsia="Arial" w:hAnsiTheme="minorHAnsi" w:cstheme="minorHAnsi"/>
          <w:color w:val="000000" w:themeColor="text1"/>
          <w:sz w:val="24"/>
          <w:szCs w:val="24"/>
          <w:vertAlign w:val="superscript"/>
        </w:rPr>
        <w:fldChar w:fldCharType="begin"/>
      </w:r>
      <w:r w:rsidRPr="00B52B90">
        <w:rPr>
          <w:rFonts w:asciiTheme="minorHAnsi" w:eastAsia="Arial" w:hAnsiTheme="minorHAnsi" w:cstheme="minorHAnsi"/>
          <w:color w:val="000000" w:themeColor="text1"/>
          <w:sz w:val="24"/>
          <w:szCs w:val="24"/>
          <w:vertAlign w:val="superscript"/>
        </w:rPr>
        <w:instrText xml:space="preserve"> NOTEREF _Ref188633112 \h  \* MERGEFORMAT </w:instrText>
      </w:r>
      <w:r w:rsidRPr="00B52B90">
        <w:rPr>
          <w:rFonts w:asciiTheme="minorHAnsi" w:eastAsia="Arial" w:hAnsiTheme="minorHAnsi" w:cstheme="minorHAnsi"/>
          <w:color w:val="000000" w:themeColor="text1"/>
          <w:sz w:val="24"/>
          <w:szCs w:val="24"/>
          <w:vertAlign w:val="superscript"/>
        </w:rPr>
      </w:r>
      <w:r w:rsidRPr="00B52B90">
        <w:rPr>
          <w:rFonts w:asciiTheme="minorHAnsi" w:eastAsia="Arial" w:hAnsiTheme="minorHAnsi" w:cstheme="minorHAnsi"/>
          <w:color w:val="000000" w:themeColor="text1"/>
          <w:sz w:val="24"/>
          <w:szCs w:val="24"/>
          <w:vertAlign w:val="superscript"/>
        </w:rPr>
        <w:fldChar w:fldCharType="separate"/>
      </w:r>
      <w:r w:rsidRPr="00B52B90">
        <w:rPr>
          <w:rFonts w:asciiTheme="minorHAnsi" w:eastAsia="Arial" w:hAnsiTheme="minorHAnsi" w:cstheme="minorHAnsi"/>
          <w:color w:val="000000" w:themeColor="text1"/>
          <w:sz w:val="24"/>
          <w:szCs w:val="24"/>
          <w:vertAlign w:val="superscript"/>
        </w:rPr>
        <w:fldChar w:fldCharType="end"/>
      </w:r>
      <w:r w:rsidRPr="00B52B90">
        <w:rPr>
          <w:rFonts w:asciiTheme="minorHAnsi" w:eastAsia="Arial" w:hAnsiTheme="minorHAnsi" w:cstheme="minorHAnsi"/>
          <w:color w:val="000000" w:themeColor="text1"/>
          <w:sz w:val="24"/>
          <w:szCs w:val="24"/>
        </w:rPr>
        <w:t>Similar proportions of patients experienced adverse events (AEs) between icotrokinra (49%) and placebo groups (49%), with no new safety signals identified.</w:t>
      </w:r>
      <w:r w:rsidRPr="00B52B90">
        <w:rPr>
          <w:rFonts w:asciiTheme="minorHAnsi" w:eastAsia="Arial" w:hAnsiTheme="minorHAnsi" w:cstheme="minorHAnsi"/>
          <w:color w:val="000000" w:themeColor="text1"/>
          <w:sz w:val="24"/>
          <w:szCs w:val="24"/>
          <w:vertAlign w:val="superscript"/>
        </w:rPr>
        <w:fldChar w:fldCharType="begin"/>
      </w:r>
      <w:r w:rsidRPr="00B52B90">
        <w:rPr>
          <w:rFonts w:asciiTheme="minorHAnsi" w:eastAsia="Arial" w:hAnsiTheme="minorHAnsi" w:cstheme="minorHAnsi"/>
          <w:color w:val="000000" w:themeColor="text1"/>
          <w:sz w:val="24"/>
          <w:szCs w:val="24"/>
          <w:vertAlign w:val="superscript"/>
        </w:rPr>
        <w:instrText xml:space="preserve"> NOTEREF _Ref188633103 \h  \* MERGEFORMAT </w:instrText>
      </w:r>
      <w:r w:rsidRPr="00B52B90">
        <w:rPr>
          <w:rFonts w:asciiTheme="minorHAnsi" w:eastAsia="Arial" w:hAnsiTheme="minorHAnsi" w:cstheme="minorHAnsi"/>
          <w:color w:val="000000" w:themeColor="text1"/>
          <w:sz w:val="24"/>
          <w:szCs w:val="24"/>
          <w:vertAlign w:val="superscript"/>
        </w:rPr>
      </w:r>
      <w:r w:rsidRPr="00B52B90">
        <w:rPr>
          <w:rFonts w:asciiTheme="minorHAnsi" w:eastAsia="Arial" w:hAnsiTheme="minorHAnsi" w:cstheme="minorHAnsi"/>
          <w:color w:val="000000" w:themeColor="text1"/>
          <w:sz w:val="24"/>
          <w:szCs w:val="24"/>
          <w:vertAlign w:val="superscript"/>
        </w:rPr>
        <w:fldChar w:fldCharType="separate"/>
      </w:r>
      <w:r w:rsidRPr="00B52B90">
        <w:rPr>
          <w:rFonts w:asciiTheme="minorHAnsi" w:eastAsia="Arial" w:hAnsiTheme="minorHAnsi" w:cstheme="minorHAnsi"/>
          <w:color w:val="000000" w:themeColor="text1"/>
          <w:sz w:val="24"/>
          <w:szCs w:val="24"/>
          <w:vertAlign w:val="superscript"/>
        </w:rPr>
        <w:t>1</w:t>
      </w:r>
      <w:r w:rsidRPr="00B52B90">
        <w:rPr>
          <w:rFonts w:asciiTheme="minorHAnsi" w:eastAsia="Arial" w:hAnsiTheme="minorHAnsi" w:cstheme="minorHAnsi"/>
          <w:color w:val="000000" w:themeColor="text1"/>
          <w:sz w:val="24"/>
          <w:szCs w:val="24"/>
          <w:vertAlign w:val="superscript"/>
        </w:rPr>
        <w:fldChar w:fldCharType="end"/>
      </w:r>
      <w:r w:rsidRPr="00B52B90">
        <w:rPr>
          <w:rFonts w:asciiTheme="minorHAnsi" w:eastAsia="Arial" w:hAnsiTheme="minorHAnsi" w:cstheme="minorHAnsi"/>
          <w:color w:val="000000" w:themeColor="text1"/>
          <w:sz w:val="24"/>
          <w:szCs w:val="24"/>
          <w:vertAlign w:val="superscript"/>
        </w:rPr>
        <w:fldChar w:fldCharType="begin"/>
      </w:r>
      <w:r w:rsidRPr="00B52B90">
        <w:rPr>
          <w:rFonts w:asciiTheme="minorHAnsi" w:eastAsia="Arial" w:hAnsiTheme="minorHAnsi" w:cstheme="minorHAnsi"/>
          <w:color w:val="000000" w:themeColor="text1"/>
          <w:sz w:val="24"/>
          <w:szCs w:val="24"/>
          <w:vertAlign w:val="superscript"/>
        </w:rPr>
        <w:instrText xml:space="preserve"> NOTEREF _Ref188633112 \h  \* MERGEFORMAT </w:instrText>
      </w:r>
      <w:r w:rsidRPr="00B52B90">
        <w:rPr>
          <w:rFonts w:asciiTheme="minorHAnsi" w:eastAsia="Arial" w:hAnsiTheme="minorHAnsi" w:cstheme="minorHAnsi"/>
          <w:color w:val="000000" w:themeColor="text1"/>
          <w:sz w:val="24"/>
          <w:szCs w:val="24"/>
          <w:vertAlign w:val="superscript"/>
        </w:rPr>
      </w:r>
      <w:r w:rsidRPr="00B52B90">
        <w:rPr>
          <w:rFonts w:asciiTheme="minorHAnsi" w:eastAsia="Arial" w:hAnsiTheme="minorHAnsi" w:cstheme="minorHAnsi"/>
          <w:color w:val="000000" w:themeColor="text1"/>
          <w:sz w:val="24"/>
          <w:szCs w:val="24"/>
          <w:vertAlign w:val="superscript"/>
        </w:rPr>
        <w:fldChar w:fldCharType="separate"/>
      </w:r>
      <w:r w:rsidRPr="00B52B90">
        <w:rPr>
          <w:rFonts w:asciiTheme="minorHAnsi" w:eastAsia="Arial" w:hAnsiTheme="minorHAnsi" w:cstheme="minorHAnsi"/>
          <w:color w:val="000000" w:themeColor="text1"/>
          <w:sz w:val="24"/>
          <w:szCs w:val="24"/>
          <w:vertAlign w:val="superscript"/>
        </w:rPr>
        <w:fldChar w:fldCharType="end"/>
      </w:r>
      <w:r w:rsidRPr="00B52B90">
        <w:rPr>
          <w:rFonts w:asciiTheme="minorHAnsi" w:eastAsia="Arial" w:hAnsiTheme="minorHAnsi" w:cstheme="minorHAnsi"/>
          <w:color w:val="000000" w:themeColor="text1"/>
          <w:sz w:val="24"/>
          <w:szCs w:val="24"/>
        </w:rPr>
        <w:t xml:space="preserve"> </w:t>
      </w:r>
    </w:p>
    <w:p w14:paraId="5BC384D2" w14:textId="77777777" w:rsidR="00C55D68" w:rsidRPr="006801AA" w:rsidRDefault="00C55D68" w:rsidP="00C55D68">
      <w:pPr>
        <w:spacing w:after="240"/>
        <w:rPr>
          <w:rFonts w:asciiTheme="minorHAnsi" w:eastAsia="Arial" w:hAnsiTheme="minorHAnsi" w:cstheme="minorHAnsi"/>
          <w:color w:val="000000" w:themeColor="text1"/>
          <w:sz w:val="24"/>
          <w:szCs w:val="24"/>
        </w:rPr>
      </w:pPr>
      <w:r w:rsidRPr="00C55D68">
        <w:rPr>
          <w:rFonts w:asciiTheme="minorHAnsi" w:eastAsia="Arial" w:hAnsiTheme="minorHAnsi" w:cstheme="minorHAnsi"/>
          <w:color w:val="000000" w:themeColor="text1"/>
          <w:sz w:val="24"/>
          <w:szCs w:val="24"/>
        </w:rPr>
        <w:t>Results from a subgroup analysis of the ICONIC-LEAD study evaluating icotrokinra in the adolescent po</w:t>
      </w:r>
      <w:r w:rsidRPr="006801AA">
        <w:rPr>
          <w:rFonts w:asciiTheme="minorHAnsi" w:eastAsia="Arial" w:hAnsiTheme="minorHAnsi" w:cstheme="minorHAnsi"/>
          <w:color w:val="000000" w:themeColor="text1"/>
          <w:sz w:val="24"/>
          <w:szCs w:val="24"/>
        </w:rPr>
        <w:t>pulation will be presented at a forthcoming medical meeting.</w:t>
      </w:r>
    </w:p>
    <w:p w14:paraId="583A9165" w14:textId="32A33EBA" w:rsidR="008D5E2D" w:rsidRDefault="00C55D68" w:rsidP="00743B87">
      <w:pPr>
        <w:spacing w:after="240" w:line="240" w:lineRule="auto"/>
        <w:ind w:left="14" w:hanging="14"/>
        <w:rPr>
          <w:rFonts w:asciiTheme="minorHAnsi" w:eastAsia="Arial" w:hAnsiTheme="minorHAnsi" w:cstheme="minorHAnsi"/>
          <w:color w:val="000000" w:themeColor="text1"/>
          <w:sz w:val="24"/>
          <w:szCs w:val="24"/>
        </w:rPr>
      </w:pPr>
      <w:r w:rsidRPr="00C55D68">
        <w:rPr>
          <w:rFonts w:asciiTheme="minorHAnsi" w:eastAsia="Arial" w:hAnsiTheme="minorHAnsi" w:cstheme="minorHAnsi"/>
          <w:color w:val="000000" w:themeColor="text1"/>
          <w:sz w:val="24"/>
          <w:szCs w:val="24"/>
        </w:rPr>
        <w:t xml:space="preserve">Additionally, topline results </w:t>
      </w:r>
      <w:r w:rsidR="008D5E2D">
        <w:rPr>
          <w:rFonts w:asciiTheme="minorHAnsi" w:eastAsia="Arial" w:hAnsiTheme="minorHAnsi" w:cstheme="minorHAnsi"/>
          <w:color w:val="000000" w:themeColor="text1"/>
          <w:sz w:val="24"/>
          <w:szCs w:val="24"/>
        </w:rPr>
        <w:t>from</w:t>
      </w:r>
      <w:r w:rsidRPr="00C55D68">
        <w:rPr>
          <w:rFonts w:asciiTheme="minorHAnsi" w:eastAsia="Arial" w:hAnsiTheme="minorHAnsi" w:cstheme="minorHAnsi"/>
          <w:color w:val="000000" w:themeColor="text1"/>
          <w:sz w:val="24"/>
          <w:szCs w:val="24"/>
        </w:rPr>
        <w:t xml:space="preserve"> the </w:t>
      </w:r>
      <w:r w:rsidR="008D5E2D">
        <w:rPr>
          <w:rFonts w:asciiTheme="minorHAnsi" w:eastAsia="Arial" w:hAnsiTheme="minorHAnsi" w:cstheme="minorHAnsi"/>
          <w:color w:val="000000" w:themeColor="text1"/>
          <w:sz w:val="24"/>
          <w:szCs w:val="24"/>
        </w:rPr>
        <w:t>icotrokinra</w:t>
      </w:r>
      <w:r w:rsidR="00044C7F">
        <w:rPr>
          <w:rFonts w:asciiTheme="minorHAnsi" w:eastAsia="Arial" w:hAnsiTheme="minorHAnsi" w:cstheme="minorHAnsi"/>
          <w:color w:val="000000" w:themeColor="text1"/>
          <w:sz w:val="24"/>
          <w:szCs w:val="24"/>
        </w:rPr>
        <w:t xml:space="preserve"> versus </w:t>
      </w:r>
      <w:proofErr w:type="spellStart"/>
      <w:r w:rsidR="00044C7F">
        <w:rPr>
          <w:rFonts w:asciiTheme="minorHAnsi" w:eastAsia="Arial" w:hAnsiTheme="minorHAnsi" w:cstheme="minorHAnsi"/>
          <w:color w:val="000000" w:themeColor="text1"/>
          <w:sz w:val="24"/>
          <w:szCs w:val="24"/>
        </w:rPr>
        <w:t>deucravacitinib</w:t>
      </w:r>
      <w:proofErr w:type="spellEnd"/>
      <w:r w:rsidR="008D5E2D">
        <w:rPr>
          <w:rFonts w:asciiTheme="minorHAnsi" w:eastAsia="Arial" w:hAnsiTheme="minorHAnsi" w:cstheme="minorHAnsi"/>
          <w:color w:val="000000" w:themeColor="text1"/>
          <w:sz w:val="24"/>
          <w:szCs w:val="24"/>
        </w:rPr>
        <w:t xml:space="preserve"> </w:t>
      </w:r>
      <w:r w:rsidRPr="00C55D68">
        <w:rPr>
          <w:rFonts w:asciiTheme="minorHAnsi" w:eastAsia="Arial" w:hAnsiTheme="minorHAnsi" w:cstheme="minorHAnsi"/>
          <w:color w:val="000000" w:themeColor="text1"/>
          <w:sz w:val="24"/>
          <w:szCs w:val="24"/>
        </w:rPr>
        <w:t>Phase 3 ICONIC-ADVANCE 1&amp;2</w:t>
      </w:r>
      <w:r>
        <w:rPr>
          <w:rFonts w:asciiTheme="minorHAnsi" w:eastAsia="Arial" w:hAnsiTheme="minorHAnsi" w:cstheme="minorHAnsi"/>
          <w:color w:val="000000" w:themeColor="text1"/>
          <w:sz w:val="24"/>
          <w:szCs w:val="24"/>
          <w:vertAlign w:val="superscript"/>
        </w:rPr>
        <w:t>d</w:t>
      </w:r>
      <w:r w:rsidRPr="00C55D68">
        <w:rPr>
          <w:rFonts w:asciiTheme="minorHAnsi" w:eastAsia="Arial" w:hAnsiTheme="minorHAnsi" w:cstheme="minorHAnsi"/>
          <w:color w:val="000000" w:themeColor="text1"/>
          <w:sz w:val="24"/>
          <w:szCs w:val="24"/>
          <w:vertAlign w:val="superscript"/>
        </w:rPr>
        <w:t xml:space="preserve"> </w:t>
      </w:r>
      <w:r w:rsidRPr="00C55D68">
        <w:rPr>
          <w:rFonts w:asciiTheme="minorHAnsi" w:eastAsia="Arial" w:hAnsiTheme="minorHAnsi" w:cstheme="minorHAnsi"/>
          <w:color w:val="000000" w:themeColor="text1"/>
          <w:sz w:val="24"/>
          <w:szCs w:val="24"/>
        </w:rPr>
        <w:t>studies</w:t>
      </w:r>
      <w:r w:rsidR="00044C7F">
        <w:rPr>
          <w:rFonts w:asciiTheme="minorHAnsi" w:eastAsia="Arial" w:hAnsiTheme="minorHAnsi" w:cstheme="minorHAnsi"/>
          <w:color w:val="000000" w:themeColor="text1"/>
          <w:sz w:val="24"/>
          <w:szCs w:val="24"/>
        </w:rPr>
        <w:t xml:space="preserve"> are summarized below</w:t>
      </w:r>
      <w:r w:rsidR="008D5E2D">
        <w:rPr>
          <w:rFonts w:asciiTheme="minorHAnsi" w:eastAsia="Arial" w:hAnsiTheme="minorHAnsi" w:cstheme="minorHAnsi"/>
          <w:color w:val="000000" w:themeColor="text1"/>
          <w:sz w:val="24"/>
          <w:szCs w:val="24"/>
        </w:rPr>
        <w:t>:</w:t>
      </w:r>
      <w:r w:rsidRPr="00C55D68">
        <w:rPr>
          <w:rFonts w:asciiTheme="minorHAnsi" w:eastAsia="Arial" w:hAnsiTheme="minorHAnsi" w:cstheme="minorHAnsi"/>
          <w:color w:val="000000" w:themeColor="text1"/>
          <w:sz w:val="24"/>
          <w:szCs w:val="24"/>
        </w:rPr>
        <w:t xml:space="preserve"> </w:t>
      </w:r>
    </w:p>
    <w:p w14:paraId="704EE80D" w14:textId="2163AE53" w:rsidR="00743B87" w:rsidRDefault="00247444" w:rsidP="00743B87">
      <w:pPr>
        <w:pStyle w:val="ListParagraph"/>
        <w:numPr>
          <w:ilvl w:val="0"/>
          <w:numId w:val="22"/>
        </w:numPr>
        <w:spacing w:after="240"/>
        <w:rPr>
          <w:rFonts w:asciiTheme="minorHAnsi" w:eastAsia="Arial" w:hAnsiTheme="minorHAnsi" w:cstheme="minorHAnsi"/>
          <w:color w:val="000000" w:themeColor="text1"/>
          <w:sz w:val="24"/>
          <w:szCs w:val="24"/>
        </w:rPr>
      </w:pPr>
      <w:r>
        <w:rPr>
          <w:rFonts w:asciiTheme="minorHAnsi" w:eastAsia="Arial" w:hAnsiTheme="minorHAnsi" w:cstheme="minorHAnsi"/>
          <w:color w:val="000000" w:themeColor="text1"/>
          <w:sz w:val="24"/>
          <w:szCs w:val="24"/>
        </w:rPr>
        <w:t>The study met its</w:t>
      </w:r>
      <w:r w:rsidR="00C55D68" w:rsidRPr="008D5E2D">
        <w:rPr>
          <w:rFonts w:asciiTheme="minorHAnsi" w:eastAsia="Arial" w:hAnsiTheme="minorHAnsi" w:cstheme="minorHAnsi"/>
          <w:color w:val="000000" w:themeColor="text1"/>
          <w:sz w:val="24"/>
          <w:szCs w:val="24"/>
        </w:rPr>
        <w:t xml:space="preserve"> co-primary endpoints of IGA 0/1 and PASI</w:t>
      </w:r>
      <w:r w:rsidR="00A96E60">
        <w:rPr>
          <w:rFonts w:asciiTheme="minorHAnsi" w:eastAsia="Arial" w:hAnsiTheme="minorHAnsi" w:cstheme="minorHAnsi"/>
          <w:color w:val="000000" w:themeColor="text1"/>
          <w:sz w:val="24"/>
          <w:szCs w:val="24"/>
        </w:rPr>
        <w:t xml:space="preserve"> </w:t>
      </w:r>
      <w:r w:rsidR="00C55D68" w:rsidRPr="008D5E2D">
        <w:rPr>
          <w:rFonts w:asciiTheme="minorHAnsi" w:eastAsia="Arial" w:hAnsiTheme="minorHAnsi" w:cstheme="minorHAnsi"/>
          <w:color w:val="000000" w:themeColor="text1"/>
          <w:sz w:val="24"/>
          <w:szCs w:val="24"/>
        </w:rPr>
        <w:t xml:space="preserve">90 versus placebo at Week 16. </w:t>
      </w:r>
    </w:p>
    <w:p w14:paraId="0B7F242A" w14:textId="7769C74D" w:rsidR="00044C7F" w:rsidRPr="00743B87" w:rsidRDefault="00247444" w:rsidP="00743B87">
      <w:pPr>
        <w:pStyle w:val="ListParagraph"/>
        <w:numPr>
          <w:ilvl w:val="0"/>
          <w:numId w:val="22"/>
        </w:numPr>
        <w:spacing w:after="240"/>
        <w:rPr>
          <w:rFonts w:asciiTheme="minorHAnsi" w:eastAsia="Arial" w:hAnsiTheme="minorHAnsi" w:cstheme="minorHAnsi"/>
          <w:color w:val="000000" w:themeColor="text1"/>
          <w:sz w:val="24"/>
          <w:szCs w:val="24"/>
        </w:rPr>
      </w:pPr>
      <w:r>
        <w:rPr>
          <w:rFonts w:asciiTheme="minorHAnsi" w:eastAsia="Arial" w:hAnsiTheme="minorHAnsi" w:cstheme="minorHAnsi"/>
          <w:color w:val="000000" w:themeColor="text1"/>
          <w:sz w:val="24"/>
          <w:szCs w:val="24"/>
        </w:rPr>
        <w:t>The study a</w:t>
      </w:r>
      <w:r w:rsidR="00C55D68" w:rsidRPr="00743B87">
        <w:rPr>
          <w:rFonts w:asciiTheme="minorHAnsi" w:eastAsia="Arial" w:hAnsiTheme="minorHAnsi" w:cstheme="minorHAnsi"/>
          <w:color w:val="000000" w:themeColor="text1"/>
          <w:sz w:val="24"/>
          <w:szCs w:val="24"/>
        </w:rPr>
        <w:t xml:space="preserve">lso met all </w:t>
      </w:r>
      <w:r w:rsidR="00C55D68" w:rsidRPr="00743B87" w:rsidDel="5B9FCB9D">
        <w:rPr>
          <w:rFonts w:asciiTheme="minorHAnsi" w:eastAsia="Arial" w:hAnsiTheme="minorHAnsi" w:cstheme="minorHAnsi"/>
          <w:color w:val="000000" w:themeColor="text1"/>
          <w:sz w:val="24"/>
          <w:szCs w:val="24"/>
        </w:rPr>
        <w:t xml:space="preserve">key </w:t>
      </w:r>
      <w:r w:rsidR="00C55D68" w:rsidRPr="00743B87">
        <w:rPr>
          <w:rFonts w:asciiTheme="minorHAnsi" w:eastAsia="Arial" w:hAnsiTheme="minorHAnsi" w:cstheme="minorHAnsi"/>
          <w:color w:val="000000" w:themeColor="text1"/>
          <w:sz w:val="24"/>
          <w:szCs w:val="24"/>
        </w:rPr>
        <w:t xml:space="preserve">secondary endpoints at Weeks 16 and 24 that measured superiority to </w:t>
      </w:r>
      <w:proofErr w:type="spellStart"/>
      <w:r w:rsidR="00C55D68" w:rsidRPr="00743B87">
        <w:rPr>
          <w:rFonts w:asciiTheme="minorHAnsi" w:eastAsia="Arial" w:hAnsiTheme="minorHAnsi" w:cstheme="minorHAnsi"/>
          <w:color w:val="000000" w:themeColor="text1"/>
          <w:sz w:val="24"/>
          <w:szCs w:val="24"/>
        </w:rPr>
        <w:t>deucravacitinib</w:t>
      </w:r>
      <w:proofErr w:type="spellEnd"/>
      <w:r w:rsidR="00C55D68" w:rsidRPr="00743B87">
        <w:rPr>
          <w:rFonts w:asciiTheme="minorHAnsi" w:eastAsia="Arial" w:hAnsiTheme="minorHAnsi" w:cstheme="minorHAnsi"/>
          <w:color w:val="000000" w:themeColor="text1"/>
          <w:sz w:val="24"/>
          <w:szCs w:val="24"/>
        </w:rPr>
        <w:t xml:space="preserve"> in patients with moderate-to-severe plaque PsO.</w:t>
      </w:r>
      <w:bookmarkStart w:id="1" w:name="_Ref188885823"/>
      <w:r w:rsidR="00C55D68" w:rsidRPr="00C55D68">
        <w:rPr>
          <w:rStyle w:val="EndnoteReference"/>
          <w:rFonts w:asciiTheme="minorHAnsi" w:eastAsia="Arial" w:hAnsiTheme="minorHAnsi" w:cstheme="minorHAnsi"/>
          <w:color w:val="000000" w:themeColor="text1"/>
          <w:sz w:val="24"/>
          <w:szCs w:val="24"/>
        </w:rPr>
        <w:endnoteReference w:id="3"/>
      </w:r>
      <w:bookmarkEnd w:id="1"/>
      <w:r w:rsidR="00C55D68" w:rsidRPr="00743B87">
        <w:rPr>
          <w:rFonts w:asciiTheme="minorHAnsi" w:eastAsia="Arial" w:hAnsiTheme="minorHAnsi" w:cstheme="minorHAnsi"/>
          <w:color w:val="000000" w:themeColor="text1"/>
          <w:sz w:val="24"/>
          <w:szCs w:val="24"/>
          <w:vertAlign w:val="superscript"/>
        </w:rPr>
        <w:t>,</w:t>
      </w:r>
      <w:bookmarkStart w:id="2" w:name="_Ref188885829"/>
      <w:r w:rsidR="00C55D68" w:rsidRPr="00C55D68">
        <w:rPr>
          <w:rStyle w:val="EndnoteReference"/>
          <w:rFonts w:asciiTheme="minorHAnsi" w:eastAsia="Arial" w:hAnsiTheme="minorHAnsi" w:cstheme="minorHAnsi"/>
          <w:color w:val="000000" w:themeColor="text1"/>
          <w:sz w:val="24"/>
          <w:szCs w:val="24"/>
        </w:rPr>
        <w:endnoteReference w:id="4"/>
      </w:r>
      <w:bookmarkEnd w:id="2"/>
      <w:r w:rsidR="00C55D68" w:rsidRPr="00743B87">
        <w:rPr>
          <w:rFonts w:asciiTheme="minorHAnsi" w:eastAsia="Arial" w:hAnsiTheme="minorHAnsi" w:cstheme="minorHAnsi"/>
          <w:color w:val="000000" w:themeColor="text1"/>
          <w:sz w:val="24"/>
          <w:szCs w:val="24"/>
        </w:rPr>
        <w:t xml:space="preserve"> </w:t>
      </w:r>
    </w:p>
    <w:p w14:paraId="1C2DBBD5" w14:textId="1DF79807" w:rsidR="00C55D68" w:rsidRPr="00743B87" w:rsidRDefault="00C55D68" w:rsidP="00743B87">
      <w:pPr>
        <w:spacing w:after="240" w:line="240" w:lineRule="auto"/>
        <w:ind w:left="0" w:firstLine="0"/>
        <w:rPr>
          <w:rFonts w:asciiTheme="minorHAnsi" w:eastAsia="Arial" w:hAnsiTheme="minorHAnsi" w:cstheme="minorHAnsi"/>
          <w:color w:val="000000" w:themeColor="text1"/>
          <w:sz w:val="24"/>
          <w:szCs w:val="24"/>
        </w:rPr>
      </w:pPr>
      <w:r w:rsidRPr="00743B87">
        <w:rPr>
          <w:rFonts w:asciiTheme="minorHAnsi" w:eastAsia="Arial" w:hAnsiTheme="minorHAnsi" w:cstheme="minorHAnsi"/>
          <w:color w:val="000000" w:themeColor="text1"/>
          <w:sz w:val="24"/>
          <w:szCs w:val="24"/>
        </w:rPr>
        <w:t xml:space="preserve">Based on the positive outcomes of the ADVANCE </w:t>
      </w:r>
      <w:r w:rsidR="00044C7F">
        <w:rPr>
          <w:rFonts w:asciiTheme="minorHAnsi" w:eastAsia="Arial" w:hAnsiTheme="minorHAnsi" w:cstheme="minorHAnsi"/>
          <w:color w:val="000000" w:themeColor="text1"/>
          <w:sz w:val="24"/>
          <w:szCs w:val="24"/>
        </w:rPr>
        <w:t xml:space="preserve">1&amp;2 </w:t>
      </w:r>
      <w:r w:rsidRPr="00743B87">
        <w:rPr>
          <w:rFonts w:asciiTheme="minorHAnsi" w:eastAsia="Arial" w:hAnsiTheme="minorHAnsi" w:cstheme="minorHAnsi"/>
          <w:color w:val="000000" w:themeColor="text1"/>
          <w:sz w:val="24"/>
          <w:szCs w:val="24"/>
        </w:rPr>
        <w:t xml:space="preserve">studies, </w:t>
      </w:r>
      <w:r w:rsidR="00044C7F">
        <w:rPr>
          <w:rFonts w:asciiTheme="minorHAnsi" w:eastAsia="Arial" w:hAnsiTheme="minorHAnsi" w:cstheme="minorHAnsi"/>
          <w:color w:val="000000" w:themeColor="text1"/>
          <w:sz w:val="24"/>
          <w:szCs w:val="24"/>
        </w:rPr>
        <w:t>our partner</w:t>
      </w:r>
      <w:r w:rsidR="00247444">
        <w:rPr>
          <w:rFonts w:asciiTheme="minorHAnsi" w:eastAsia="Arial" w:hAnsiTheme="minorHAnsi" w:cstheme="minorHAnsi"/>
          <w:color w:val="000000" w:themeColor="text1"/>
          <w:sz w:val="24"/>
          <w:szCs w:val="24"/>
        </w:rPr>
        <w:t xml:space="preserve"> Johnson &amp; Johnson</w:t>
      </w:r>
      <w:r w:rsidR="00044C7F">
        <w:rPr>
          <w:rFonts w:asciiTheme="minorHAnsi" w:eastAsia="Arial" w:hAnsiTheme="minorHAnsi" w:cstheme="minorHAnsi"/>
          <w:color w:val="000000" w:themeColor="text1"/>
          <w:sz w:val="24"/>
          <w:szCs w:val="24"/>
        </w:rPr>
        <w:t xml:space="preserve"> is</w:t>
      </w:r>
      <w:r w:rsidRPr="00743B87">
        <w:rPr>
          <w:rFonts w:asciiTheme="minorHAnsi" w:eastAsia="Arial" w:hAnsiTheme="minorHAnsi" w:cstheme="minorHAnsi"/>
          <w:color w:val="000000" w:themeColor="text1"/>
          <w:sz w:val="24"/>
          <w:szCs w:val="24"/>
        </w:rPr>
        <w:t xml:space="preserve"> initiating the Phase 3 ICONIC-</w:t>
      </w:r>
      <w:proofErr w:type="spellStart"/>
      <w:r w:rsidRPr="00743B87">
        <w:rPr>
          <w:rFonts w:asciiTheme="minorHAnsi" w:eastAsia="Arial" w:hAnsiTheme="minorHAnsi" w:cstheme="minorHAnsi"/>
          <w:color w:val="000000" w:themeColor="text1"/>
          <w:sz w:val="24"/>
          <w:szCs w:val="24"/>
        </w:rPr>
        <w:t>ASCEND</w:t>
      </w:r>
      <w:r w:rsidRPr="00743B87">
        <w:rPr>
          <w:rFonts w:asciiTheme="minorHAnsi" w:eastAsia="Arial" w:hAnsiTheme="minorHAnsi" w:cstheme="minorHAnsi"/>
          <w:color w:val="000000" w:themeColor="text1"/>
          <w:sz w:val="24"/>
          <w:szCs w:val="24"/>
          <w:vertAlign w:val="superscript"/>
        </w:rPr>
        <w:t>e</w:t>
      </w:r>
      <w:proofErr w:type="spellEnd"/>
      <w:r w:rsidRPr="00743B87">
        <w:rPr>
          <w:rFonts w:asciiTheme="minorHAnsi" w:eastAsia="Arial" w:hAnsiTheme="minorHAnsi" w:cstheme="minorHAnsi"/>
          <w:color w:val="000000" w:themeColor="text1"/>
          <w:sz w:val="24"/>
          <w:szCs w:val="24"/>
        </w:rPr>
        <w:t xml:space="preserve"> study, the first-ever head-to-head study seeking to demonstrate the superiority of an oral pill, icotrokinra, compared to an injectable biologic, </w:t>
      </w:r>
      <w:proofErr w:type="spellStart"/>
      <w:r w:rsidRPr="00743B87">
        <w:rPr>
          <w:rFonts w:asciiTheme="minorHAnsi" w:eastAsia="Arial" w:hAnsiTheme="minorHAnsi" w:cstheme="minorHAnsi"/>
          <w:color w:val="000000" w:themeColor="text1"/>
          <w:sz w:val="24"/>
          <w:szCs w:val="24"/>
        </w:rPr>
        <w:t>ustekinumab</w:t>
      </w:r>
      <w:proofErr w:type="spellEnd"/>
      <w:r w:rsidRPr="00743B87">
        <w:rPr>
          <w:rFonts w:asciiTheme="minorHAnsi" w:eastAsia="Arial" w:hAnsiTheme="minorHAnsi" w:cstheme="minorHAnsi"/>
          <w:color w:val="000000" w:themeColor="text1"/>
          <w:sz w:val="24"/>
          <w:szCs w:val="24"/>
        </w:rPr>
        <w:t>.</w:t>
      </w:r>
    </w:p>
    <w:p w14:paraId="5523512A" w14:textId="617AB2E8" w:rsidR="00065430" w:rsidRPr="002B7C36" w:rsidRDefault="001E4881" w:rsidP="0EF3169A">
      <w:pPr>
        <w:spacing w:after="240"/>
        <w:rPr>
          <w:rFonts w:asciiTheme="minorHAnsi" w:hAnsiTheme="minorHAnsi" w:cstheme="minorBidi"/>
          <w:color w:val="212529"/>
          <w:sz w:val="24"/>
          <w:szCs w:val="24"/>
        </w:rPr>
      </w:pPr>
      <w:r w:rsidRPr="0EF3169A">
        <w:rPr>
          <w:rFonts w:asciiTheme="minorHAnsi" w:hAnsiTheme="minorHAnsi" w:cstheme="minorBidi"/>
          <w:color w:val="212529"/>
          <w:sz w:val="24"/>
          <w:szCs w:val="24"/>
        </w:rPr>
        <w:t>"</w:t>
      </w:r>
      <w:r w:rsidR="00714ABB" w:rsidRPr="0EF3169A">
        <w:rPr>
          <w:rFonts w:asciiTheme="minorHAnsi" w:hAnsiTheme="minorHAnsi" w:cstheme="minorBidi"/>
          <w:color w:val="212529"/>
          <w:sz w:val="24"/>
          <w:szCs w:val="24"/>
        </w:rPr>
        <w:t>The new results from the superiority ICONIC-ADV</w:t>
      </w:r>
      <w:r w:rsidR="00DA204C">
        <w:rPr>
          <w:rFonts w:asciiTheme="minorHAnsi" w:hAnsiTheme="minorHAnsi" w:cstheme="minorBidi"/>
          <w:color w:val="212529"/>
          <w:sz w:val="24"/>
          <w:szCs w:val="24"/>
        </w:rPr>
        <w:t>A</w:t>
      </w:r>
      <w:r w:rsidR="00714ABB" w:rsidRPr="0EF3169A">
        <w:rPr>
          <w:rFonts w:asciiTheme="minorHAnsi" w:hAnsiTheme="minorHAnsi" w:cstheme="minorBidi"/>
          <w:color w:val="212529"/>
          <w:sz w:val="24"/>
          <w:szCs w:val="24"/>
        </w:rPr>
        <w:t>NCE 1&amp;2 studies involving head-to-head comparison with the o</w:t>
      </w:r>
      <w:r w:rsidR="00714ABB" w:rsidRPr="00926456">
        <w:rPr>
          <w:rFonts w:asciiTheme="minorHAnsi" w:hAnsiTheme="minorHAnsi" w:cstheme="minorBidi"/>
          <w:color w:val="212529"/>
          <w:sz w:val="24"/>
          <w:szCs w:val="24"/>
        </w:rPr>
        <w:t xml:space="preserve">ral therapeutic </w:t>
      </w:r>
      <w:proofErr w:type="spellStart"/>
      <w:r w:rsidR="00714ABB" w:rsidRPr="00926456">
        <w:rPr>
          <w:rFonts w:asciiTheme="minorHAnsi" w:hAnsiTheme="minorHAnsi" w:cstheme="minorBidi"/>
          <w:color w:val="212529"/>
          <w:sz w:val="24"/>
          <w:szCs w:val="24"/>
        </w:rPr>
        <w:t>deucravacitinib</w:t>
      </w:r>
      <w:proofErr w:type="spellEnd"/>
      <w:r w:rsidR="00714ABB" w:rsidRPr="00926456">
        <w:rPr>
          <w:rFonts w:asciiTheme="minorHAnsi" w:hAnsiTheme="minorHAnsi" w:cstheme="minorBidi"/>
          <w:color w:val="212529"/>
          <w:sz w:val="24"/>
          <w:szCs w:val="24"/>
        </w:rPr>
        <w:t xml:space="preserve">, combined with the results from the ICONIC-LEAD study, reinforce </w:t>
      </w:r>
      <w:r w:rsidRPr="00926456">
        <w:rPr>
          <w:rFonts w:asciiTheme="minorHAnsi" w:eastAsia="Arial" w:hAnsiTheme="minorHAnsi" w:cstheme="minorBidi"/>
          <w:sz w:val="24"/>
          <w:szCs w:val="24"/>
        </w:rPr>
        <w:t>icotrokinra</w:t>
      </w:r>
      <w:r w:rsidR="00714ABB" w:rsidRPr="00926456">
        <w:rPr>
          <w:rFonts w:asciiTheme="minorHAnsi" w:eastAsia="Arial" w:hAnsiTheme="minorHAnsi" w:cstheme="minorBidi"/>
          <w:sz w:val="24"/>
          <w:szCs w:val="24"/>
        </w:rPr>
        <w:t>’s</w:t>
      </w:r>
      <w:r w:rsidRPr="00926456">
        <w:rPr>
          <w:rFonts w:asciiTheme="minorHAnsi" w:eastAsia="Arial" w:hAnsiTheme="minorHAnsi" w:cstheme="minorBidi"/>
          <w:sz w:val="24"/>
          <w:szCs w:val="24"/>
        </w:rPr>
        <w:t xml:space="preserve"> </w:t>
      </w:r>
      <w:r w:rsidR="00714ABB" w:rsidRPr="00926456">
        <w:rPr>
          <w:rFonts w:asciiTheme="minorHAnsi" w:eastAsia="Arial" w:hAnsiTheme="minorHAnsi" w:cstheme="minorBidi"/>
          <w:sz w:val="24"/>
          <w:szCs w:val="24"/>
        </w:rPr>
        <w:t xml:space="preserve">potential </w:t>
      </w:r>
      <w:r w:rsidRPr="00926456">
        <w:rPr>
          <w:rFonts w:asciiTheme="minorHAnsi" w:eastAsia="Arial" w:hAnsiTheme="minorHAnsi" w:cstheme="minorBidi"/>
          <w:sz w:val="24"/>
          <w:szCs w:val="24"/>
        </w:rPr>
        <w:t>as a</w:t>
      </w:r>
      <w:r w:rsidR="00247444" w:rsidRPr="00926456">
        <w:rPr>
          <w:rFonts w:asciiTheme="minorHAnsi" w:eastAsia="Arial" w:hAnsiTheme="minorHAnsi" w:cstheme="minorBidi"/>
          <w:sz w:val="24"/>
          <w:szCs w:val="24"/>
        </w:rPr>
        <w:t xml:space="preserve"> </w:t>
      </w:r>
      <w:r w:rsidR="00714ABB" w:rsidRPr="00926456">
        <w:rPr>
          <w:rFonts w:asciiTheme="minorHAnsi" w:eastAsia="Arial" w:hAnsiTheme="minorHAnsi" w:cstheme="minorBidi"/>
          <w:sz w:val="24"/>
          <w:szCs w:val="24"/>
        </w:rPr>
        <w:t xml:space="preserve">paradigm shifting, </w:t>
      </w:r>
      <w:r w:rsidR="00247444" w:rsidRPr="00926456">
        <w:rPr>
          <w:rFonts w:asciiTheme="minorHAnsi" w:eastAsia="Arial" w:hAnsiTheme="minorHAnsi" w:cstheme="minorBidi"/>
          <w:sz w:val="24"/>
          <w:szCs w:val="24"/>
        </w:rPr>
        <w:t>highly effective</w:t>
      </w:r>
      <w:r w:rsidRPr="00926456">
        <w:rPr>
          <w:rFonts w:asciiTheme="minorHAnsi" w:eastAsia="Arial" w:hAnsiTheme="minorHAnsi" w:cstheme="minorBidi"/>
          <w:sz w:val="24"/>
          <w:szCs w:val="24"/>
        </w:rPr>
        <w:t xml:space="preserve"> first- and only-in-class </w:t>
      </w:r>
      <w:r w:rsidR="23ACF7F1" w:rsidRPr="00926456">
        <w:rPr>
          <w:rFonts w:asciiTheme="minorHAnsi" w:eastAsia="Arial" w:hAnsiTheme="minorHAnsi" w:cstheme="minorBidi"/>
          <w:sz w:val="24"/>
          <w:szCs w:val="24"/>
        </w:rPr>
        <w:t xml:space="preserve">targeted </w:t>
      </w:r>
      <w:r w:rsidRPr="00926456">
        <w:rPr>
          <w:rFonts w:asciiTheme="minorHAnsi" w:eastAsia="Arial" w:hAnsiTheme="minorHAnsi" w:cstheme="minorBidi"/>
          <w:sz w:val="24"/>
          <w:szCs w:val="24"/>
        </w:rPr>
        <w:t>oral IL-23 receptor antagonist</w:t>
      </w:r>
      <w:r w:rsidR="00247444" w:rsidRPr="00926456">
        <w:rPr>
          <w:rFonts w:asciiTheme="minorHAnsi" w:eastAsia="Arial" w:hAnsiTheme="minorHAnsi" w:cstheme="minorBidi"/>
          <w:sz w:val="24"/>
          <w:szCs w:val="24"/>
        </w:rPr>
        <w:t xml:space="preserve"> for </w:t>
      </w:r>
      <w:r w:rsidR="00714ABB" w:rsidRPr="00926456">
        <w:rPr>
          <w:rFonts w:asciiTheme="minorHAnsi" w:eastAsia="Arial" w:hAnsiTheme="minorHAnsi" w:cstheme="minorBidi"/>
          <w:sz w:val="24"/>
          <w:szCs w:val="24"/>
        </w:rPr>
        <w:t xml:space="preserve">treatment of </w:t>
      </w:r>
      <w:r w:rsidR="00247444" w:rsidRPr="00926456">
        <w:rPr>
          <w:rFonts w:asciiTheme="minorHAnsi" w:eastAsia="Arial" w:hAnsiTheme="minorHAnsi" w:cstheme="minorBidi"/>
          <w:sz w:val="24"/>
          <w:szCs w:val="24"/>
        </w:rPr>
        <w:t>psoriasis</w:t>
      </w:r>
      <w:r w:rsidRPr="00926456">
        <w:rPr>
          <w:rFonts w:asciiTheme="minorHAnsi" w:hAnsiTheme="minorHAnsi" w:cstheme="minorBidi"/>
          <w:color w:val="212529"/>
          <w:sz w:val="24"/>
          <w:szCs w:val="24"/>
        </w:rPr>
        <w:t xml:space="preserve">,” said Dinesh V. Patel, Ph.D., President and Chief Executive Officer at Protagonist. </w:t>
      </w:r>
      <w:r w:rsidR="00010D95" w:rsidRPr="00926456">
        <w:rPr>
          <w:rFonts w:asciiTheme="minorHAnsi" w:hAnsiTheme="minorHAnsi" w:cstheme="minorBidi"/>
          <w:color w:val="212529"/>
          <w:sz w:val="24"/>
          <w:szCs w:val="24"/>
        </w:rPr>
        <w:t>“</w:t>
      </w:r>
      <w:r w:rsidR="00714ABB" w:rsidRPr="00926456">
        <w:rPr>
          <w:rFonts w:asciiTheme="minorHAnsi" w:hAnsiTheme="minorHAnsi" w:cstheme="minorBidi"/>
          <w:color w:val="212529"/>
          <w:sz w:val="24"/>
          <w:szCs w:val="24"/>
        </w:rPr>
        <w:t>Icotrokinra offers a standout combination of complete skin clearance and favorable safet</w:t>
      </w:r>
      <w:r w:rsidR="00AB175E" w:rsidRPr="00926456">
        <w:rPr>
          <w:rFonts w:asciiTheme="minorHAnsi" w:hAnsiTheme="minorHAnsi" w:cstheme="minorBidi"/>
          <w:color w:val="212529"/>
          <w:sz w:val="24"/>
          <w:szCs w:val="24"/>
        </w:rPr>
        <w:t>y</w:t>
      </w:r>
      <w:r w:rsidR="00714ABB" w:rsidRPr="00926456">
        <w:rPr>
          <w:rFonts w:asciiTheme="minorHAnsi" w:hAnsiTheme="minorHAnsi" w:cstheme="minorBidi"/>
          <w:color w:val="212529"/>
          <w:sz w:val="24"/>
          <w:szCs w:val="24"/>
        </w:rPr>
        <w:t xml:space="preserve"> profile in </w:t>
      </w:r>
      <w:r w:rsidR="00714ABB" w:rsidRPr="00926456">
        <w:rPr>
          <w:rFonts w:asciiTheme="minorHAnsi" w:hAnsiTheme="minorHAnsi" w:cstheme="minorHAnsi"/>
          <w:color w:val="212529"/>
          <w:sz w:val="24"/>
          <w:szCs w:val="24"/>
        </w:rPr>
        <w:t>a once</w:t>
      </w:r>
      <w:r w:rsidR="00F8001C" w:rsidRPr="00926456">
        <w:rPr>
          <w:rFonts w:asciiTheme="minorHAnsi" w:hAnsiTheme="minorHAnsi" w:cstheme="minorHAnsi"/>
          <w:color w:val="212529"/>
          <w:sz w:val="24"/>
          <w:szCs w:val="24"/>
        </w:rPr>
        <w:t>-</w:t>
      </w:r>
      <w:r w:rsidR="00714ABB" w:rsidRPr="00926456">
        <w:rPr>
          <w:rFonts w:asciiTheme="minorHAnsi" w:hAnsiTheme="minorHAnsi" w:cstheme="minorHAnsi"/>
          <w:color w:val="212529"/>
          <w:sz w:val="24"/>
          <w:szCs w:val="24"/>
        </w:rPr>
        <w:t>daily pill and continues to establish itself</w:t>
      </w:r>
      <w:r w:rsidR="00044C7F" w:rsidRPr="00926456">
        <w:rPr>
          <w:rFonts w:asciiTheme="minorHAnsi" w:hAnsiTheme="minorHAnsi" w:cstheme="minorHAnsi"/>
          <w:color w:val="212529"/>
          <w:sz w:val="24"/>
          <w:szCs w:val="24"/>
        </w:rPr>
        <w:t xml:space="preserve"> as a </w:t>
      </w:r>
      <w:r w:rsidR="00E43BF8" w:rsidRPr="00926456">
        <w:rPr>
          <w:rFonts w:asciiTheme="minorHAnsi" w:eastAsia="Arial" w:hAnsiTheme="minorHAnsi" w:cstheme="minorHAnsi"/>
          <w:color w:val="000000" w:themeColor="text1"/>
          <w:sz w:val="24"/>
          <w:szCs w:val="24"/>
        </w:rPr>
        <w:t>potential first-line systemic therapy for psoriasis</w:t>
      </w:r>
      <w:r w:rsidR="00044C7F" w:rsidRPr="00926456">
        <w:rPr>
          <w:rFonts w:asciiTheme="minorHAnsi" w:hAnsiTheme="minorHAnsi" w:cstheme="minorHAnsi"/>
          <w:color w:val="212529"/>
          <w:sz w:val="24"/>
          <w:szCs w:val="24"/>
        </w:rPr>
        <w:t xml:space="preserve">. </w:t>
      </w:r>
      <w:r w:rsidR="00714ABB" w:rsidRPr="00926456">
        <w:rPr>
          <w:rFonts w:asciiTheme="minorHAnsi" w:hAnsiTheme="minorHAnsi" w:cstheme="minorHAnsi"/>
          <w:color w:val="212529"/>
          <w:sz w:val="24"/>
          <w:szCs w:val="24"/>
        </w:rPr>
        <w:t>We’re very excited</w:t>
      </w:r>
      <w:r w:rsidR="00714ABB" w:rsidRPr="0085067D">
        <w:rPr>
          <w:rFonts w:asciiTheme="minorHAnsi" w:hAnsiTheme="minorHAnsi" w:cstheme="minorHAnsi"/>
          <w:color w:val="212529"/>
          <w:sz w:val="24"/>
          <w:szCs w:val="24"/>
        </w:rPr>
        <w:t xml:space="preserve"> about the continued expansion of the ICONIC </w:t>
      </w:r>
      <w:r w:rsidR="00AB175E" w:rsidRPr="0085067D">
        <w:rPr>
          <w:rFonts w:asciiTheme="minorHAnsi" w:hAnsiTheme="minorHAnsi" w:cstheme="minorHAnsi"/>
          <w:color w:val="212529"/>
          <w:sz w:val="24"/>
          <w:szCs w:val="24"/>
        </w:rPr>
        <w:t xml:space="preserve">clinical development </w:t>
      </w:r>
      <w:r w:rsidR="00714ABB" w:rsidRPr="0085067D">
        <w:rPr>
          <w:rFonts w:asciiTheme="minorHAnsi" w:hAnsiTheme="minorHAnsi" w:cstheme="minorHAnsi"/>
          <w:color w:val="212529"/>
          <w:sz w:val="24"/>
          <w:szCs w:val="24"/>
        </w:rPr>
        <w:t>progr</w:t>
      </w:r>
      <w:r w:rsidR="00714ABB" w:rsidRPr="0EF3169A">
        <w:rPr>
          <w:rFonts w:asciiTheme="minorHAnsi" w:hAnsiTheme="minorHAnsi" w:cstheme="minorBidi"/>
          <w:color w:val="212529"/>
          <w:sz w:val="24"/>
          <w:szCs w:val="24"/>
        </w:rPr>
        <w:t>am, as exemplified by the initiation of</w:t>
      </w:r>
      <w:r w:rsidR="00595621" w:rsidRPr="0EF3169A">
        <w:rPr>
          <w:rFonts w:asciiTheme="minorHAnsi" w:hAnsiTheme="minorHAnsi" w:cstheme="minorBidi"/>
          <w:color w:val="212529"/>
          <w:sz w:val="24"/>
          <w:szCs w:val="24"/>
        </w:rPr>
        <w:t xml:space="preserve"> </w:t>
      </w:r>
      <w:r w:rsidR="00AB175E" w:rsidRPr="0EF3169A">
        <w:rPr>
          <w:rFonts w:asciiTheme="minorHAnsi" w:hAnsiTheme="minorHAnsi" w:cstheme="minorBidi"/>
          <w:color w:val="212529"/>
          <w:sz w:val="24"/>
          <w:szCs w:val="24"/>
        </w:rPr>
        <w:t xml:space="preserve">the phase 3 ICONIC-ASCEND </w:t>
      </w:r>
      <w:r w:rsidR="00595621" w:rsidRPr="0EF3169A">
        <w:rPr>
          <w:rFonts w:asciiTheme="minorHAnsi" w:hAnsiTheme="minorHAnsi" w:cstheme="minorBidi"/>
          <w:color w:val="212529"/>
          <w:sz w:val="24"/>
          <w:szCs w:val="24"/>
        </w:rPr>
        <w:t xml:space="preserve">superiority </w:t>
      </w:r>
      <w:r w:rsidR="00AB175E" w:rsidRPr="0EF3169A">
        <w:rPr>
          <w:rFonts w:asciiTheme="minorHAnsi" w:hAnsiTheme="minorHAnsi" w:cstheme="minorBidi"/>
          <w:color w:val="212529"/>
          <w:sz w:val="24"/>
          <w:szCs w:val="24"/>
        </w:rPr>
        <w:t xml:space="preserve">study of icotrokinra versus </w:t>
      </w:r>
      <w:proofErr w:type="spellStart"/>
      <w:r w:rsidR="00DA204C">
        <w:rPr>
          <w:rFonts w:asciiTheme="minorHAnsi" w:hAnsiTheme="minorHAnsi" w:cstheme="minorBidi"/>
          <w:color w:val="212529"/>
          <w:sz w:val="24"/>
          <w:szCs w:val="24"/>
        </w:rPr>
        <w:t>u</w:t>
      </w:r>
      <w:r w:rsidR="00AB175E" w:rsidRPr="0EF3169A">
        <w:rPr>
          <w:rFonts w:asciiTheme="minorHAnsi" w:hAnsiTheme="minorHAnsi" w:cstheme="minorBidi"/>
          <w:color w:val="212529"/>
          <w:sz w:val="24"/>
          <w:szCs w:val="24"/>
        </w:rPr>
        <w:t>stekinumab</w:t>
      </w:r>
      <w:proofErr w:type="spellEnd"/>
      <w:r w:rsidR="002B7C36" w:rsidRPr="0EF3169A">
        <w:rPr>
          <w:rFonts w:asciiTheme="minorHAnsi" w:hAnsiTheme="minorHAnsi" w:cstheme="minorBidi"/>
          <w:color w:val="212529"/>
        </w:rPr>
        <w:t>.”</w:t>
      </w:r>
      <w:r w:rsidR="00010D95" w:rsidRPr="0EF3169A">
        <w:rPr>
          <w:rFonts w:asciiTheme="minorHAnsi" w:hAnsiTheme="minorHAnsi" w:cstheme="minorBidi"/>
          <w:color w:val="212529"/>
          <w:sz w:val="24"/>
          <w:szCs w:val="24"/>
        </w:rPr>
        <w:t xml:space="preserve"> </w:t>
      </w:r>
    </w:p>
    <w:p w14:paraId="0EE6A139" w14:textId="77777777" w:rsidR="00C55D68" w:rsidRPr="00AB559F" w:rsidRDefault="00C55D68" w:rsidP="00C55D68">
      <w:pPr>
        <w:rPr>
          <w:rFonts w:ascii="Arial" w:eastAsia="Arial" w:hAnsi="Arial" w:cs="Arial"/>
          <w:b/>
          <w:bCs/>
          <w:sz w:val="20"/>
          <w:szCs w:val="20"/>
        </w:rPr>
      </w:pPr>
      <w:r w:rsidRPr="00AB559F">
        <w:rPr>
          <w:rFonts w:ascii="Arial" w:eastAsia="Arial" w:hAnsi="Arial" w:cs="Arial"/>
          <w:b/>
          <w:bCs/>
          <w:sz w:val="20"/>
          <w:szCs w:val="20"/>
        </w:rPr>
        <w:t xml:space="preserve">Editor’s notes: </w:t>
      </w:r>
    </w:p>
    <w:p w14:paraId="40C3B44A" w14:textId="77777777" w:rsidR="00C55D68" w:rsidRPr="00386824" w:rsidRDefault="00C55D68" w:rsidP="00C55D68">
      <w:pPr>
        <w:rPr>
          <w:rFonts w:asciiTheme="minorHAnsi" w:hAnsiTheme="minorHAnsi" w:cstheme="minorHAnsi"/>
          <w:sz w:val="24"/>
          <w:szCs w:val="24"/>
        </w:rPr>
      </w:pPr>
      <w:r w:rsidRPr="00386824">
        <w:rPr>
          <w:rFonts w:asciiTheme="minorHAnsi" w:eastAsia="Arial" w:hAnsiTheme="minorHAnsi" w:cstheme="minorHAnsi"/>
          <w:sz w:val="24"/>
          <w:szCs w:val="24"/>
        </w:rPr>
        <w:t xml:space="preserve">a. </w:t>
      </w:r>
      <w:r w:rsidRPr="00386824">
        <w:rPr>
          <w:rFonts w:asciiTheme="minorHAnsi" w:hAnsiTheme="minorHAnsi" w:cstheme="minorHAnsi"/>
          <w:sz w:val="24"/>
          <w:szCs w:val="24"/>
        </w:rPr>
        <w:t>ICONIC-LEAD is a Phase 3 randomized controlled trial (RCT) evaluating the efficacy and safety of icotrokinra compared with placebo in 684 participants (icotrokinra=456; placebo=228) 12 years of age or older with moderate-to-severe plaque PsO, with the higher efficacy bar of PASI 90 and IGA score of 0/1 with at least a 2-grade improvement as co-primary endpoints. ICONIC-LEAD enrolled 66 adolescent patients.</w:t>
      </w:r>
    </w:p>
    <w:p w14:paraId="2EE857A5" w14:textId="77777777" w:rsidR="00C55D68" w:rsidRPr="00386824" w:rsidRDefault="00C55D68" w:rsidP="00C55D68">
      <w:pPr>
        <w:rPr>
          <w:rFonts w:asciiTheme="minorHAnsi" w:eastAsia="Arial" w:hAnsiTheme="minorHAnsi" w:cstheme="minorHAnsi"/>
          <w:sz w:val="24"/>
          <w:szCs w:val="24"/>
        </w:rPr>
      </w:pPr>
      <w:r w:rsidRPr="00386824">
        <w:rPr>
          <w:rFonts w:asciiTheme="minorHAnsi" w:eastAsia="Arial" w:hAnsiTheme="minorHAnsi" w:cstheme="minorHAnsi"/>
          <w:sz w:val="24"/>
          <w:szCs w:val="24"/>
        </w:rPr>
        <w:t>b. The IGA is a five-point scale with a severity score ranging from 0 to 4, where 0 indicates clear, 1 is minimal, 2 is mild, 3 is moderate and 4 indicates severe disease.</w:t>
      </w:r>
      <w:r w:rsidRPr="00386824">
        <w:rPr>
          <w:rStyle w:val="EndnoteReference"/>
          <w:rFonts w:asciiTheme="minorHAnsi" w:eastAsia="Arial" w:hAnsiTheme="minorHAnsi" w:cstheme="minorHAnsi"/>
          <w:sz w:val="24"/>
          <w:szCs w:val="24"/>
        </w:rPr>
        <w:endnoteReference w:id="5"/>
      </w:r>
    </w:p>
    <w:p w14:paraId="508CC8DD" w14:textId="79ACA89A" w:rsidR="00C55D68" w:rsidRPr="00386824" w:rsidRDefault="00C55D68" w:rsidP="00C55D68">
      <w:pPr>
        <w:rPr>
          <w:rFonts w:asciiTheme="minorHAnsi" w:eastAsia="Arial" w:hAnsiTheme="minorHAnsi" w:cstheme="minorHAnsi"/>
          <w:sz w:val="24"/>
          <w:szCs w:val="24"/>
          <w:vertAlign w:val="superscript"/>
        </w:rPr>
      </w:pPr>
      <w:r w:rsidRPr="00386824">
        <w:rPr>
          <w:rFonts w:asciiTheme="minorHAnsi" w:eastAsia="Arial" w:hAnsiTheme="minorHAnsi" w:cstheme="minorHAnsi"/>
          <w:sz w:val="24"/>
          <w:szCs w:val="24"/>
        </w:rPr>
        <w:t>c. The PASI score grades the amount of surface area on each body region that is covered by psoriasis plaques and the severity of plaques for their redness, thickness and scaliness.</w:t>
      </w:r>
      <w:bookmarkStart w:id="3" w:name="_Ref181879457"/>
      <w:r w:rsidRPr="00386824">
        <w:rPr>
          <w:rStyle w:val="EndnoteReference"/>
          <w:rFonts w:asciiTheme="minorHAnsi" w:eastAsia="Arial" w:hAnsiTheme="minorHAnsi" w:cstheme="minorHAnsi"/>
          <w:sz w:val="24"/>
          <w:szCs w:val="24"/>
        </w:rPr>
        <w:endnoteReference w:id="6"/>
      </w:r>
      <w:bookmarkEnd w:id="3"/>
      <w:r w:rsidRPr="00386824">
        <w:rPr>
          <w:rFonts w:asciiTheme="minorHAnsi" w:eastAsia="Arial" w:hAnsiTheme="minorHAnsi" w:cstheme="minorHAnsi"/>
          <w:sz w:val="24"/>
          <w:szCs w:val="24"/>
        </w:rPr>
        <w:t xml:space="preserve"> PASI 90 corresponds to an improvement of &gt;=90% in PASI score from baseline.</w:t>
      </w:r>
      <w:r w:rsidRPr="00386824">
        <w:rPr>
          <w:rFonts w:asciiTheme="minorHAnsi" w:eastAsia="Arial" w:hAnsiTheme="minorHAnsi" w:cstheme="minorHAnsi"/>
          <w:sz w:val="24"/>
          <w:szCs w:val="24"/>
          <w:vertAlign w:val="superscript"/>
        </w:rPr>
        <w:fldChar w:fldCharType="begin"/>
      </w:r>
      <w:r w:rsidRPr="00386824">
        <w:rPr>
          <w:rFonts w:asciiTheme="minorHAnsi" w:eastAsia="Arial" w:hAnsiTheme="minorHAnsi" w:cstheme="minorHAnsi"/>
          <w:sz w:val="24"/>
          <w:szCs w:val="24"/>
          <w:vertAlign w:val="superscript"/>
        </w:rPr>
        <w:instrText xml:space="preserve"> NOTEREF _Ref181879457 \h  \* MERGEFORMAT </w:instrText>
      </w:r>
      <w:r w:rsidRPr="00386824">
        <w:rPr>
          <w:rFonts w:asciiTheme="minorHAnsi" w:eastAsia="Arial" w:hAnsiTheme="minorHAnsi" w:cstheme="minorHAnsi"/>
          <w:sz w:val="24"/>
          <w:szCs w:val="24"/>
          <w:vertAlign w:val="superscript"/>
        </w:rPr>
      </w:r>
      <w:r w:rsidRPr="00386824">
        <w:rPr>
          <w:rFonts w:asciiTheme="minorHAnsi" w:eastAsia="Arial" w:hAnsiTheme="minorHAnsi" w:cstheme="minorHAnsi"/>
          <w:sz w:val="24"/>
          <w:szCs w:val="24"/>
          <w:vertAlign w:val="superscript"/>
        </w:rPr>
        <w:fldChar w:fldCharType="separate"/>
      </w:r>
      <w:r w:rsidRPr="00386824">
        <w:rPr>
          <w:rFonts w:asciiTheme="minorHAnsi" w:eastAsia="Arial" w:hAnsiTheme="minorHAnsi" w:cstheme="minorHAnsi"/>
          <w:sz w:val="24"/>
          <w:szCs w:val="24"/>
          <w:vertAlign w:val="superscript"/>
        </w:rPr>
        <w:t>5</w:t>
      </w:r>
      <w:r w:rsidRPr="00386824">
        <w:rPr>
          <w:rFonts w:asciiTheme="minorHAnsi" w:eastAsia="Arial" w:hAnsiTheme="minorHAnsi" w:cstheme="minorHAnsi"/>
          <w:sz w:val="24"/>
          <w:szCs w:val="24"/>
          <w:vertAlign w:val="superscript"/>
        </w:rPr>
        <w:fldChar w:fldCharType="end"/>
      </w:r>
    </w:p>
    <w:p w14:paraId="4402A31F" w14:textId="28EC1B6F" w:rsidR="00C55D68" w:rsidRPr="00386824" w:rsidRDefault="00C55D68" w:rsidP="00C55D68">
      <w:pPr>
        <w:rPr>
          <w:rFonts w:asciiTheme="minorHAnsi" w:eastAsia="Arial" w:hAnsiTheme="minorHAnsi" w:cstheme="minorHAnsi"/>
          <w:sz w:val="24"/>
          <w:szCs w:val="24"/>
        </w:rPr>
      </w:pPr>
      <w:r w:rsidRPr="00386824">
        <w:rPr>
          <w:rFonts w:asciiTheme="minorHAnsi" w:eastAsia="Arial" w:hAnsiTheme="minorHAnsi" w:cstheme="minorHAnsi"/>
          <w:sz w:val="24"/>
          <w:szCs w:val="24"/>
        </w:rPr>
        <w:t xml:space="preserve">d. ICONIC- ADVANCE 1 &amp; 2 are Phase 3 RCTs evaluating the efficacy and safety of icotrokinra compared with placebo and </w:t>
      </w:r>
      <w:proofErr w:type="spellStart"/>
      <w:r w:rsidRPr="00386824">
        <w:rPr>
          <w:rFonts w:asciiTheme="minorHAnsi" w:eastAsia="Arial" w:hAnsiTheme="minorHAnsi" w:cstheme="minorHAnsi"/>
          <w:sz w:val="24"/>
          <w:szCs w:val="24"/>
        </w:rPr>
        <w:t>deucravacitinib</w:t>
      </w:r>
      <w:proofErr w:type="spellEnd"/>
      <w:r w:rsidRPr="00386824">
        <w:rPr>
          <w:rFonts w:asciiTheme="minorHAnsi" w:eastAsia="Arial" w:hAnsiTheme="minorHAnsi" w:cstheme="minorHAnsi"/>
          <w:sz w:val="24"/>
          <w:szCs w:val="24"/>
        </w:rPr>
        <w:t xml:space="preserve"> in participants with </w:t>
      </w:r>
      <w:r w:rsidRPr="00386824">
        <w:rPr>
          <w:rFonts w:asciiTheme="minorHAnsi" w:eastAsia="Arial" w:hAnsiTheme="minorHAnsi" w:cstheme="minorHAnsi"/>
          <w:color w:val="000000" w:themeColor="text1"/>
          <w:sz w:val="24"/>
          <w:szCs w:val="24"/>
        </w:rPr>
        <w:t xml:space="preserve">moderate-to-severe </w:t>
      </w:r>
      <w:r w:rsidRPr="00386824">
        <w:rPr>
          <w:rFonts w:asciiTheme="minorHAnsi" w:eastAsia="Arial" w:hAnsiTheme="minorHAnsi" w:cstheme="minorHAnsi"/>
          <w:sz w:val="24"/>
          <w:szCs w:val="24"/>
        </w:rPr>
        <w:t xml:space="preserve">plaque PsO with </w:t>
      </w:r>
      <w:r w:rsidRPr="00386824">
        <w:rPr>
          <w:rFonts w:asciiTheme="minorHAnsi" w:hAnsiTheme="minorHAnsi" w:cstheme="minorHAnsi"/>
          <w:sz w:val="24"/>
          <w:szCs w:val="24"/>
        </w:rPr>
        <w:t>PASI 90 and IGA score of 0/1 with at least a 2-grade improvement as co-primary endpoints.</w:t>
      </w:r>
    </w:p>
    <w:p w14:paraId="3438B820" w14:textId="66A793CC" w:rsidR="00C55D68" w:rsidRPr="00386824" w:rsidRDefault="00C55D68" w:rsidP="00C55D68">
      <w:pPr>
        <w:rPr>
          <w:rFonts w:asciiTheme="minorHAnsi" w:eastAsia="Arial" w:hAnsiTheme="minorHAnsi" w:cstheme="minorHAnsi"/>
          <w:sz w:val="24"/>
          <w:szCs w:val="24"/>
        </w:rPr>
      </w:pPr>
      <w:bookmarkStart w:id="4" w:name="_Hlk190766888"/>
      <w:r w:rsidRPr="00386824">
        <w:rPr>
          <w:rFonts w:asciiTheme="minorHAnsi" w:eastAsia="Arial" w:hAnsiTheme="minorHAnsi" w:cstheme="minorHAnsi"/>
          <w:sz w:val="24"/>
          <w:szCs w:val="24"/>
        </w:rPr>
        <w:t>e. ICONIC-ASCEND is a Phase 3 RCT and the first-ever head-to-head study seeking to demonstrate the superiority of an oral pill, i</w:t>
      </w:r>
      <w:r w:rsidRPr="00386824">
        <w:rPr>
          <w:rFonts w:asciiTheme="minorHAnsi" w:eastAsia="Arial" w:hAnsiTheme="minorHAnsi" w:cstheme="minorHAnsi"/>
          <w:color w:val="000000" w:themeColor="text1"/>
          <w:sz w:val="24"/>
          <w:szCs w:val="24"/>
        </w:rPr>
        <w:t>cotrokinra,</w:t>
      </w:r>
      <w:r w:rsidRPr="00386824">
        <w:rPr>
          <w:rFonts w:asciiTheme="minorHAnsi" w:eastAsia="Arial" w:hAnsiTheme="minorHAnsi" w:cstheme="minorHAnsi"/>
          <w:sz w:val="24"/>
          <w:szCs w:val="24"/>
        </w:rPr>
        <w:t xml:space="preserve"> compared to an injectable biologic, </w:t>
      </w:r>
      <w:proofErr w:type="spellStart"/>
      <w:r w:rsidRPr="00386824">
        <w:rPr>
          <w:rFonts w:asciiTheme="minorHAnsi" w:eastAsia="Arial" w:hAnsiTheme="minorHAnsi" w:cstheme="minorHAnsi"/>
          <w:color w:val="000000" w:themeColor="text1"/>
          <w:sz w:val="24"/>
          <w:szCs w:val="24"/>
        </w:rPr>
        <w:t>ustekinumab</w:t>
      </w:r>
      <w:proofErr w:type="spellEnd"/>
      <w:r w:rsidRPr="00386824">
        <w:rPr>
          <w:rFonts w:asciiTheme="minorHAnsi" w:eastAsia="Arial" w:hAnsiTheme="minorHAnsi" w:cstheme="minorHAnsi"/>
          <w:color w:val="000000" w:themeColor="text1"/>
          <w:sz w:val="24"/>
          <w:szCs w:val="24"/>
        </w:rPr>
        <w:t xml:space="preserve"> in </w:t>
      </w:r>
      <w:r w:rsidRPr="00386824">
        <w:rPr>
          <w:rFonts w:asciiTheme="minorHAnsi" w:eastAsia="Arial" w:hAnsiTheme="minorHAnsi" w:cstheme="minorHAnsi"/>
          <w:sz w:val="24"/>
          <w:szCs w:val="24"/>
        </w:rPr>
        <w:t>moderate-to-severe plaque PsO.</w:t>
      </w:r>
    </w:p>
    <w:p w14:paraId="7EEBE87C" w14:textId="77777777" w:rsidR="00C55D68" w:rsidRPr="00386824" w:rsidRDefault="00C55D68" w:rsidP="00C55D68">
      <w:pPr>
        <w:rPr>
          <w:rFonts w:asciiTheme="minorHAnsi" w:eastAsia="Arial" w:hAnsiTheme="minorHAnsi" w:cstheme="minorHAnsi"/>
          <w:sz w:val="24"/>
          <w:szCs w:val="24"/>
        </w:rPr>
      </w:pPr>
    </w:p>
    <w:bookmarkEnd w:id="4"/>
    <w:p w14:paraId="7EFC719F" w14:textId="71DA9FFF" w:rsidR="00C55D68" w:rsidRPr="00386824" w:rsidRDefault="00C55D68" w:rsidP="00C55D68">
      <w:pPr>
        <w:rPr>
          <w:rFonts w:asciiTheme="minorHAnsi" w:eastAsia="Arial" w:hAnsiTheme="minorHAnsi" w:cstheme="minorHAnsi"/>
          <w:sz w:val="24"/>
          <w:szCs w:val="24"/>
        </w:rPr>
      </w:pPr>
      <w:r w:rsidRPr="00386824">
        <w:rPr>
          <w:rFonts w:asciiTheme="minorHAnsi" w:eastAsia="Arial" w:hAnsiTheme="minorHAnsi" w:cstheme="minorHAnsi"/>
          <w:b/>
          <w:bCs/>
          <w:sz w:val="24"/>
          <w:szCs w:val="24"/>
        </w:rPr>
        <w:t>About the ICONIC Clinical Development Program</w:t>
      </w:r>
      <w:r w:rsidRPr="00386824">
        <w:rPr>
          <w:rFonts w:asciiTheme="minorHAnsi" w:hAnsiTheme="minorHAnsi" w:cstheme="minorHAnsi"/>
          <w:sz w:val="24"/>
          <w:szCs w:val="24"/>
        </w:rPr>
        <w:br/>
      </w:r>
      <w:r w:rsidRPr="00386824">
        <w:rPr>
          <w:rFonts w:asciiTheme="minorHAnsi" w:eastAsia="Arial" w:hAnsiTheme="minorHAnsi" w:cstheme="minorHAnsi"/>
          <w:sz w:val="24"/>
          <w:szCs w:val="24"/>
        </w:rPr>
        <w:t xml:space="preserve">The pivotal Phase 3 ICONIC clinical development program of icotrokinra (JNJ-2113) in adult and adolescent </w:t>
      </w:r>
      <w:r w:rsidRPr="00386824" w:rsidDel="00DD7BBE">
        <w:rPr>
          <w:rFonts w:asciiTheme="minorHAnsi" w:eastAsia="Arial" w:hAnsiTheme="minorHAnsi" w:cstheme="minorHAnsi"/>
          <w:sz w:val="24"/>
          <w:szCs w:val="24"/>
        </w:rPr>
        <w:t xml:space="preserve">individuals </w:t>
      </w:r>
      <w:r w:rsidRPr="00386824">
        <w:rPr>
          <w:rFonts w:asciiTheme="minorHAnsi" w:eastAsia="Arial" w:hAnsiTheme="minorHAnsi" w:cstheme="minorHAnsi"/>
          <w:sz w:val="24"/>
          <w:szCs w:val="24"/>
        </w:rPr>
        <w:t>with moderate-to-severe plaque PsO was initiated with two studies in Q4 2023 – ICONIC-LEAD and ICONIC-TOTAL – pursuant to the license and collaboration agreement between Protagonist Therapeutics, Inc. and Janssen Biotech, Inc., a Johnson &amp; Johson company.</w:t>
      </w:r>
      <w:r w:rsidRPr="00386824">
        <w:rPr>
          <w:rStyle w:val="EndnoteReference"/>
          <w:rFonts w:asciiTheme="minorHAnsi" w:eastAsia="Arial" w:hAnsiTheme="minorHAnsi" w:cstheme="minorHAnsi"/>
          <w:sz w:val="24"/>
          <w:szCs w:val="24"/>
        </w:rPr>
        <w:endnoteReference w:id="7"/>
      </w:r>
      <w:r w:rsidRPr="00386824">
        <w:rPr>
          <w:rFonts w:asciiTheme="minorHAnsi" w:eastAsia="Arial" w:hAnsiTheme="minorHAnsi" w:cstheme="minorHAnsi"/>
          <w:sz w:val="24"/>
          <w:szCs w:val="24"/>
        </w:rPr>
        <w:t xml:space="preserve"> </w:t>
      </w:r>
      <w:r w:rsidR="003A4C4F">
        <w:rPr>
          <w:rFonts w:asciiTheme="minorHAnsi" w:eastAsia="Arial" w:hAnsiTheme="minorHAnsi" w:cstheme="minorHAnsi"/>
          <w:sz w:val="24"/>
          <w:szCs w:val="24"/>
        </w:rPr>
        <w:t>The ICONIC clinical development program is being conducted by Johnson and Johnson.</w:t>
      </w:r>
    </w:p>
    <w:p w14:paraId="359FE456" w14:textId="77777777" w:rsidR="00C55D68" w:rsidRPr="00386824" w:rsidRDefault="00C55D68" w:rsidP="00C55D68">
      <w:pPr>
        <w:rPr>
          <w:rFonts w:asciiTheme="minorHAnsi" w:eastAsia="Arial" w:hAnsiTheme="minorHAnsi" w:cstheme="minorHAnsi"/>
          <w:sz w:val="24"/>
          <w:szCs w:val="24"/>
        </w:rPr>
      </w:pPr>
      <w:r w:rsidRPr="00386824">
        <w:rPr>
          <w:rFonts w:asciiTheme="minorHAnsi" w:eastAsia="Arial" w:hAnsiTheme="minorHAnsi" w:cstheme="minorHAnsi"/>
          <w:sz w:val="24"/>
          <w:szCs w:val="24"/>
        </w:rPr>
        <w:t>ICONIC-LEAD (</w:t>
      </w:r>
      <w:hyperlink r:id="rId12" w:history="1">
        <w:r w:rsidRPr="00386824">
          <w:rPr>
            <w:rStyle w:val="Hyperlink"/>
            <w:rFonts w:asciiTheme="minorHAnsi" w:eastAsia="Arial" w:hAnsiTheme="minorHAnsi" w:cstheme="minorHAnsi"/>
            <w:sz w:val="24"/>
            <w:szCs w:val="24"/>
          </w:rPr>
          <w:t>NCT06095115</w:t>
        </w:r>
      </w:hyperlink>
      <w:r w:rsidRPr="00386824">
        <w:rPr>
          <w:rFonts w:asciiTheme="minorHAnsi" w:eastAsia="Arial" w:hAnsiTheme="minorHAnsi" w:cstheme="minorHAnsi"/>
          <w:sz w:val="24"/>
          <w:szCs w:val="24"/>
        </w:rPr>
        <w:t xml:space="preserve">) is a randomized controlled trial (RCT) to evaluate the efficacy and safety of icotrokinra compared with placebo in </w:t>
      </w:r>
      <w:r w:rsidRPr="00386824" w:rsidDel="00DD7BBE">
        <w:rPr>
          <w:rFonts w:asciiTheme="minorHAnsi" w:eastAsia="Arial" w:hAnsiTheme="minorHAnsi" w:cstheme="minorHAnsi"/>
          <w:sz w:val="24"/>
          <w:szCs w:val="24"/>
        </w:rPr>
        <w:t xml:space="preserve">participants </w:t>
      </w:r>
      <w:r w:rsidRPr="00386824">
        <w:rPr>
          <w:rFonts w:asciiTheme="minorHAnsi" w:eastAsia="Arial" w:hAnsiTheme="minorHAnsi" w:cstheme="minorHAnsi"/>
          <w:sz w:val="24"/>
          <w:szCs w:val="24"/>
        </w:rPr>
        <w:t>with moderate-to-severe plaque PsO, with PASI 90 and IGA score of 0 or 1 with at least a 2-grade improvement as co-primary endpoints.</w:t>
      </w:r>
      <w:bookmarkStart w:id="5" w:name="_Ref177732481"/>
      <w:r w:rsidRPr="00386824">
        <w:rPr>
          <w:rStyle w:val="EndnoteReference"/>
          <w:rFonts w:asciiTheme="minorHAnsi" w:eastAsia="Arial" w:hAnsiTheme="minorHAnsi" w:cstheme="minorHAnsi"/>
          <w:sz w:val="24"/>
          <w:szCs w:val="24"/>
        </w:rPr>
        <w:endnoteReference w:id="8"/>
      </w:r>
      <w:bookmarkEnd w:id="5"/>
    </w:p>
    <w:p w14:paraId="52078F95" w14:textId="77777777" w:rsidR="00C55D68" w:rsidRPr="00386824" w:rsidRDefault="00C55D68" w:rsidP="00C55D68">
      <w:pPr>
        <w:rPr>
          <w:rFonts w:asciiTheme="minorHAnsi" w:eastAsia="Arial" w:hAnsiTheme="minorHAnsi" w:cstheme="minorHAnsi"/>
          <w:sz w:val="24"/>
          <w:szCs w:val="24"/>
        </w:rPr>
      </w:pPr>
      <w:r w:rsidRPr="00386824">
        <w:rPr>
          <w:rFonts w:asciiTheme="minorHAnsi" w:eastAsia="Arial" w:hAnsiTheme="minorHAnsi" w:cstheme="minorHAnsi"/>
          <w:sz w:val="24"/>
          <w:szCs w:val="24"/>
        </w:rPr>
        <w:t>ICONIC-TOTAL (</w:t>
      </w:r>
      <w:hyperlink r:id="rId13" w:history="1">
        <w:r w:rsidRPr="00386824">
          <w:rPr>
            <w:rStyle w:val="Hyperlink"/>
            <w:rFonts w:asciiTheme="minorHAnsi" w:eastAsia="Arial" w:hAnsiTheme="minorHAnsi" w:cstheme="minorHAnsi"/>
            <w:sz w:val="24"/>
            <w:szCs w:val="24"/>
          </w:rPr>
          <w:t>NCT06095102</w:t>
        </w:r>
      </w:hyperlink>
      <w:r w:rsidRPr="00386824">
        <w:rPr>
          <w:rFonts w:asciiTheme="minorHAnsi" w:eastAsia="Arial" w:hAnsiTheme="minorHAnsi" w:cstheme="minorHAnsi"/>
          <w:sz w:val="24"/>
          <w:szCs w:val="24"/>
        </w:rPr>
        <w:t xml:space="preserve">) is a RCT to evaluate the efficacy and safety of icotrokinra compared with placebo for the treatment of PsO in </w:t>
      </w:r>
      <w:r w:rsidRPr="00386824" w:rsidDel="00DD7BBE">
        <w:rPr>
          <w:rFonts w:asciiTheme="minorHAnsi" w:eastAsia="Arial" w:hAnsiTheme="minorHAnsi" w:cstheme="minorHAnsi"/>
          <w:sz w:val="24"/>
          <w:szCs w:val="24"/>
        </w:rPr>
        <w:t xml:space="preserve">participants </w:t>
      </w:r>
      <w:r w:rsidRPr="00386824">
        <w:rPr>
          <w:rFonts w:asciiTheme="minorHAnsi" w:eastAsia="Arial" w:hAnsiTheme="minorHAnsi" w:cstheme="minorHAnsi"/>
          <w:sz w:val="24"/>
          <w:szCs w:val="24"/>
        </w:rPr>
        <w:t>with at least moderate severity affecting special areas (e.g., scalp, genital, and/or hands and feet) with overall IGA score of 0 or 1 with at least a 2-grade improvement as the primary endpoint.</w:t>
      </w:r>
      <w:bookmarkStart w:id="6" w:name="_Ref177732504"/>
      <w:r w:rsidRPr="00386824">
        <w:rPr>
          <w:rStyle w:val="EndnoteReference"/>
          <w:rFonts w:asciiTheme="minorHAnsi" w:eastAsia="Arial" w:hAnsiTheme="minorHAnsi" w:cstheme="minorHAnsi"/>
          <w:sz w:val="24"/>
          <w:szCs w:val="24"/>
        </w:rPr>
        <w:endnoteReference w:id="9"/>
      </w:r>
      <w:bookmarkEnd w:id="6"/>
    </w:p>
    <w:p w14:paraId="071C26E4" w14:textId="77777777" w:rsidR="00C55D68" w:rsidRPr="00386824" w:rsidRDefault="00C55D68" w:rsidP="00C55D68">
      <w:pPr>
        <w:rPr>
          <w:rFonts w:asciiTheme="minorHAnsi" w:eastAsia="Arial" w:hAnsiTheme="minorHAnsi" w:cstheme="minorHAnsi"/>
          <w:sz w:val="24"/>
          <w:szCs w:val="24"/>
        </w:rPr>
      </w:pPr>
      <w:r w:rsidRPr="00386824">
        <w:rPr>
          <w:rFonts w:asciiTheme="minorHAnsi" w:eastAsia="Arial" w:hAnsiTheme="minorHAnsi" w:cstheme="minorHAnsi"/>
          <w:sz w:val="24"/>
          <w:szCs w:val="24"/>
        </w:rPr>
        <w:t>Other Phase 3 studies in the development program include ICONIC-ADVANCE 1 (</w:t>
      </w:r>
      <w:hyperlink r:id="rId14">
        <w:r w:rsidRPr="00386824">
          <w:rPr>
            <w:rStyle w:val="Hyperlink"/>
            <w:rFonts w:asciiTheme="minorHAnsi" w:eastAsia="Arial" w:hAnsiTheme="minorHAnsi" w:cstheme="minorHAnsi"/>
            <w:sz w:val="24"/>
            <w:szCs w:val="24"/>
          </w:rPr>
          <w:t>NCT06143878</w:t>
        </w:r>
      </w:hyperlink>
      <w:r w:rsidRPr="00386824">
        <w:rPr>
          <w:rFonts w:asciiTheme="minorHAnsi" w:eastAsia="Arial" w:hAnsiTheme="minorHAnsi" w:cstheme="minorHAnsi"/>
          <w:sz w:val="24"/>
          <w:szCs w:val="24"/>
        </w:rPr>
        <w:t>) and ICONIC-ADVANCE 2 (</w:t>
      </w:r>
      <w:hyperlink r:id="rId15" w:history="1">
        <w:r w:rsidRPr="00386824">
          <w:rPr>
            <w:rStyle w:val="Hyperlink"/>
            <w:rFonts w:asciiTheme="minorHAnsi" w:eastAsia="Arial" w:hAnsiTheme="minorHAnsi" w:cstheme="minorHAnsi"/>
            <w:sz w:val="24"/>
            <w:szCs w:val="24"/>
          </w:rPr>
          <w:t>NCT06220604</w:t>
        </w:r>
      </w:hyperlink>
      <w:r w:rsidRPr="00386824">
        <w:rPr>
          <w:rFonts w:asciiTheme="minorHAnsi" w:eastAsia="Arial" w:hAnsiTheme="minorHAnsi" w:cstheme="minorHAnsi"/>
          <w:sz w:val="24"/>
          <w:szCs w:val="24"/>
        </w:rPr>
        <w:t xml:space="preserve">), which are evaluating the efficacy and safety of icotrokinra compared with both placebo and </w:t>
      </w:r>
      <w:proofErr w:type="spellStart"/>
      <w:r w:rsidRPr="00386824">
        <w:rPr>
          <w:rFonts w:asciiTheme="minorHAnsi" w:eastAsia="Arial" w:hAnsiTheme="minorHAnsi" w:cstheme="minorHAnsi"/>
          <w:sz w:val="24"/>
          <w:szCs w:val="24"/>
        </w:rPr>
        <w:t>deucravacitinib</w:t>
      </w:r>
      <w:proofErr w:type="spellEnd"/>
      <w:r w:rsidRPr="00386824">
        <w:rPr>
          <w:rFonts w:asciiTheme="minorHAnsi" w:eastAsia="Arial" w:hAnsiTheme="minorHAnsi" w:cstheme="minorHAnsi"/>
          <w:sz w:val="24"/>
          <w:szCs w:val="24"/>
        </w:rPr>
        <w:t xml:space="preserve"> in </w:t>
      </w:r>
      <w:r w:rsidRPr="00386824" w:rsidDel="00DD7BBE">
        <w:rPr>
          <w:rFonts w:asciiTheme="minorHAnsi" w:eastAsia="Arial" w:hAnsiTheme="minorHAnsi" w:cstheme="minorHAnsi"/>
          <w:sz w:val="24"/>
          <w:szCs w:val="24"/>
        </w:rPr>
        <w:t xml:space="preserve">adults </w:t>
      </w:r>
      <w:r w:rsidRPr="00386824">
        <w:rPr>
          <w:rFonts w:asciiTheme="minorHAnsi" w:eastAsia="Arial" w:hAnsiTheme="minorHAnsi" w:cstheme="minorHAnsi"/>
          <w:sz w:val="24"/>
          <w:szCs w:val="24"/>
        </w:rPr>
        <w:t>with moderate-to-severe plaque PsO.</w:t>
      </w:r>
      <w:r w:rsidRPr="00386824">
        <w:rPr>
          <w:rStyle w:val="EndnoteReference"/>
          <w:rFonts w:asciiTheme="minorHAnsi" w:eastAsia="Arial" w:hAnsiTheme="minorHAnsi" w:cstheme="minorHAnsi"/>
          <w:sz w:val="24"/>
          <w:szCs w:val="24"/>
        </w:rPr>
        <w:endnoteReference w:id="10"/>
      </w:r>
      <w:r w:rsidRPr="00386824">
        <w:rPr>
          <w:rFonts w:asciiTheme="minorHAnsi" w:eastAsia="Arial" w:hAnsiTheme="minorHAnsi" w:cstheme="minorHAnsi"/>
          <w:sz w:val="24"/>
          <w:szCs w:val="24"/>
          <w:vertAlign w:val="superscript"/>
        </w:rPr>
        <w:t>,</w:t>
      </w:r>
      <w:r w:rsidRPr="00386824">
        <w:rPr>
          <w:rStyle w:val="EndnoteReference"/>
          <w:rFonts w:asciiTheme="minorHAnsi" w:eastAsia="Arial" w:hAnsiTheme="minorHAnsi" w:cstheme="minorHAnsi"/>
          <w:sz w:val="24"/>
          <w:szCs w:val="24"/>
        </w:rPr>
        <w:endnoteReference w:id="11"/>
      </w:r>
      <w:r w:rsidRPr="00386824">
        <w:rPr>
          <w:rStyle w:val="EndnoteReference"/>
          <w:rFonts w:asciiTheme="minorHAnsi" w:eastAsia="Arial" w:hAnsiTheme="minorHAnsi" w:cstheme="minorHAnsi"/>
          <w:sz w:val="24"/>
          <w:szCs w:val="24"/>
        </w:rPr>
        <w:t xml:space="preserve"> </w:t>
      </w:r>
      <w:r w:rsidRPr="00386824">
        <w:rPr>
          <w:rFonts w:asciiTheme="minorHAnsi" w:eastAsia="Arial" w:hAnsiTheme="minorHAnsi" w:cstheme="minorHAnsi"/>
          <w:sz w:val="24"/>
          <w:szCs w:val="24"/>
        </w:rPr>
        <w:t xml:space="preserve">ICONIC-ASCEND will evaluate the efficacy and safety of icotrokinra compared with placebo and </w:t>
      </w:r>
      <w:proofErr w:type="spellStart"/>
      <w:r w:rsidRPr="00386824">
        <w:rPr>
          <w:rFonts w:asciiTheme="minorHAnsi" w:eastAsia="Arial" w:hAnsiTheme="minorHAnsi" w:cstheme="minorHAnsi"/>
          <w:sz w:val="24"/>
          <w:szCs w:val="24"/>
        </w:rPr>
        <w:t>ustekinumab</w:t>
      </w:r>
      <w:proofErr w:type="spellEnd"/>
      <w:r w:rsidRPr="00386824">
        <w:rPr>
          <w:rFonts w:asciiTheme="minorHAnsi" w:eastAsia="Arial" w:hAnsiTheme="minorHAnsi" w:cstheme="minorHAnsi"/>
          <w:sz w:val="24"/>
          <w:szCs w:val="24"/>
        </w:rPr>
        <w:t xml:space="preserve"> in participants with moderate-to-severe plaque psoriasis. ICONIC-PsA 2 (</w:t>
      </w:r>
      <w:hyperlink r:id="rId16" w:anchor="study-overview" w:history="1">
        <w:r w:rsidRPr="00386824">
          <w:rPr>
            <w:rStyle w:val="Hyperlink"/>
            <w:rFonts w:asciiTheme="minorHAnsi" w:eastAsia="Arial" w:hAnsiTheme="minorHAnsi" w:cstheme="minorHAnsi"/>
            <w:sz w:val="24"/>
            <w:szCs w:val="24"/>
          </w:rPr>
          <w:t>NCT06807424</w:t>
        </w:r>
      </w:hyperlink>
      <w:r w:rsidRPr="00386824">
        <w:rPr>
          <w:rFonts w:asciiTheme="minorHAnsi" w:eastAsia="Arial" w:hAnsiTheme="minorHAnsi" w:cstheme="minorHAnsi"/>
          <w:sz w:val="24"/>
          <w:szCs w:val="24"/>
        </w:rPr>
        <w:t>) will evaluate the efficacy and safety of icotrokinra compared to placebo in participants with active psoriatic arthritis.</w:t>
      </w:r>
    </w:p>
    <w:p w14:paraId="54034723" w14:textId="77777777" w:rsidR="00386824" w:rsidRDefault="00386824" w:rsidP="00C55D68">
      <w:pPr>
        <w:rPr>
          <w:rFonts w:asciiTheme="minorHAnsi" w:eastAsia="Arial" w:hAnsiTheme="minorHAnsi" w:cstheme="minorHAnsi"/>
          <w:b/>
          <w:bCs/>
          <w:sz w:val="24"/>
          <w:szCs w:val="24"/>
        </w:rPr>
      </w:pPr>
    </w:p>
    <w:p w14:paraId="65948CB3" w14:textId="5D1E9AB8" w:rsidR="00C55D68" w:rsidRDefault="00C55D68" w:rsidP="00386824">
      <w:pPr>
        <w:rPr>
          <w:rFonts w:asciiTheme="minorHAnsi" w:eastAsia="Arial" w:hAnsiTheme="minorHAnsi" w:cstheme="minorHAnsi"/>
          <w:sz w:val="24"/>
          <w:szCs w:val="24"/>
          <w:vertAlign w:val="superscript"/>
        </w:rPr>
      </w:pPr>
      <w:r w:rsidRPr="00386824">
        <w:rPr>
          <w:rFonts w:asciiTheme="minorHAnsi" w:eastAsia="Arial" w:hAnsiTheme="minorHAnsi" w:cstheme="minorHAnsi"/>
          <w:b/>
          <w:bCs/>
          <w:sz w:val="24"/>
          <w:szCs w:val="24"/>
        </w:rPr>
        <w:t>About Plaque Psoriasis</w:t>
      </w:r>
      <w:r w:rsidRPr="00386824">
        <w:rPr>
          <w:rFonts w:asciiTheme="minorHAnsi" w:hAnsiTheme="minorHAnsi" w:cstheme="minorHAnsi"/>
          <w:sz w:val="24"/>
          <w:szCs w:val="24"/>
        </w:rPr>
        <w:br/>
      </w:r>
      <w:r w:rsidRPr="00386824">
        <w:rPr>
          <w:rFonts w:asciiTheme="minorHAnsi" w:eastAsia="Arial" w:hAnsiTheme="minorHAnsi" w:cstheme="minorHAnsi"/>
          <w:sz w:val="24"/>
          <w:szCs w:val="24"/>
        </w:rPr>
        <w:t>Plaque psoriasis (PsO) is a chronic immune-mediated disease resulting in overproduction of skin cells, which causes inflamed, scaly plaques that may be itchy or painful.</w:t>
      </w:r>
      <w:r w:rsidRPr="00386824">
        <w:rPr>
          <w:rStyle w:val="EndnoteReference"/>
          <w:rFonts w:asciiTheme="minorHAnsi" w:eastAsia="Arial" w:hAnsiTheme="minorHAnsi" w:cstheme="minorHAnsi"/>
          <w:sz w:val="24"/>
          <w:szCs w:val="24"/>
        </w:rPr>
        <w:endnoteReference w:id="12"/>
      </w:r>
      <w:r w:rsidRPr="00386824">
        <w:rPr>
          <w:rFonts w:asciiTheme="minorHAnsi" w:eastAsia="Arial" w:hAnsiTheme="minorHAnsi" w:cstheme="minorHAnsi"/>
          <w:sz w:val="24"/>
          <w:szCs w:val="24"/>
        </w:rPr>
        <w:t xml:space="preserve"> It is estimated that 8 million Americans and more than 125 million people worldwide live with the disease.</w:t>
      </w:r>
      <w:bookmarkStart w:id="7" w:name="_Ref177653859"/>
      <w:r w:rsidRPr="00386824">
        <w:rPr>
          <w:rStyle w:val="EndnoteReference"/>
          <w:rFonts w:asciiTheme="minorHAnsi" w:eastAsia="Arial" w:hAnsiTheme="minorHAnsi" w:cstheme="minorHAnsi"/>
          <w:sz w:val="24"/>
          <w:szCs w:val="24"/>
        </w:rPr>
        <w:endnoteReference w:id="13"/>
      </w:r>
      <w:bookmarkEnd w:id="7"/>
      <w:r w:rsidRPr="00386824">
        <w:rPr>
          <w:rFonts w:asciiTheme="minorHAnsi" w:eastAsia="Arial" w:hAnsiTheme="minorHAnsi" w:cstheme="minorHAnsi"/>
          <w:sz w:val="24"/>
          <w:szCs w:val="24"/>
        </w:rPr>
        <w:t xml:space="preserve"> Nearly one-quarter of all people with plaque PsO have cases that are considered moderate to severe.</w:t>
      </w:r>
      <w:r w:rsidR="00386824">
        <w:rPr>
          <w:rFonts w:asciiTheme="minorHAnsi" w:eastAsia="Arial" w:hAnsiTheme="minorHAnsi" w:cstheme="minorHAnsi"/>
          <w:sz w:val="24"/>
          <w:szCs w:val="24"/>
          <w:vertAlign w:val="superscript"/>
        </w:rPr>
        <w:t xml:space="preserve"> xi</w:t>
      </w:r>
      <w:r w:rsidRPr="00386824">
        <w:rPr>
          <w:rFonts w:asciiTheme="minorHAnsi" w:eastAsia="Arial" w:hAnsiTheme="minorHAnsi" w:cstheme="minorHAnsi"/>
          <w:sz w:val="24"/>
          <w:szCs w:val="24"/>
          <w:vertAlign w:val="superscript"/>
        </w:rPr>
        <w:t xml:space="preserve"> </w:t>
      </w:r>
      <w:r w:rsidRPr="00386824">
        <w:rPr>
          <w:rFonts w:asciiTheme="minorHAnsi" w:eastAsia="Arial" w:hAnsiTheme="minorHAnsi" w:cstheme="minorHAnsi"/>
          <w:sz w:val="24"/>
          <w:szCs w:val="24"/>
        </w:rPr>
        <w:t>On Caucasian skin, plaques typically appear as raised, red patches covered with a silvery white buildup of dead skin cells or scale.</w:t>
      </w:r>
      <w:bookmarkStart w:id="8" w:name="_Ref178006363"/>
      <w:r w:rsidRPr="00386824">
        <w:rPr>
          <w:rStyle w:val="EndnoteReference"/>
          <w:rFonts w:asciiTheme="minorHAnsi" w:eastAsia="Arial" w:hAnsiTheme="minorHAnsi" w:cstheme="minorHAnsi"/>
          <w:sz w:val="24"/>
          <w:szCs w:val="24"/>
        </w:rPr>
        <w:endnoteReference w:id="14"/>
      </w:r>
      <w:bookmarkEnd w:id="8"/>
      <w:r w:rsidRPr="00386824">
        <w:rPr>
          <w:rFonts w:asciiTheme="minorHAnsi" w:eastAsia="Arial" w:hAnsiTheme="minorHAnsi" w:cstheme="minorHAnsi"/>
          <w:sz w:val="24"/>
          <w:szCs w:val="24"/>
        </w:rPr>
        <w:t xml:space="preserve"> On skin of color, the plaques may appear darker and thicker and more of a purple, gray or dark brown </w:t>
      </w:r>
      <w:proofErr w:type="spellStart"/>
      <w:r w:rsidRPr="00386824">
        <w:rPr>
          <w:rFonts w:asciiTheme="minorHAnsi" w:eastAsia="Arial" w:hAnsiTheme="minorHAnsi" w:cstheme="minorHAnsi"/>
          <w:sz w:val="24"/>
          <w:szCs w:val="24"/>
        </w:rPr>
        <w:t>color.</w:t>
      </w:r>
      <w:r w:rsidR="00386824">
        <w:rPr>
          <w:rFonts w:asciiTheme="minorHAnsi" w:eastAsia="Arial" w:hAnsiTheme="minorHAnsi" w:cstheme="minorHAnsi"/>
          <w:sz w:val="24"/>
          <w:szCs w:val="24"/>
          <w:vertAlign w:val="superscript"/>
        </w:rPr>
        <w:t>xii</w:t>
      </w:r>
      <w:proofErr w:type="spellEnd"/>
      <w:r w:rsidRPr="00386824">
        <w:rPr>
          <w:rFonts w:asciiTheme="minorHAnsi" w:eastAsia="Arial" w:hAnsiTheme="minorHAnsi" w:cstheme="minorHAnsi"/>
          <w:sz w:val="24"/>
          <w:szCs w:val="24"/>
        </w:rPr>
        <w:t xml:space="preserve"> Plaques can appear anywhere on the body, although they most often appear on the scalp, knees, elbows and </w:t>
      </w:r>
      <w:proofErr w:type="spellStart"/>
      <w:r w:rsidRPr="00386824">
        <w:rPr>
          <w:rFonts w:asciiTheme="minorHAnsi" w:eastAsia="Arial" w:hAnsiTheme="minorHAnsi" w:cstheme="minorHAnsi"/>
          <w:sz w:val="24"/>
          <w:szCs w:val="24"/>
        </w:rPr>
        <w:t>torso.</w:t>
      </w:r>
      <w:r w:rsidR="00386824">
        <w:rPr>
          <w:rFonts w:asciiTheme="minorHAnsi" w:eastAsia="Arial" w:hAnsiTheme="minorHAnsi" w:cstheme="minorHAnsi"/>
          <w:sz w:val="24"/>
          <w:szCs w:val="24"/>
          <w:vertAlign w:val="superscript"/>
        </w:rPr>
        <w:t>xii</w:t>
      </w:r>
      <w:proofErr w:type="spellEnd"/>
      <w:r w:rsidRPr="00386824">
        <w:rPr>
          <w:rFonts w:asciiTheme="minorHAnsi" w:eastAsia="Arial" w:hAnsiTheme="minorHAnsi" w:cstheme="minorHAnsi"/>
          <w:sz w:val="24"/>
          <w:szCs w:val="24"/>
          <w:vertAlign w:val="superscript"/>
        </w:rPr>
        <w:t xml:space="preserve"> </w:t>
      </w:r>
      <w:r w:rsidRPr="00386824">
        <w:rPr>
          <w:rFonts w:asciiTheme="minorHAnsi" w:eastAsia="Arial" w:hAnsiTheme="minorHAnsi" w:cstheme="minorHAnsi"/>
          <w:sz w:val="24"/>
          <w:szCs w:val="24"/>
        </w:rPr>
        <w:t>Living with plaque PsO can be a challenge and impact life beyond a person’s physical health, including emotional health, relationships, and handling the stressors of life.</w:t>
      </w:r>
      <w:r w:rsidRPr="00386824">
        <w:rPr>
          <w:rStyle w:val="EndnoteReference"/>
          <w:rFonts w:asciiTheme="minorHAnsi" w:eastAsia="Arial" w:hAnsiTheme="minorHAnsi" w:cstheme="minorHAnsi"/>
          <w:sz w:val="24"/>
          <w:szCs w:val="24"/>
        </w:rPr>
        <w:endnoteReference w:id="15"/>
      </w:r>
      <w:r w:rsidRPr="00386824">
        <w:rPr>
          <w:rFonts w:asciiTheme="minorHAnsi" w:eastAsia="Arial" w:hAnsiTheme="minorHAnsi" w:cstheme="minorHAnsi"/>
          <w:sz w:val="24"/>
          <w:szCs w:val="24"/>
        </w:rPr>
        <w:t xml:space="preserve"> Psoriasis on highly visible areas of the body or sensitive skin, such as the scalp, hands, feet, and genitals, can have an increased negative impact on quality of </w:t>
      </w:r>
      <w:proofErr w:type="spellStart"/>
      <w:r w:rsidRPr="00386824">
        <w:rPr>
          <w:rFonts w:asciiTheme="minorHAnsi" w:eastAsia="Arial" w:hAnsiTheme="minorHAnsi" w:cstheme="minorHAnsi"/>
          <w:sz w:val="24"/>
          <w:szCs w:val="24"/>
        </w:rPr>
        <w:t>life.</w:t>
      </w:r>
      <w:r w:rsidR="00386824">
        <w:rPr>
          <w:rFonts w:asciiTheme="minorHAnsi" w:eastAsia="Arial" w:hAnsiTheme="minorHAnsi" w:cstheme="minorHAnsi"/>
          <w:sz w:val="24"/>
          <w:szCs w:val="24"/>
          <w:vertAlign w:val="superscript"/>
        </w:rPr>
        <w:t>xii</w:t>
      </w:r>
      <w:proofErr w:type="spellEnd"/>
      <w:r w:rsidRPr="00386824">
        <w:rPr>
          <w:rFonts w:asciiTheme="minorHAnsi" w:eastAsia="Arial" w:hAnsiTheme="minorHAnsi" w:cstheme="minorHAnsi"/>
          <w:sz w:val="24"/>
          <w:szCs w:val="24"/>
          <w:vertAlign w:val="superscript"/>
        </w:rPr>
        <w:t>,</w:t>
      </w:r>
      <w:r w:rsidRPr="00386824">
        <w:rPr>
          <w:rStyle w:val="EndnoteReference"/>
          <w:rFonts w:asciiTheme="minorHAnsi" w:eastAsia="Arial" w:hAnsiTheme="minorHAnsi" w:cstheme="minorHAnsi"/>
          <w:sz w:val="24"/>
          <w:szCs w:val="24"/>
        </w:rPr>
        <w:endnoteReference w:id="16"/>
      </w:r>
    </w:p>
    <w:p w14:paraId="15A53995" w14:textId="77777777" w:rsidR="00386824" w:rsidRPr="00386824" w:rsidRDefault="00386824" w:rsidP="00386824">
      <w:pPr>
        <w:rPr>
          <w:rFonts w:asciiTheme="minorHAnsi" w:eastAsia="Arial" w:hAnsiTheme="minorHAnsi" w:cstheme="minorHAnsi"/>
          <w:sz w:val="24"/>
          <w:szCs w:val="24"/>
        </w:rPr>
      </w:pPr>
    </w:p>
    <w:p w14:paraId="578825AF" w14:textId="77777777" w:rsidR="00CD3633" w:rsidRPr="00386824" w:rsidRDefault="00CD3633" w:rsidP="00CD3633">
      <w:pPr>
        <w:rPr>
          <w:rFonts w:asciiTheme="minorHAnsi" w:eastAsia="Arial" w:hAnsiTheme="minorHAnsi" w:cstheme="minorHAnsi"/>
          <w:sz w:val="24"/>
          <w:szCs w:val="24"/>
          <w:vertAlign w:val="superscript"/>
        </w:rPr>
      </w:pPr>
      <w:r w:rsidRPr="00386824">
        <w:rPr>
          <w:rFonts w:asciiTheme="minorHAnsi" w:eastAsia="Arial" w:hAnsiTheme="minorHAnsi" w:cstheme="minorHAnsi"/>
          <w:b/>
          <w:bCs/>
          <w:sz w:val="24"/>
          <w:szCs w:val="24"/>
        </w:rPr>
        <w:t>About Icotrokinra (JNJ-77242113, JNJ-2113)</w:t>
      </w:r>
      <w:r w:rsidRPr="00386824">
        <w:rPr>
          <w:rFonts w:asciiTheme="minorHAnsi" w:hAnsiTheme="minorHAnsi" w:cstheme="minorHAnsi"/>
          <w:sz w:val="24"/>
          <w:szCs w:val="24"/>
        </w:rPr>
        <w:br/>
      </w:r>
      <w:r w:rsidRPr="00386824">
        <w:rPr>
          <w:rFonts w:asciiTheme="minorHAnsi" w:eastAsia="Arial" w:hAnsiTheme="minorHAnsi" w:cstheme="minorHAnsi"/>
          <w:sz w:val="24"/>
          <w:szCs w:val="24"/>
        </w:rPr>
        <w:t>Investigational icotrokinra is the first targeted oral peptide designed to selectively block the IL-23 receptor</w:t>
      </w:r>
      <w:r>
        <w:rPr>
          <w:rFonts w:asciiTheme="minorHAnsi" w:eastAsia="Arial" w:hAnsiTheme="minorHAnsi" w:cstheme="minorHAnsi"/>
          <w:sz w:val="24"/>
          <w:szCs w:val="24"/>
        </w:rPr>
        <w:t>.</w:t>
      </w:r>
      <w:r w:rsidRPr="00386824">
        <w:rPr>
          <w:rStyle w:val="EndnoteReference"/>
          <w:rFonts w:asciiTheme="minorHAnsi" w:eastAsia="Arial" w:hAnsiTheme="minorHAnsi" w:cstheme="minorHAnsi"/>
          <w:sz w:val="24"/>
          <w:szCs w:val="24"/>
        </w:rPr>
        <w:endnoteReference w:id="17"/>
      </w:r>
      <w:r w:rsidRPr="00386824">
        <w:rPr>
          <w:rFonts w:asciiTheme="minorHAnsi" w:eastAsia="Arial" w:hAnsiTheme="minorHAnsi" w:cstheme="minorHAnsi"/>
          <w:sz w:val="24"/>
          <w:szCs w:val="24"/>
          <w:vertAlign w:val="superscript"/>
        </w:rPr>
        <w:t xml:space="preserve"> </w:t>
      </w:r>
      <w:r>
        <w:rPr>
          <w:rFonts w:asciiTheme="minorHAnsi" w:eastAsia="Arial" w:hAnsiTheme="minorHAnsi" w:cstheme="minorHAnsi"/>
          <w:sz w:val="24"/>
          <w:szCs w:val="24"/>
        </w:rPr>
        <w:t>The IL-23 pathway</w:t>
      </w:r>
      <w:r w:rsidRPr="00386824">
        <w:rPr>
          <w:rFonts w:asciiTheme="minorHAnsi" w:eastAsia="Arial" w:hAnsiTheme="minorHAnsi" w:cstheme="minorHAnsi"/>
          <w:sz w:val="24"/>
          <w:szCs w:val="24"/>
        </w:rPr>
        <w:t xml:space="preserve"> underpins the inflammatory response in moderate-to-severe plaque psoriasis (</w:t>
      </w:r>
      <w:proofErr w:type="spellStart"/>
      <w:r w:rsidRPr="00386824">
        <w:rPr>
          <w:rFonts w:asciiTheme="minorHAnsi" w:eastAsia="Arial" w:hAnsiTheme="minorHAnsi" w:cstheme="minorHAnsi"/>
          <w:sz w:val="24"/>
          <w:szCs w:val="24"/>
        </w:rPr>
        <w:t>PsO</w:t>
      </w:r>
      <w:proofErr w:type="spellEnd"/>
      <w:r w:rsidRPr="00386824">
        <w:rPr>
          <w:rFonts w:asciiTheme="minorHAnsi" w:eastAsia="Arial" w:hAnsiTheme="minorHAnsi" w:cstheme="minorHAnsi"/>
          <w:sz w:val="24"/>
          <w:szCs w:val="24"/>
        </w:rPr>
        <w:t>), ulcerative colitis (UC) and other diseases.</w:t>
      </w:r>
      <w:r w:rsidRPr="00386824">
        <w:rPr>
          <w:rStyle w:val="EndnoteReference"/>
          <w:rFonts w:asciiTheme="minorHAnsi" w:eastAsia="Arial" w:hAnsiTheme="minorHAnsi" w:cstheme="minorHAnsi"/>
          <w:sz w:val="24"/>
          <w:szCs w:val="24"/>
        </w:rPr>
        <w:endnoteReference w:id="18"/>
      </w:r>
      <w:r w:rsidRPr="00386824">
        <w:rPr>
          <w:rFonts w:asciiTheme="minorHAnsi" w:eastAsia="Arial" w:hAnsiTheme="minorHAnsi" w:cstheme="minorHAnsi"/>
          <w:sz w:val="24"/>
          <w:szCs w:val="24"/>
          <w:vertAlign w:val="superscript"/>
        </w:rPr>
        <w:t>,</w:t>
      </w:r>
      <w:r w:rsidRPr="00386824">
        <w:rPr>
          <w:rStyle w:val="EndnoteReference"/>
          <w:rFonts w:asciiTheme="minorHAnsi" w:eastAsia="Arial" w:hAnsiTheme="minorHAnsi" w:cstheme="minorHAnsi"/>
          <w:sz w:val="24"/>
          <w:szCs w:val="24"/>
        </w:rPr>
        <w:endnoteReference w:id="19"/>
      </w:r>
      <w:r w:rsidRPr="00386824">
        <w:rPr>
          <w:rFonts w:asciiTheme="minorHAnsi" w:eastAsia="Arial" w:hAnsiTheme="minorHAnsi" w:cstheme="minorHAnsi"/>
          <w:sz w:val="24"/>
          <w:szCs w:val="24"/>
        </w:rPr>
        <w:t xml:space="preserve"> Icotrokinra binds to the IL-23 receptor with single-digit picomolar affinity and demonstrated potent, selective inhibition of IL-23 signaling in human T cells.</w:t>
      </w:r>
      <w:r w:rsidRPr="00386824">
        <w:rPr>
          <w:rStyle w:val="EndnoteReference"/>
          <w:rFonts w:asciiTheme="minorHAnsi" w:eastAsia="Arial" w:hAnsiTheme="minorHAnsi" w:cstheme="minorHAnsi"/>
          <w:sz w:val="24"/>
          <w:szCs w:val="24"/>
        </w:rPr>
        <w:endnoteReference w:id="20"/>
      </w:r>
      <w:r w:rsidRPr="00386824">
        <w:rPr>
          <w:rFonts w:asciiTheme="minorHAnsi" w:eastAsia="Arial" w:hAnsiTheme="minorHAnsi" w:cstheme="minorHAnsi"/>
          <w:sz w:val="24"/>
          <w:szCs w:val="24"/>
        </w:rPr>
        <w:t xml:space="preserve"> The license and collaboration agreement established between Protagonist Therapeutics, Inc. and Janssen Biotech, Inc., a Johnson &amp; Johnson company, in 2017 enabled the companies to work together to discover and develop next-generation compounds that ultimately led to icotrokinra.</w:t>
      </w:r>
      <w:r w:rsidRPr="00386824">
        <w:rPr>
          <w:rStyle w:val="EndnoteReference"/>
          <w:rFonts w:asciiTheme="minorHAnsi" w:eastAsia="Arial" w:hAnsiTheme="minorHAnsi" w:cstheme="minorHAnsi"/>
          <w:sz w:val="24"/>
          <w:szCs w:val="24"/>
        </w:rPr>
        <w:endnoteReference w:id="21"/>
      </w:r>
      <w:r w:rsidRPr="00386824">
        <w:rPr>
          <w:rFonts w:asciiTheme="minorHAnsi" w:eastAsia="Arial" w:hAnsiTheme="minorHAnsi" w:cstheme="minorHAnsi"/>
          <w:sz w:val="24"/>
          <w:szCs w:val="24"/>
        </w:rPr>
        <w:t xml:space="preserve"> </w:t>
      </w:r>
    </w:p>
    <w:p w14:paraId="1D1AA16A" w14:textId="77777777" w:rsidR="00CD3633" w:rsidRPr="00386824" w:rsidRDefault="00CD3633" w:rsidP="00CD3633">
      <w:pPr>
        <w:ind w:left="0" w:firstLine="0"/>
        <w:rPr>
          <w:rFonts w:asciiTheme="minorHAnsi" w:eastAsia="Arial" w:hAnsiTheme="minorHAnsi" w:cstheme="minorHAnsi"/>
          <w:sz w:val="24"/>
          <w:szCs w:val="24"/>
          <w:vertAlign w:val="superscript"/>
        </w:rPr>
      </w:pPr>
      <w:r w:rsidRPr="00386824">
        <w:rPr>
          <w:rFonts w:asciiTheme="minorHAnsi" w:eastAsia="Arial" w:hAnsiTheme="minorHAnsi" w:cstheme="minorHAnsi"/>
          <w:sz w:val="24"/>
          <w:szCs w:val="24"/>
        </w:rPr>
        <w:t>Icotrokinra was jointly discovered and is being developed pursuant to the license and collaboration agreement between Protagonist and Johnson &amp; Johnson. Johnson &amp; Johnson retains exclusive worldwide rights to develop icotrokinra in Phase 2 clinical trials and beyond, and to commercialize compounds derived from the research conducted pursuant to the agreement against a broad range of indications.</w:t>
      </w:r>
      <w:r w:rsidRPr="00386824">
        <w:rPr>
          <w:rStyle w:val="EndnoteReference"/>
          <w:rFonts w:asciiTheme="minorHAnsi" w:eastAsia="Arial" w:hAnsiTheme="minorHAnsi" w:cstheme="minorHAnsi"/>
          <w:sz w:val="24"/>
          <w:szCs w:val="24"/>
        </w:rPr>
        <w:endnoteReference w:id="22"/>
      </w:r>
      <w:r w:rsidRPr="00386824">
        <w:rPr>
          <w:rFonts w:asciiTheme="minorHAnsi" w:eastAsia="Arial" w:hAnsiTheme="minorHAnsi" w:cstheme="minorHAnsi"/>
          <w:sz w:val="24"/>
          <w:szCs w:val="24"/>
          <w:vertAlign w:val="superscript"/>
        </w:rPr>
        <w:t>,</w:t>
      </w:r>
      <w:r w:rsidRPr="00386824">
        <w:rPr>
          <w:rStyle w:val="EndnoteReference"/>
          <w:rFonts w:asciiTheme="minorHAnsi" w:eastAsia="Arial" w:hAnsiTheme="minorHAnsi" w:cstheme="minorHAnsi"/>
          <w:sz w:val="24"/>
          <w:szCs w:val="24"/>
        </w:rPr>
        <w:endnoteReference w:id="23"/>
      </w:r>
      <w:r w:rsidRPr="00386824">
        <w:rPr>
          <w:rFonts w:asciiTheme="minorHAnsi" w:eastAsia="Arial" w:hAnsiTheme="minorHAnsi" w:cstheme="minorHAnsi"/>
          <w:sz w:val="24"/>
          <w:szCs w:val="24"/>
          <w:vertAlign w:val="superscript"/>
        </w:rPr>
        <w:t>,</w:t>
      </w:r>
      <w:r w:rsidRPr="00386824">
        <w:rPr>
          <w:rStyle w:val="EndnoteReference"/>
          <w:rFonts w:asciiTheme="minorHAnsi" w:eastAsia="Arial" w:hAnsiTheme="minorHAnsi" w:cstheme="minorHAnsi"/>
          <w:sz w:val="24"/>
          <w:szCs w:val="24"/>
        </w:rPr>
        <w:endnoteReference w:id="24"/>
      </w:r>
    </w:p>
    <w:p w14:paraId="21AF1622" w14:textId="77777777" w:rsidR="00CD3633" w:rsidRPr="00386824" w:rsidRDefault="00CD3633" w:rsidP="00CD3633">
      <w:pPr>
        <w:ind w:left="0" w:firstLine="0"/>
        <w:rPr>
          <w:rFonts w:asciiTheme="minorHAnsi" w:eastAsia="Arial" w:hAnsiTheme="minorHAnsi" w:cstheme="minorHAnsi"/>
          <w:sz w:val="24"/>
          <w:szCs w:val="24"/>
        </w:rPr>
      </w:pPr>
      <w:r w:rsidRPr="00386824">
        <w:rPr>
          <w:rFonts w:asciiTheme="minorHAnsi" w:eastAsia="Arial" w:hAnsiTheme="minorHAnsi" w:cstheme="minorHAnsi"/>
          <w:sz w:val="24"/>
          <w:szCs w:val="24"/>
        </w:rPr>
        <w:t xml:space="preserve">Icotrokinra is being studied in the pivotal Phase 3 ICONIC clinical development program in moderate-to-severe plaque </w:t>
      </w:r>
      <w:proofErr w:type="spellStart"/>
      <w:r w:rsidRPr="00386824">
        <w:rPr>
          <w:rFonts w:asciiTheme="minorHAnsi" w:eastAsia="Arial" w:hAnsiTheme="minorHAnsi" w:cstheme="minorHAnsi"/>
          <w:sz w:val="24"/>
          <w:szCs w:val="24"/>
        </w:rPr>
        <w:t>PsO</w:t>
      </w:r>
      <w:proofErr w:type="spellEnd"/>
      <w:r w:rsidRPr="00386824">
        <w:rPr>
          <w:rFonts w:asciiTheme="minorHAnsi" w:eastAsia="Arial" w:hAnsiTheme="minorHAnsi" w:cstheme="minorHAnsi"/>
          <w:sz w:val="24"/>
          <w:szCs w:val="24"/>
        </w:rPr>
        <w:t xml:space="preserve"> and active psoriatic arthritis and the Phase 2b ANTHEM-UC study in moderately to severely active UC.</w:t>
      </w:r>
    </w:p>
    <w:p w14:paraId="54F0D9C9" w14:textId="77777777" w:rsidR="00CD3633" w:rsidRPr="00065430" w:rsidRDefault="00CD3633" w:rsidP="00CD3633">
      <w:pPr>
        <w:rPr>
          <w:rFonts w:asciiTheme="minorHAnsi" w:hAnsiTheme="minorHAnsi" w:cstheme="minorHAnsi"/>
          <w:sz w:val="24"/>
          <w:szCs w:val="24"/>
        </w:rPr>
      </w:pPr>
    </w:p>
    <w:p w14:paraId="36DFE024" w14:textId="77777777" w:rsidR="00CD3633" w:rsidRPr="00065430" w:rsidRDefault="00CD3633" w:rsidP="00CD3633">
      <w:pPr>
        <w:rPr>
          <w:rFonts w:asciiTheme="minorHAnsi" w:eastAsia="Times New Roman" w:hAnsiTheme="minorHAnsi" w:cstheme="minorHAnsi"/>
          <w:b/>
          <w:bCs/>
          <w:color w:val="auto"/>
          <w:sz w:val="24"/>
          <w:szCs w:val="24"/>
        </w:rPr>
      </w:pPr>
      <w:r w:rsidRPr="00065430">
        <w:rPr>
          <w:rFonts w:asciiTheme="minorHAnsi" w:eastAsia="Times New Roman" w:hAnsiTheme="minorHAnsi" w:cstheme="minorHAnsi"/>
          <w:b/>
          <w:bCs/>
          <w:color w:val="auto"/>
          <w:sz w:val="24"/>
          <w:szCs w:val="24"/>
        </w:rPr>
        <w:t>About Protagonist</w:t>
      </w:r>
    </w:p>
    <w:p w14:paraId="45A6A30A" w14:textId="77777777" w:rsidR="00CD3633" w:rsidRDefault="00CD3633" w:rsidP="00CD3633">
      <w:pPr>
        <w:rPr>
          <w:rFonts w:asciiTheme="minorHAnsi" w:eastAsia="Times New Roman" w:hAnsiTheme="minorHAnsi" w:cstheme="minorHAnsi"/>
          <w:color w:val="auto"/>
          <w:sz w:val="24"/>
          <w:szCs w:val="24"/>
        </w:rPr>
      </w:pPr>
      <w:r w:rsidRPr="00065430">
        <w:rPr>
          <w:rFonts w:asciiTheme="minorHAnsi" w:eastAsia="Times New Roman" w:hAnsiTheme="minorHAnsi" w:cstheme="minorHAnsi"/>
          <w:color w:val="auto"/>
          <w:sz w:val="24"/>
          <w:szCs w:val="24"/>
        </w:rPr>
        <w:t>Protagonist Therapeutics is a discovery through late-stage development biopharmaceutical company. Two novel peptides</w:t>
      </w:r>
      <w:r>
        <w:rPr>
          <w:rFonts w:asciiTheme="minorHAnsi" w:eastAsia="Times New Roman" w:hAnsiTheme="minorHAnsi" w:cstheme="minorHAnsi"/>
          <w:color w:val="auto"/>
          <w:sz w:val="24"/>
          <w:szCs w:val="24"/>
        </w:rPr>
        <w:t xml:space="preserve">, icotrokinra and </w:t>
      </w:r>
      <w:proofErr w:type="spellStart"/>
      <w:r>
        <w:rPr>
          <w:rFonts w:asciiTheme="minorHAnsi" w:eastAsia="Times New Roman" w:hAnsiTheme="minorHAnsi" w:cstheme="minorHAnsi"/>
          <w:color w:val="auto"/>
          <w:sz w:val="24"/>
          <w:szCs w:val="24"/>
        </w:rPr>
        <w:t>rusfertide</w:t>
      </w:r>
      <w:proofErr w:type="spellEnd"/>
      <w:r>
        <w:rPr>
          <w:rFonts w:asciiTheme="minorHAnsi" w:eastAsia="Times New Roman" w:hAnsiTheme="minorHAnsi" w:cstheme="minorHAnsi"/>
          <w:color w:val="auto"/>
          <w:sz w:val="24"/>
          <w:szCs w:val="24"/>
        </w:rPr>
        <w:t>,</w:t>
      </w:r>
      <w:r w:rsidRPr="00065430">
        <w:rPr>
          <w:rFonts w:asciiTheme="minorHAnsi" w:eastAsia="Times New Roman" w:hAnsiTheme="minorHAnsi" w:cstheme="minorHAnsi"/>
          <w:color w:val="auto"/>
          <w:sz w:val="24"/>
          <w:szCs w:val="24"/>
        </w:rPr>
        <w:t xml:space="preserve"> derived from Protagonist's proprietary discovery platform are currently in advanced Phase 3 clinical development, with New Drug Application submissions to the FDA expected in 2025. Icotrokinra (JNJ-2113) is a first-in-class investigational targeted oral peptide that selectively blocks the Interleukin-23 receptor (“IL-23R”) which is licensed to </w:t>
      </w:r>
      <w:r>
        <w:rPr>
          <w:rFonts w:asciiTheme="minorHAnsi" w:eastAsia="Times New Roman" w:hAnsiTheme="minorHAnsi" w:cstheme="minorHAnsi"/>
          <w:color w:val="auto"/>
          <w:sz w:val="24"/>
          <w:szCs w:val="24"/>
        </w:rPr>
        <w:t xml:space="preserve">Johnson &amp; Johnson </w:t>
      </w:r>
      <w:r w:rsidRPr="00065430">
        <w:rPr>
          <w:rFonts w:asciiTheme="minorHAnsi" w:eastAsia="Times New Roman" w:hAnsiTheme="minorHAnsi" w:cstheme="minorHAnsi"/>
          <w:color w:val="auto"/>
          <w:sz w:val="24"/>
          <w:szCs w:val="24"/>
        </w:rPr>
        <w:t xml:space="preserve">Innovative Medicines (“JNJ”), formerly Janssen Biotech, Inc. Following icotrokinra's joint discovery by Protagonist and JNJ scientists pursuant to the companies' IL-23R collaboration, Protagonist was primarily responsible for development of icotrokinra through Phase 1, with JNJ assuming responsibility for development in Phase 2 and beyond. </w:t>
      </w:r>
      <w:proofErr w:type="spellStart"/>
      <w:r w:rsidRPr="00065430">
        <w:rPr>
          <w:rFonts w:asciiTheme="minorHAnsi" w:eastAsia="Times New Roman" w:hAnsiTheme="minorHAnsi" w:cstheme="minorHAnsi"/>
          <w:color w:val="auto"/>
          <w:sz w:val="24"/>
          <w:szCs w:val="24"/>
        </w:rPr>
        <w:t>Rusfertide</w:t>
      </w:r>
      <w:proofErr w:type="spellEnd"/>
      <w:r w:rsidRPr="00065430">
        <w:rPr>
          <w:rFonts w:asciiTheme="minorHAnsi" w:eastAsia="Times New Roman" w:hAnsiTheme="minorHAnsi" w:cstheme="minorHAnsi"/>
          <w:color w:val="auto"/>
          <w:sz w:val="24"/>
          <w:szCs w:val="24"/>
        </w:rPr>
        <w:t xml:space="preserve">, a mimetic of the natural hormone hepcidin, is currently in Phase 3 development for the rare blood disorder polycythemia vera (PV). </w:t>
      </w:r>
      <w:proofErr w:type="spellStart"/>
      <w:r w:rsidRPr="00065430">
        <w:rPr>
          <w:rFonts w:asciiTheme="minorHAnsi" w:eastAsia="Times New Roman" w:hAnsiTheme="minorHAnsi" w:cstheme="minorHAnsi"/>
          <w:color w:val="auto"/>
          <w:sz w:val="24"/>
          <w:szCs w:val="24"/>
        </w:rPr>
        <w:t>Rusfertide</w:t>
      </w:r>
      <w:proofErr w:type="spellEnd"/>
      <w:r w:rsidRPr="00065430">
        <w:rPr>
          <w:rFonts w:asciiTheme="minorHAnsi" w:eastAsia="Times New Roman" w:hAnsiTheme="minorHAnsi" w:cstheme="minorHAnsi"/>
          <w:color w:val="auto"/>
          <w:sz w:val="24"/>
          <w:szCs w:val="24"/>
        </w:rPr>
        <w:t xml:space="preserve"> is being co-developed and will be co-commercialized with Takeda Pharmaceuticals pursuant to a worldwide collaboration and license agreement </w:t>
      </w:r>
      <w:proofErr w:type="gramStart"/>
      <w:r w:rsidRPr="00065430">
        <w:rPr>
          <w:rFonts w:asciiTheme="minorHAnsi" w:eastAsia="Times New Roman" w:hAnsiTheme="minorHAnsi" w:cstheme="minorHAnsi"/>
          <w:color w:val="auto"/>
          <w:sz w:val="24"/>
          <w:szCs w:val="24"/>
        </w:rPr>
        <w:t>entered into</w:t>
      </w:r>
      <w:proofErr w:type="gramEnd"/>
      <w:r w:rsidRPr="00065430">
        <w:rPr>
          <w:rFonts w:asciiTheme="minorHAnsi" w:eastAsia="Times New Roman" w:hAnsiTheme="minorHAnsi" w:cstheme="minorHAnsi"/>
          <w:color w:val="auto"/>
          <w:sz w:val="24"/>
          <w:szCs w:val="24"/>
        </w:rPr>
        <w:t xml:space="preserve"> in 2024</w:t>
      </w:r>
      <w:r>
        <w:rPr>
          <w:rFonts w:asciiTheme="minorHAnsi" w:eastAsia="Times New Roman" w:hAnsiTheme="minorHAnsi" w:cstheme="minorHAnsi"/>
          <w:color w:val="auto"/>
          <w:sz w:val="24"/>
          <w:szCs w:val="24"/>
        </w:rPr>
        <w:t>,</w:t>
      </w:r>
      <w:r w:rsidRPr="00065430">
        <w:rPr>
          <w:rFonts w:asciiTheme="minorHAnsi" w:eastAsia="Times New Roman" w:hAnsiTheme="minorHAnsi" w:cstheme="minorHAnsi"/>
          <w:color w:val="auto"/>
          <w:sz w:val="24"/>
          <w:szCs w:val="24"/>
        </w:rPr>
        <w:t xml:space="preserve"> under which the Company remains primarily responsible for development through NDA filing. The Company also has </w:t>
      </w:r>
      <w:proofErr w:type="gramStart"/>
      <w:r w:rsidRPr="00065430">
        <w:rPr>
          <w:rFonts w:asciiTheme="minorHAnsi" w:eastAsia="Times New Roman" w:hAnsiTheme="minorHAnsi" w:cstheme="minorHAnsi"/>
          <w:color w:val="auto"/>
          <w:sz w:val="24"/>
          <w:szCs w:val="24"/>
        </w:rPr>
        <w:t>a number of</w:t>
      </w:r>
      <w:proofErr w:type="gramEnd"/>
      <w:r w:rsidRPr="00065430">
        <w:rPr>
          <w:rFonts w:asciiTheme="minorHAnsi" w:eastAsia="Times New Roman" w:hAnsiTheme="minorHAnsi" w:cstheme="minorHAnsi"/>
          <w:color w:val="auto"/>
          <w:sz w:val="24"/>
          <w:szCs w:val="24"/>
        </w:rPr>
        <w:t xml:space="preserve"> pre-clinical stage oral drug discovery programs addressing clinically and commercially validated targets, including</w:t>
      </w:r>
      <w:r>
        <w:rPr>
          <w:rFonts w:asciiTheme="minorHAnsi" w:eastAsia="Times New Roman" w:hAnsiTheme="minorHAnsi" w:cstheme="minorHAnsi"/>
          <w:color w:val="auto"/>
          <w:sz w:val="24"/>
          <w:szCs w:val="24"/>
        </w:rPr>
        <w:t xml:space="preserve"> the</w:t>
      </w:r>
      <w:r w:rsidRPr="00065430">
        <w:rPr>
          <w:rFonts w:asciiTheme="minorHAnsi" w:eastAsia="Times New Roman" w:hAnsiTheme="minorHAnsi" w:cstheme="minorHAnsi"/>
          <w:color w:val="auto"/>
          <w:sz w:val="24"/>
          <w:szCs w:val="24"/>
        </w:rPr>
        <w:t xml:space="preserve"> IL-17 oral peptide antagonist PN-881, </w:t>
      </w:r>
      <w:r>
        <w:rPr>
          <w:rFonts w:asciiTheme="minorHAnsi" w:eastAsia="Times New Roman" w:hAnsiTheme="minorHAnsi" w:cstheme="minorHAnsi"/>
          <w:color w:val="auto"/>
          <w:sz w:val="24"/>
          <w:szCs w:val="24"/>
        </w:rPr>
        <w:t xml:space="preserve">an </w:t>
      </w:r>
      <w:r w:rsidRPr="00065430">
        <w:rPr>
          <w:rFonts w:asciiTheme="minorHAnsi" w:eastAsia="Times New Roman" w:hAnsiTheme="minorHAnsi" w:cstheme="minorHAnsi"/>
          <w:color w:val="auto"/>
          <w:sz w:val="24"/>
          <w:szCs w:val="24"/>
        </w:rPr>
        <w:t xml:space="preserve">oral hepcidin program, and </w:t>
      </w:r>
      <w:r>
        <w:rPr>
          <w:rFonts w:asciiTheme="minorHAnsi" w:eastAsia="Times New Roman" w:hAnsiTheme="minorHAnsi" w:cstheme="minorHAnsi"/>
          <w:color w:val="auto"/>
          <w:sz w:val="24"/>
          <w:szCs w:val="24"/>
        </w:rPr>
        <w:t xml:space="preserve">an </w:t>
      </w:r>
      <w:r w:rsidRPr="00065430">
        <w:rPr>
          <w:rFonts w:asciiTheme="minorHAnsi" w:eastAsia="Times New Roman" w:hAnsiTheme="minorHAnsi" w:cstheme="minorHAnsi"/>
          <w:color w:val="auto"/>
          <w:sz w:val="24"/>
          <w:szCs w:val="24"/>
        </w:rPr>
        <w:t>oral obesity program.</w:t>
      </w:r>
    </w:p>
    <w:p w14:paraId="76723DA8" w14:textId="77777777" w:rsidR="00065430" w:rsidRPr="00065430" w:rsidRDefault="00065430" w:rsidP="00065430">
      <w:pPr>
        <w:rPr>
          <w:rFonts w:asciiTheme="minorHAnsi" w:eastAsia="Times New Roman" w:hAnsiTheme="minorHAnsi" w:cstheme="minorHAnsi"/>
          <w:color w:val="auto"/>
          <w:sz w:val="24"/>
          <w:szCs w:val="24"/>
        </w:rPr>
      </w:pPr>
    </w:p>
    <w:p w14:paraId="65236908" w14:textId="205B3891" w:rsidR="00065430" w:rsidRPr="00065430" w:rsidRDefault="00065430" w:rsidP="00065430">
      <w:pPr>
        <w:rPr>
          <w:rFonts w:asciiTheme="minorHAnsi" w:eastAsia="Times New Roman" w:hAnsiTheme="minorHAnsi" w:cstheme="minorHAnsi"/>
          <w:color w:val="auto"/>
          <w:sz w:val="24"/>
          <w:szCs w:val="24"/>
        </w:rPr>
      </w:pPr>
      <w:r w:rsidRPr="00065430">
        <w:rPr>
          <w:rFonts w:asciiTheme="minorHAnsi" w:eastAsia="Times New Roman" w:hAnsiTheme="minorHAnsi" w:cstheme="minorHAnsi"/>
          <w:color w:val="auto"/>
          <w:sz w:val="24"/>
          <w:szCs w:val="24"/>
        </w:rPr>
        <w:t>More information on Protagonist, its pipeline drug candidates and clinical studies can be found on the Company's website at </w:t>
      </w:r>
      <w:hyperlink r:id="rId17" w:history="1">
        <w:r w:rsidRPr="00065430">
          <w:rPr>
            <w:rStyle w:val="Hyperlink"/>
            <w:rFonts w:asciiTheme="minorHAnsi" w:eastAsia="Times New Roman" w:hAnsiTheme="minorHAnsi" w:cstheme="minorHAnsi"/>
            <w:sz w:val="24"/>
            <w:szCs w:val="24"/>
          </w:rPr>
          <w:t>www.protagonist-inc.com</w:t>
        </w:r>
      </w:hyperlink>
      <w:r w:rsidRPr="00065430">
        <w:rPr>
          <w:rFonts w:asciiTheme="minorHAnsi" w:eastAsia="Times New Roman" w:hAnsiTheme="minorHAnsi" w:cstheme="minorHAnsi"/>
          <w:color w:val="auto"/>
          <w:sz w:val="24"/>
          <w:szCs w:val="24"/>
        </w:rPr>
        <w:t>.</w:t>
      </w:r>
    </w:p>
    <w:p w14:paraId="5D37D882" w14:textId="77777777" w:rsidR="00AE4145" w:rsidRPr="00E41E08" w:rsidRDefault="00AE4145" w:rsidP="00C167F0">
      <w:pPr>
        <w:rPr>
          <w:rFonts w:cs="Arial"/>
          <w:bCs/>
          <w:sz w:val="24"/>
          <w:szCs w:val="24"/>
          <w:shd w:val="clear" w:color="auto" w:fill="FFFFFF"/>
        </w:rPr>
      </w:pPr>
    </w:p>
    <w:p w14:paraId="37AB8D22" w14:textId="77777777" w:rsidR="00AE4145" w:rsidRPr="00D85413" w:rsidRDefault="00AE4145" w:rsidP="00AE4145">
      <w:pPr>
        <w:ind w:left="0" w:firstLine="0"/>
        <w:rPr>
          <w:rFonts w:asciiTheme="minorHAnsi" w:hAnsiTheme="minorHAnsi" w:cstheme="minorHAnsi"/>
          <w:b/>
          <w:bCs/>
          <w:sz w:val="24"/>
          <w:szCs w:val="24"/>
        </w:rPr>
      </w:pPr>
      <w:r w:rsidRPr="00D85413">
        <w:rPr>
          <w:rFonts w:asciiTheme="minorHAnsi" w:hAnsiTheme="minorHAnsi" w:cstheme="minorHAnsi"/>
          <w:b/>
          <w:bCs/>
          <w:sz w:val="24"/>
          <w:szCs w:val="24"/>
        </w:rPr>
        <w:t>Cautionary Note on Forward-Looking Statements</w:t>
      </w:r>
    </w:p>
    <w:p w14:paraId="4B521024" w14:textId="77A68540" w:rsidR="00AE4145" w:rsidRPr="00D85413" w:rsidRDefault="00AE4145" w:rsidP="00AE4145">
      <w:pPr>
        <w:ind w:left="0" w:firstLine="0"/>
        <w:rPr>
          <w:rFonts w:asciiTheme="minorHAnsi" w:hAnsiTheme="minorHAnsi" w:cstheme="minorHAnsi"/>
          <w:sz w:val="24"/>
          <w:szCs w:val="24"/>
        </w:rPr>
      </w:pPr>
      <w:r w:rsidRPr="00D85413">
        <w:rPr>
          <w:rFonts w:asciiTheme="minorHAnsi" w:hAnsiTheme="minorHAnsi" w:cstheme="minorHAnsi"/>
          <w:sz w:val="24"/>
          <w:szCs w:val="24"/>
        </w:rPr>
        <w:t xml:space="preserve">This press release contains forward-looking statements for purposes of the safe harbor provisions of the Private Securities Litigation Reform Act of 1995. Forward-looking statements include statements regarding the </w:t>
      </w:r>
      <w:r w:rsidR="00133336">
        <w:rPr>
          <w:rFonts w:asciiTheme="minorHAnsi" w:hAnsiTheme="minorHAnsi" w:cstheme="minorHAnsi"/>
          <w:sz w:val="24"/>
          <w:szCs w:val="24"/>
        </w:rPr>
        <w:t>potential of icotrokinra to shift the psoriasis treatment paradigm</w:t>
      </w:r>
      <w:r w:rsidRPr="00D85413">
        <w:rPr>
          <w:rFonts w:asciiTheme="minorHAnsi" w:hAnsiTheme="minorHAnsi" w:cstheme="minorHAnsi"/>
          <w:sz w:val="24"/>
          <w:szCs w:val="24"/>
        </w:rPr>
        <w:t xml:space="preserve">. In some cases, you can identify these statements by forward-looking words such as "anticipate," "believe," "may," "will," "expect," or the negative or plural of these words or similar expressions. Forward-looking statements are not guarantees of future performance and are subject to risks and uncertainties that could cause actual results and events to differ materially from those anticipated, including, but not limited to, our ability to develop and commercialize our product candidates, our ability to earn milestone payments under our collaboration agreements with Janssen and Takeda, our ability to use and expand our programs to build a pipeline of product candidates, our ability to obtain and maintain regulatory approval of our product candidates, our ability to operate in a competitive industry and compete successfully against competitors that have greater resources than we do, and our ability to obtain and adequately protect intellectual property rights for our product candidates. Additional information concerning these and other risk factors affecting our business can be found in our periodic filings with the Securities and Exchange Commission, including under the heading "Risk Factors" contained in our most recently filed periodic reports on Form 10-K and Form 10-Q filed with the Securities and Exchange Commission. Forward-looking statements are not guarantees of future performance, and our actual results of operations, financial condition and liquidity, and the development of the industry in which we operate, may differ materially from the forward-looking statements contained in this press release. Any forward-looking statements that we make in this press release speak only as of the date of this press release. We assume no obligation to update our forward-looking statements, whether </w:t>
      </w:r>
      <w:proofErr w:type="gramStart"/>
      <w:r w:rsidRPr="00D85413">
        <w:rPr>
          <w:rFonts w:asciiTheme="minorHAnsi" w:hAnsiTheme="minorHAnsi" w:cstheme="minorHAnsi"/>
          <w:sz w:val="24"/>
          <w:szCs w:val="24"/>
        </w:rPr>
        <w:t>as a result of</w:t>
      </w:r>
      <w:proofErr w:type="gramEnd"/>
      <w:r w:rsidRPr="00D85413">
        <w:rPr>
          <w:rFonts w:asciiTheme="minorHAnsi" w:hAnsiTheme="minorHAnsi" w:cstheme="minorHAnsi"/>
          <w:sz w:val="24"/>
          <w:szCs w:val="24"/>
        </w:rPr>
        <w:t xml:space="preserve"> new information, future events or otherwise, after the date of this press release.</w:t>
      </w:r>
    </w:p>
    <w:p w14:paraId="20E7898E" w14:textId="77777777" w:rsidR="00C167F0" w:rsidRPr="007C3063" w:rsidRDefault="00C167F0" w:rsidP="00C167F0">
      <w:pPr>
        <w:ind w:left="0" w:firstLine="0"/>
        <w:rPr>
          <w:rFonts w:asciiTheme="minorHAnsi" w:hAnsiTheme="minorHAnsi" w:cstheme="minorHAnsi"/>
          <w:b/>
          <w:bCs/>
          <w:sz w:val="24"/>
          <w:szCs w:val="24"/>
        </w:rPr>
      </w:pPr>
    </w:p>
    <w:p w14:paraId="6D94C395" w14:textId="77777777" w:rsidR="00C167F0" w:rsidRPr="007C3063" w:rsidRDefault="00C167F0" w:rsidP="00C167F0">
      <w:pPr>
        <w:rPr>
          <w:rFonts w:asciiTheme="minorHAnsi" w:hAnsiTheme="minorHAnsi" w:cstheme="minorHAnsi"/>
          <w:sz w:val="24"/>
          <w:szCs w:val="24"/>
        </w:rPr>
      </w:pPr>
      <w:r w:rsidRPr="007C3063">
        <w:rPr>
          <w:rFonts w:asciiTheme="minorHAnsi" w:hAnsiTheme="minorHAnsi" w:cstheme="minorHAnsi"/>
          <w:b/>
          <w:bCs/>
          <w:sz w:val="24"/>
          <w:szCs w:val="24"/>
        </w:rPr>
        <w:t>Investor Relations Contact</w:t>
      </w:r>
    </w:p>
    <w:p w14:paraId="7F201167" w14:textId="77777777" w:rsidR="00C167F0" w:rsidRPr="007C3063" w:rsidRDefault="00C167F0" w:rsidP="00C167F0">
      <w:pPr>
        <w:pStyle w:val="NormalWeb"/>
        <w:shd w:val="clear" w:color="auto" w:fill="FFFFFF"/>
        <w:spacing w:before="0" w:beforeAutospacing="0"/>
        <w:rPr>
          <w:rFonts w:asciiTheme="minorHAnsi" w:hAnsiTheme="minorHAnsi" w:cstheme="minorHAnsi"/>
          <w:color w:val="212529"/>
        </w:rPr>
      </w:pPr>
      <w:r w:rsidRPr="007C3063">
        <w:rPr>
          <w:rFonts w:asciiTheme="minorHAnsi" w:hAnsiTheme="minorHAnsi" w:cstheme="minorHAnsi"/>
          <w:color w:val="212529"/>
        </w:rPr>
        <w:t>Corey Davis, Ph.D.</w:t>
      </w:r>
      <w:r w:rsidRPr="007C3063">
        <w:rPr>
          <w:rFonts w:asciiTheme="minorHAnsi" w:hAnsiTheme="minorHAnsi" w:cstheme="minorHAnsi"/>
          <w:color w:val="212529"/>
        </w:rPr>
        <w:br/>
      </w:r>
      <w:proofErr w:type="spellStart"/>
      <w:r w:rsidRPr="007C3063">
        <w:rPr>
          <w:rFonts w:asciiTheme="minorHAnsi" w:hAnsiTheme="minorHAnsi" w:cstheme="minorHAnsi"/>
          <w:color w:val="212529"/>
        </w:rPr>
        <w:t>LifeSci</w:t>
      </w:r>
      <w:proofErr w:type="spellEnd"/>
      <w:r w:rsidRPr="007C3063">
        <w:rPr>
          <w:rFonts w:asciiTheme="minorHAnsi" w:hAnsiTheme="minorHAnsi" w:cstheme="minorHAnsi"/>
          <w:color w:val="212529"/>
        </w:rPr>
        <w:t xml:space="preserve"> Advisors</w:t>
      </w:r>
      <w:r w:rsidRPr="007C3063">
        <w:rPr>
          <w:rFonts w:asciiTheme="minorHAnsi" w:hAnsiTheme="minorHAnsi" w:cstheme="minorHAnsi"/>
          <w:color w:val="212529"/>
        </w:rPr>
        <w:br/>
        <w:t>+1 212 915 2577</w:t>
      </w:r>
      <w:r w:rsidRPr="007C3063">
        <w:rPr>
          <w:rFonts w:asciiTheme="minorHAnsi" w:hAnsiTheme="minorHAnsi" w:cstheme="minorHAnsi"/>
          <w:color w:val="212529"/>
        </w:rPr>
        <w:br/>
      </w:r>
      <w:hyperlink r:id="rId18" w:history="1">
        <w:r w:rsidRPr="007C3063">
          <w:rPr>
            <w:rStyle w:val="Hyperlink"/>
            <w:rFonts w:asciiTheme="minorHAnsi" w:hAnsiTheme="minorHAnsi" w:cstheme="minorHAnsi"/>
            <w:color w:val="4472C4" w:themeColor="accent1"/>
          </w:rPr>
          <w:t>cdavis@lifesciadvisors.com</w:t>
        </w:r>
      </w:hyperlink>
    </w:p>
    <w:p w14:paraId="0C489A60" w14:textId="77777777" w:rsidR="00C167F0" w:rsidRPr="007C3063" w:rsidRDefault="00C167F0" w:rsidP="00C167F0">
      <w:pPr>
        <w:rPr>
          <w:rFonts w:asciiTheme="minorHAnsi" w:hAnsiTheme="minorHAnsi" w:cstheme="minorHAnsi"/>
          <w:sz w:val="24"/>
          <w:szCs w:val="24"/>
        </w:rPr>
      </w:pPr>
      <w:r w:rsidRPr="007C3063">
        <w:rPr>
          <w:rFonts w:asciiTheme="minorHAnsi" w:hAnsiTheme="minorHAnsi" w:cstheme="minorHAnsi"/>
          <w:b/>
          <w:bCs/>
          <w:sz w:val="24"/>
          <w:szCs w:val="24"/>
        </w:rPr>
        <w:t>Media Contact</w:t>
      </w:r>
    </w:p>
    <w:p w14:paraId="10D73571" w14:textId="77777777" w:rsidR="00AC66C0" w:rsidRDefault="00C167F0" w:rsidP="00C167F0">
      <w:pPr>
        <w:spacing w:line="240" w:lineRule="auto"/>
        <w:ind w:left="0" w:firstLine="0"/>
        <w:rPr>
          <w:rFonts w:asciiTheme="minorHAnsi" w:eastAsia="Times New Roman" w:hAnsiTheme="minorHAnsi" w:cstheme="minorHAnsi"/>
          <w:color w:val="444444"/>
          <w:sz w:val="24"/>
          <w:szCs w:val="24"/>
        </w:rPr>
      </w:pPr>
      <w:r w:rsidRPr="007C3063">
        <w:rPr>
          <w:rFonts w:asciiTheme="minorHAnsi" w:eastAsia="Times New Roman" w:hAnsiTheme="minorHAnsi" w:cstheme="minorHAnsi"/>
          <w:color w:val="444444"/>
          <w:sz w:val="24"/>
          <w:szCs w:val="24"/>
        </w:rPr>
        <w:t>Virginia Amann, Founder/CEO</w:t>
      </w:r>
    </w:p>
    <w:p w14:paraId="58571563" w14:textId="67C8172E" w:rsidR="00C167F0" w:rsidRPr="007C3063" w:rsidRDefault="00AC66C0" w:rsidP="00C167F0">
      <w:pPr>
        <w:spacing w:line="240" w:lineRule="auto"/>
        <w:ind w:left="0" w:firstLine="0"/>
        <w:rPr>
          <w:rFonts w:asciiTheme="minorHAnsi" w:hAnsiTheme="minorHAnsi" w:cstheme="minorHAnsi"/>
          <w:sz w:val="24"/>
          <w:szCs w:val="24"/>
        </w:rPr>
      </w:pPr>
      <w:r>
        <w:rPr>
          <w:rFonts w:asciiTheme="minorHAnsi" w:eastAsia="Times New Roman" w:hAnsiTheme="minorHAnsi" w:cstheme="minorHAnsi"/>
          <w:color w:val="444444"/>
          <w:sz w:val="24"/>
          <w:szCs w:val="24"/>
        </w:rPr>
        <w:t xml:space="preserve">+1 833 500 0061 </w:t>
      </w:r>
      <w:proofErr w:type="spellStart"/>
      <w:r>
        <w:rPr>
          <w:rFonts w:asciiTheme="minorHAnsi" w:eastAsia="Times New Roman" w:hAnsiTheme="minorHAnsi" w:cstheme="minorHAnsi"/>
          <w:color w:val="444444"/>
          <w:sz w:val="24"/>
          <w:szCs w:val="24"/>
        </w:rPr>
        <w:t>ext</w:t>
      </w:r>
      <w:proofErr w:type="spellEnd"/>
      <w:r>
        <w:rPr>
          <w:rFonts w:asciiTheme="minorHAnsi" w:eastAsia="Times New Roman" w:hAnsiTheme="minorHAnsi" w:cstheme="minorHAnsi"/>
          <w:color w:val="444444"/>
          <w:sz w:val="24"/>
          <w:szCs w:val="24"/>
        </w:rPr>
        <w:t xml:space="preserve"> 1</w:t>
      </w:r>
      <w:r w:rsidR="00C167F0" w:rsidRPr="007C3063">
        <w:rPr>
          <w:rFonts w:asciiTheme="minorHAnsi" w:eastAsia="Times New Roman" w:hAnsiTheme="minorHAnsi" w:cstheme="minorHAnsi"/>
          <w:color w:val="444444"/>
          <w:sz w:val="24"/>
          <w:szCs w:val="24"/>
        </w:rPr>
        <w:br/>
        <w:t>ENTENTE Network of Companies</w:t>
      </w:r>
      <w:r w:rsidR="00C167F0" w:rsidRPr="007C3063">
        <w:rPr>
          <w:rFonts w:asciiTheme="minorHAnsi" w:eastAsia="Times New Roman" w:hAnsiTheme="minorHAnsi" w:cstheme="minorHAnsi"/>
          <w:color w:val="444444"/>
          <w:sz w:val="24"/>
          <w:szCs w:val="24"/>
        </w:rPr>
        <w:br/>
      </w:r>
      <w:hyperlink r:id="rId19" w:history="1">
        <w:r w:rsidR="00C167F0" w:rsidRPr="007C3063">
          <w:rPr>
            <w:rStyle w:val="Hyperlink"/>
            <w:rFonts w:asciiTheme="minorHAnsi" w:eastAsia="Times New Roman" w:hAnsiTheme="minorHAnsi" w:cstheme="minorHAnsi"/>
            <w:color w:val="4472C4" w:themeColor="accent1"/>
            <w:sz w:val="24"/>
            <w:szCs w:val="24"/>
          </w:rPr>
          <w:t>virginiaamann@ententeinc.com</w:t>
        </w:r>
      </w:hyperlink>
    </w:p>
    <w:p w14:paraId="1FDC5FDE" w14:textId="77777777" w:rsidR="00C167F0" w:rsidRPr="00186C0A" w:rsidRDefault="00C167F0" w:rsidP="00C167F0">
      <w:pPr>
        <w:spacing w:line="240" w:lineRule="auto"/>
        <w:ind w:left="0" w:firstLine="0"/>
        <w:rPr>
          <w:b/>
          <w:bCs/>
          <w:sz w:val="24"/>
          <w:szCs w:val="24"/>
        </w:rPr>
      </w:pPr>
    </w:p>
    <w:p w14:paraId="505CE107" w14:textId="77777777" w:rsidR="00F907F0" w:rsidRPr="005D2099" w:rsidRDefault="00F907F0" w:rsidP="00C167F0">
      <w:pPr>
        <w:pStyle w:val="NormalWeb"/>
        <w:shd w:val="clear" w:color="auto" w:fill="FFFFFF"/>
        <w:spacing w:before="0" w:beforeAutospacing="0"/>
        <w:rPr>
          <w:rFonts w:asciiTheme="minorHAnsi" w:hAnsiTheme="minorHAnsi" w:cstheme="minorHAnsi"/>
          <w:color w:val="212529"/>
        </w:rPr>
      </w:pPr>
    </w:p>
    <w:sectPr w:rsidR="00F907F0" w:rsidRPr="005D2099" w:rsidSect="001E143F">
      <w:footerReference w:type="default" r:id="rId20"/>
      <w:pgSz w:w="12240" w:h="15840"/>
      <w:pgMar w:top="108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919D3" w14:textId="77777777" w:rsidR="00F235B4" w:rsidRDefault="00F235B4" w:rsidP="0089789C">
      <w:pPr>
        <w:spacing w:line="240" w:lineRule="auto"/>
      </w:pPr>
      <w:r>
        <w:separator/>
      </w:r>
    </w:p>
  </w:endnote>
  <w:endnote w:type="continuationSeparator" w:id="0">
    <w:p w14:paraId="69062567" w14:textId="77777777" w:rsidR="00F235B4" w:rsidRDefault="00F235B4" w:rsidP="0089789C">
      <w:pPr>
        <w:spacing w:line="240" w:lineRule="auto"/>
      </w:pPr>
      <w:r>
        <w:continuationSeparator/>
      </w:r>
    </w:p>
  </w:endnote>
  <w:endnote w:type="continuationNotice" w:id="1">
    <w:p w14:paraId="457BF7ED" w14:textId="77777777" w:rsidR="00F235B4" w:rsidRDefault="00F235B4">
      <w:pPr>
        <w:spacing w:line="240" w:lineRule="auto"/>
      </w:pPr>
    </w:p>
  </w:endnote>
  <w:endnote w:id="2">
    <w:p w14:paraId="57D873D8" w14:textId="6F171B1E" w:rsidR="00C55D68" w:rsidRPr="00AA0952" w:rsidRDefault="00C55D68" w:rsidP="00C55D68">
      <w:pPr>
        <w:pStyle w:val="EndnoteText"/>
        <w:rPr>
          <w:rFonts w:ascii="Arial" w:hAnsi="Arial" w:cs="Arial"/>
          <w:sz w:val="16"/>
          <w:szCs w:val="16"/>
        </w:rPr>
      </w:pPr>
      <w:r w:rsidRPr="00AA0952">
        <w:rPr>
          <w:rStyle w:val="EndnoteReference"/>
          <w:rFonts w:ascii="Arial" w:hAnsi="Arial" w:cs="Arial"/>
          <w:sz w:val="16"/>
          <w:szCs w:val="16"/>
        </w:rPr>
        <w:endnoteRef/>
      </w:r>
      <w:r w:rsidRPr="00AA0952">
        <w:rPr>
          <w:rFonts w:ascii="Arial" w:hAnsi="Arial" w:cs="Arial"/>
          <w:sz w:val="16"/>
          <w:szCs w:val="16"/>
        </w:rPr>
        <w:t xml:space="preserve"> Bissonnette, R et al. Icotrokinra, a Targeted Oral Peptide That Selectively Blocks the Interleukin-23–Receptor, for the Treatment of Moderate-to-Severe Plaque Psoriasis: Results Through Week 24 of the Phase 3, Randomized, Double-blind, Placebo-Controlled ICONIC-LEAD Trial. Late-breaking research presentation (Abstract #</w:t>
      </w:r>
      <w:r w:rsidR="009068FD">
        <w:rPr>
          <w:rFonts w:ascii="Arial" w:hAnsi="Arial" w:cs="Arial"/>
          <w:sz w:val="16"/>
          <w:szCs w:val="16"/>
        </w:rPr>
        <w:t>66708</w:t>
      </w:r>
      <w:r w:rsidRPr="00AA0952">
        <w:rPr>
          <w:rFonts w:ascii="Arial" w:hAnsi="Arial" w:cs="Arial"/>
          <w:sz w:val="16"/>
          <w:szCs w:val="16"/>
        </w:rPr>
        <w:t>) at the American Academy of Dermatology (AAD) 2024 Annual Meeting. March 2025.</w:t>
      </w:r>
    </w:p>
  </w:endnote>
  <w:endnote w:id="3">
    <w:p w14:paraId="064BA881" w14:textId="77777777" w:rsidR="00C55D68" w:rsidRPr="00AA0952" w:rsidRDefault="00C55D68" w:rsidP="00C55D68">
      <w:pPr>
        <w:pStyle w:val="EndnoteText"/>
        <w:rPr>
          <w:rFonts w:ascii="Arial" w:hAnsi="Arial" w:cs="Arial"/>
          <w:sz w:val="16"/>
          <w:szCs w:val="16"/>
        </w:rPr>
      </w:pPr>
      <w:r w:rsidRPr="00AA0952">
        <w:rPr>
          <w:rStyle w:val="EndnoteReference"/>
          <w:rFonts w:ascii="Arial" w:hAnsi="Arial" w:cs="Arial"/>
          <w:sz w:val="16"/>
          <w:szCs w:val="16"/>
        </w:rPr>
        <w:endnoteRef/>
      </w:r>
      <w:r w:rsidRPr="00AA0952">
        <w:rPr>
          <w:rFonts w:ascii="Arial" w:hAnsi="Arial" w:cs="Arial"/>
          <w:sz w:val="16"/>
          <w:szCs w:val="16"/>
        </w:rPr>
        <w:t xml:space="preserve"> Data on file.</w:t>
      </w:r>
    </w:p>
  </w:endnote>
  <w:endnote w:id="4">
    <w:p w14:paraId="1F8C1117" w14:textId="77777777" w:rsidR="00C55D68" w:rsidRPr="00AA0952" w:rsidRDefault="00C55D68" w:rsidP="00C55D68">
      <w:pPr>
        <w:pStyle w:val="EndnoteText"/>
        <w:rPr>
          <w:rFonts w:ascii="Arial" w:hAnsi="Arial" w:cs="Arial"/>
          <w:color w:val="000000" w:themeColor="text1"/>
          <w:sz w:val="16"/>
          <w:szCs w:val="16"/>
        </w:rPr>
      </w:pPr>
      <w:r w:rsidRPr="00AA0952">
        <w:rPr>
          <w:rStyle w:val="EndnoteReference"/>
          <w:rFonts w:ascii="Arial" w:hAnsi="Arial" w:cs="Arial"/>
          <w:sz w:val="16"/>
          <w:szCs w:val="16"/>
        </w:rPr>
        <w:endnoteRef/>
      </w:r>
      <w:r w:rsidRPr="00AA0952">
        <w:rPr>
          <w:rFonts w:ascii="Arial" w:hAnsi="Arial" w:cs="Arial"/>
          <w:color w:val="000000" w:themeColor="text1"/>
          <w:sz w:val="16"/>
          <w:szCs w:val="16"/>
        </w:rPr>
        <w:t xml:space="preserve"> </w:t>
      </w:r>
      <w:r w:rsidRPr="00AA0952">
        <w:rPr>
          <w:rFonts w:ascii="Arial" w:hAnsi="Arial" w:cs="Arial"/>
          <w:sz w:val="16"/>
          <w:szCs w:val="16"/>
        </w:rPr>
        <w:t>Data on file.</w:t>
      </w:r>
    </w:p>
  </w:endnote>
  <w:endnote w:id="5">
    <w:p w14:paraId="280434F5"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Simpson E, Bissonnette R, Eichenfield LF, et al. The validated Investigator Global Assessment for Atopic Dermatitis (vIGA-AD™): The development and reliability testing of a novel clinical outcome measurement instrument for the severity of atopic dermatitis [published online April 25, 2020]. J Am Acad Dermatol. doi: 10.1016/j.jaad.2020.04.104.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6">
    <w:p w14:paraId="44706076"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Thompson Jr, D. How the Psoriasis Area and Severity Index works. Everyday Health. Available at: </w:t>
      </w:r>
      <w:hyperlink r:id="rId1" w:history="1">
        <w:r w:rsidRPr="006509E6">
          <w:rPr>
            <w:rStyle w:val="Hyperlink"/>
            <w:rFonts w:ascii="Arial" w:hAnsi="Arial" w:cs="Arial"/>
            <w:color w:val="000000" w:themeColor="text1"/>
            <w:sz w:val="16"/>
            <w:szCs w:val="16"/>
          </w:rPr>
          <w:t>https://www.everydayhealth.com/psoriasis/living-with/how-the-pasi-index-works</w:t>
        </w:r>
      </w:hyperlink>
      <w:r w:rsidRPr="006509E6">
        <w:rPr>
          <w:rFonts w:ascii="Arial" w:hAnsi="Arial" w:cs="Arial"/>
          <w:color w:val="000000" w:themeColor="text1"/>
          <w:sz w:val="16"/>
          <w:szCs w:val="16"/>
        </w:rPr>
        <w:t xml:space="preserve">.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7">
    <w:p w14:paraId="26317752"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Protagonist Therapeutics. Press release. Protagonist announces advancement of JNJ-2113 across multiple indications. Available at: https://www.accesswire.com/791174/protagonist-announces-advancement-of-jnj-2113-across-multiple-indications.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8">
    <w:p w14:paraId="52BB4035"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Clinicaltrials.gov. A study of JNJ-2113 in adolescent and adult participants with moderate-to-severe plaque psoriasis (ICONIC-LEAD). Identifier NCT06095115. https://classic.clinicaltrials.gov/ct2/show/NCT06095115.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9">
    <w:p w14:paraId="749B0CAA"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Clinicaltrials.gov. A study of JNJ-2113 for the treatment of participants with plaque psoriasis involving special areas (scalp, genital, and/or palms of the hands and the soles of the feet) (ICONIC-TOTAL). Identifier NCT06095102. https://classic.clinicaltrials.gov/ct2/show/NCT06095102.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10">
    <w:p w14:paraId="7B41C6AC" w14:textId="77777777" w:rsidR="00C55D68" w:rsidRPr="00AA0952" w:rsidRDefault="00C55D68" w:rsidP="00C55D68">
      <w:pPr>
        <w:pStyle w:val="EndnoteText"/>
        <w:rPr>
          <w:rFonts w:ascii="Arial" w:hAnsi="Arial" w:cs="Arial"/>
          <w:sz w:val="16"/>
          <w:szCs w:val="16"/>
        </w:rPr>
      </w:pPr>
      <w:r w:rsidRPr="00AA0952">
        <w:rPr>
          <w:rStyle w:val="EndnoteReference"/>
          <w:rFonts w:ascii="Arial" w:hAnsi="Arial" w:cs="Arial"/>
          <w:sz w:val="16"/>
          <w:szCs w:val="16"/>
        </w:rPr>
        <w:endnoteRef/>
      </w:r>
      <w:r w:rsidRPr="00AA0952">
        <w:rPr>
          <w:rFonts w:ascii="Arial" w:hAnsi="Arial" w:cs="Arial"/>
          <w:sz w:val="16"/>
          <w:szCs w:val="16"/>
        </w:rPr>
        <w:t xml:space="preserve"> Clinicaltrials.gov. A Study of JNJ-77242113 for the Treatment of Participants With Moderate to Severe Plaque Psoriasis. </w:t>
      </w:r>
      <w:r w:rsidRPr="009068FD">
        <w:rPr>
          <w:rFonts w:ascii="Arial" w:hAnsi="Arial" w:cs="Arial"/>
          <w:sz w:val="16"/>
          <w:szCs w:val="16"/>
          <w:lang w:val="fr-FR"/>
        </w:rPr>
        <w:t xml:space="preserve">Identifier NCT06143878. https://clinicaltrials.gov/study/NCT06143878?term=jnj-77242113&amp;rank=10. </w:t>
      </w:r>
      <w:r w:rsidRPr="00AA0952">
        <w:rPr>
          <w:rFonts w:ascii="Arial" w:hAnsi="Arial" w:cs="Arial"/>
          <w:color w:val="000000" w:themeColor="text1"/>
          <w:sz w:val="16"/>
          <w:szCs w:val="16"/>
        </w:rPr>
        <w:t>Accessed March 2025.</w:t>
      </w:r>
    </w:p>
  </w:endnote>
  <w:endnote w:id="11">
    <w:p w14:paraId="256FAA80" w14:textId="77777777" w:rsidR="00C55D68" w:rsidRPr="00AA0952" w:rsidRDefault="00C55D68" w:rsidP="00C55D68">
      <w:pPr>
        <w:pStyle w:val="EndnoteText"/>
        <w:rPr>
          <w:rFonts w:ascii="Arial" w:hAnsi="Arial" w:cs="Arial"/>
          <w:color w:val="000000" w:themeColor="text1"/>
          <w:sz w:val="16"/>
          <w:szCs w:val="16"/>
        </w:rPr>
      </w:pPr>
      <w:r w:rsidRPr="00AA0952">
        <w:rPr>
          <w:rStyle w:val="EndnoteReference"/>
          <w:rFonts w:ascii="Arial" w:hAnsi="Arial" w:cs="Arial"/>
          <w:sz w:val="16"/>
          <w:szCs w:val="16"/>
        </w:rPr>
        <w:endnoteRef/>
      </w:r>
      <w:r w:rsidRPr="00AA0952">
        <w:rPr>
          <w:rFonts w:ascii="Arial" w:hAnsi="Arial" w:cs="Arial"/>
          <w:sz w:val="16"/>
          <w:szCs w:val="16"/>
        </w:rPr>
        <w:t xml:space="preserve"> </w:t>
      </w:r>
      <w:r w:rsidRPr="00AA0952">
        <w:rPr>
          <w:rFonts w:ascii="Arial" w:hAnsi="Arial" w:cs="Arial"/>
          <w:color w:val="000000" w:themeColor="text1"/>
          <w:sz w:val="16"/>
          <w:szCs w:val="16"/>
        </w:rPr>
        <w:t xml:space="preserve">Clinicaltrials.gov. </w:t>
      </w:r>
      <w:r w:rsidRPr="00AA0952">
        <w:rPr>
          <w:rFonts w:ascii="Arial" w:hAnsi="Arial" w:cs="Arial"/>
          <w:sz w:val="16"/>
          <w:szCs w:val="16"/>
        </w:rPr>
        <w:t>A Study of JNJ-77242113 for the Treatment of Participants With Moderate to Severe Plaque Psoriasis (ICONIC-ADVANCE 2)</w:t>
      </w:r>
      <w:r w:rsidRPr="00AA0952">
        <w:rPr>
          <w:rFonts w:ascii="Arial" w:hAnsi="Arial" w:cs="Arial"/>
          <w:color w:val="000000" w:themeColor="text1"/>
          <w:sz w:val="16"/>
          <w:szCs w:val="16"/>
        </w:rPr>
        <w:t>. Identifier NCT06220604. https://clinicaltrials.gov/study/NCT06220604. Accessed March 2025.</w:t>
      </w:r>
    </w:p>
  </w:endnote>
  <w:endnote w:id="12">
    <w:p w14:paraId="47ECA746"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National Psoriasis Foundation. About Psoriasis. Available at: https://www.psoriasis.org/about-psoriasis.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13">
    <w:p w14:paraId="5CD9F9CD"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National Psoriasis Foundation. Psoriasis Statistics. Available at: https://www.psoriasis.org/content/statistics.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14">
    <w:p w14:paraId="3151115A"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National Psoriasis Foundation. Plaque Psoriasis. Available at: https://www.psoriasis.org/plaque/.Accessed </w:t>
      </w:r>
      <w:r w:rsidRPr="00AA0952">
        <w:rPr>
          <w:rFonts w:ascii="Arial" w:hAnsi="Arial" w:cs="Arial"/>
          <w:color w:val="000000" w:themeColor="text1"/>
          <w:sz w:val="16"/>
          <w:szCs w:val="16"/>
        </w:rPr>
        <w:t>March 2025.</w:t>
      </w:r>
    </w:p>
  </w:endnote>
  <w:endnote w:id="15">
    <w:p w14:paraId="0E138868"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National Psoriasis Foundation. Life with Psoriasis. Available at: https://www.psoriasis.org/life-with-psoriasis/.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16">
    <w:p w14:paraId="1E64C80A" w14:textId="77777777" w:rsidR="00C55D68" w:rsidRPr="006509E6" w:rsidRDefault="00C55D68" w:rsidP="00C55D68">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National Psoriasis Foundation. High Impact Sites. Available at: </w:t>
      </w:r>
      <w:hyperlink r:id="rId2" w:history="1">
        <w:r w:rsidRPr="006509E6">
          <w:rPr>
            <w:rStyle w:val="Hyperlink"/>
            <w:rFonts w:ascii="Arial" w:hAnsi="Arial" w:cs="Arial"/>
            <w:color w:val="000000" w:themeColor="text1"/>
            <w:sz w:val="16"/>
            <w:szCs w:val="16"/>
          </w:rPr>
          <w:t>https://www.psoriasis.org/high-impact-sites/</w:t>
        </w:r>
      </w:hyperlink>
      <w:r w:rsidRPr="006509E6">
        <w:rPr>
          <w:rFonts w:ascii="Arial" w:hAnsi="Arial" w:cs="Arial"/>
          <w:color w:val="000000" w:themeColor="text1"/>
          <w:sz w:val="16"/>
          <w:szCs w:val="16"/>
        </w:rPr>
        <w:t xml:space="preserve">. Accessed Sep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17">
    <w:p w14:paraId="24C987EF" w14:textId="77777777" w:rsidR="00CD3633" w:rsidRPr="00AA0952" w:rsidRDefault="00CD3633" w:rsidP="00CD3633">
      <w:pPr>
        <w:pStyle w:val="EndnoteText"/>
        <w:rPr>
          <w:rFonts w:ascii="Arial" w:hAnsi="Arial" w:cs="Arial"/>
          <w:sz w:val="16"/>
          <w:szCs w:val="16"/>
        </w:rPr>
      </w:pPr>
      <w:r w:rsidRPr="00AA0952">
        <w:rPr>
          <w:rStyle w:val="EndnoteReference"/>
          <w:rFonts w:ascii="Arial" w:hAnsi="Arial" w:cs="Arial"/>
          <w:sz w:val="16"/>
          <w:szCs w:val="16"/>
        </w:rPr>
        <w:endnoteRef/>
      </w:r>
      <w:r w:rsidRPr="00E43BF8">
        <w:rPr>
          <w:rFonts w:ascii="Arial" w:hAnsi="Arial" w:cs="Arial"/>
          <w:sz w:val="16"/>
          <w:szCs w:val="16"/>
          <w:lang w:val="en-US"/>
        </w:rPr>
        <w:t xml:space="preserve"> </w:t>
      </w:r>
      <w:r w:rsidRPr="00E43BF8">
        <w:rPr>
          <w:rFonts w:ascii="Arial" w:eastAsia="Segoe UI" w:hAnsi="Arial" w:cs="Arial"/>
          <w:color w:val="000000" w:themeColor="text1"/>
          <w:sz w:val="16"/>
          <w:szCs w:val="16"/>
          <w:lang w:val="en-US"/>
        </w:rPr>
        <w:t xml:space="preserve">Bissonnette R, et al. Data presentation. </w:t>
      </w:r>
      <w:r w:rsidRPr="006509E6">
        <w:rPr>
          <w:rFonts w:ascii="Arial" w:eastAsia="Segoe UI" w:hAnsi="Arial" w:cs="Arial"/>
          <w:color w:val="000000" w:themeColor="text1"/>
          <w:sz w:val="16"/>
          <w:szCs w:val="16"/>
        </w:rPr>
        <w:t>A phase 2, randomized, placebo-controlled, dose-ranging study of oral JNJ-77242113 for the treatment of moderate-to-severe plaque psoriasis: FRONTIER 1. Presented at WCD 2023, July 3-8.</w:t>
      </w:r>
    </w:p>
  </w:endnote>
  <w:endnote w:id="18">
    <w:p w14:paraId="6270925F" w14:textId="77777777" w:rsidR="00CD3633" w:rsidRPr="006509E6" w:rsidRDefault="00CD3633" w:rsidP="00CD3633">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w:t>
      </w:r>
      <w:r w:rsidRPr="006509E6">
        <w:rPr>
          <w:rFonts w:ascii="Arial" w:hAnsi="Arial" w:cs="Arial"/>
          <w:color w:val="000000" w:themeColor="text1"/>
          <w:sz w:val="16"/>
          <w:szCs w:val="16"/>
        </w:rPr>
        <w:t>Razawy W, et al. The role of IL</w:t>
      </w:r>
      <w:r w:rsidRPr="006509E6">
        <w:rPr>
          <w:rFonts w:ascii="Cambria Math" w:hAnsi="Cambria Math" w:cs="Cambria Math"/>
          <w:color w:val="000000" w:themeColor="text1"/>
          <w:sz w:val="16"/>
          <w:szCs w:val="16"/>
        </w:rPr>
        <w:t>‐</w:t>
      </w:r>
      <w:r w:rsidRPr="006509E6">
        <w:rPr>
          <w:rFonts w:ascii="Arial" w:hAnsi="Arial" w:cs="Arial"/>
          <w:color w:val="000000" w:themeColor="text1"/>
          <w:sz w:val="16"/>
          <w:szCs w:val="16"/>
        </w:rPr>
        <w:t>23 receptor signaling in inflammation</w:t>
      </w:r>
      <w:r w:rsidRPr="006509E6">
        <w:rPr>
          <w:rFonts w:ascii="Cambria Math" w:hAnsi="Cambria Math" w:cs="Cambria Math"/>
          <w:color w:val="000000" w:themeColor="text1"/>
          <w:sz w:val="16"/>
          <w:szCs w:val="16"/>
        </w:rPr>
        <w:t>‐</w:t>
      </w:r>
      <w:r w:rsidRPr="006509E6">
        <w:rPr>
          <w:rFonts w:ascii="Arial" w:hAnsi="Arial" w:cs="Arial"/>
          <w:color w:val="000000" w:themeColor="text1"/>
          <w:sz w:val="16"/>
          <w:szCs w:val="16"/>
        </w:rPr>
        <w:t>mediated erosive autoimmune arthritis and bone remodeling. </w:t>
      </w:r>
      <w:r w:rsidRPr="006509E6">
        <w:rPr>
          <w:rFonts w:ascii="Arial" w:hAnsi="Arial" w:cs="Arial"/>
          <w:i/>
          <w:iCs/>
          <w:color w:val="000000" w:themeColor="text1"/>
          <w:sz w:val="16"/>
          <w:szCs w:val="16"/>
        </w:rPr>
        <w:t>Eur J Immunol</w:t>
      </w:r>
      <w:r w:rsidRPr="006509E6">
        <w:rPr>
          <w:rFonts w:ascii="Arial" w:hAnsi="Arial" w:cs="Arial"/>
          <w:color w:val="000000" w:themeColor="text1"/>
          <w:sz w:val="16"/>
          <w:szCs w:val="16"/>
        </w:rPr>
        <w:t>. 2018 Feb; 48(2): 220–229.</w:t>
      </w:r>
    </w:p>
  </w:endnote>
  <w:endnote w:id="19">
    <w:p w14:paraId="13AC2958" w14:textId="77777777" w:rsidR="00CD3633" w:rsidRPr="006509E6" w:rsidRDefault="00CD3633" w:rsidP="00CD3633">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Tang C, et al. Interleukin-23: as a drug target for autoimmune inflammatory diseases. </w:t>
      </w:r>
      <w:r w:rsidRPr="006509E6">
        <w:rPr>
          <w:rFonts w:ascii="Arial" w:hAnsi="Arial" w:cs="Arial"/>
          <w:i/>
          <w:iCs/>
          <w:color w:val="000000" w:themeColor="text1"/>
          <w:sz w:val="16"/>
          <w:szCs w:val="16"/>
        </w:rPr>
        <w:t>Immunology</w:t>
      </w:r>
      <w:r w:rsidRPr="006509E6">
        <w:rPr>
          <w:rFonts w:ascii="Arial" w:hAnsi="Arial" w:cs="Arial"/>
          <w:color w:val="000000" w:themeColor="text1"/>
          <w:sz w:val="16"/>
          <w:szCs w:val="16"/>
        </w:rPr>
        <w:t>. 2012 Feb; 135(2): 112–124.</w:t>
      </w:r>
    </w:p>
  </w:endnote>
  <w:endnote w:id="20">
    <w:p w14:paraId="4EBADED9" w14:textId="77777777" w:rsidR="00CD3633" w:rsidRPr="006509E6" w:rsidRDefault="00CD3633" w:rsidP="00CD3633">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Pinter A, et al. Data Presentation. JNJ-77242113 Treatment Induces a Strong Systemic Pharmacodynamic Response Versus Placebo in Serum Samples of Patients with Plaque Psoriasis: Results from the Phase 2, FRONTIER 1 Study. Presented at EADV 2023, October 11-14.</w:t>
      </w:r>
    </w:p>
  </w:endnote>
  <w:endnote w:id="21">
    <w:p w14:paraId="7204086A" w14:textId="77777777" w:rsidR="00CD3633" w:rsidRPr="006509E6" w:rsidRDefault="00CD3633" w:rsidP="00CD3633">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Johnson &amp; Johnson. Press release. Janssen enters into worldwide exclusive license and collaboration agreement with Protagonist Therapeutics, Inc. for the oral Interlukin-23 receptor antagonist drug candidate for the treatment of Inflammatory Bowel Disease. Available at: https://www.jnj.com/media-center/press-releases/janssen-enters-into-worldwide-exclusive-license-and-collaboration-agreement-with-protagonist-therapeutics-inc-for-the-oral-interlukin-23-receptor-antagonist-drug-candidate-for-the-treatment-of-inflammatory-bowel-disease.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22">
    <w:p w14:paraId="1FC3C5B1" w14:textId="77777777" w:rsidR="00CD3633" w:rsidRPr="006509E6" w:rsidRDefault="00CD3633" w:rsidP="00CD3633">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Protagonist Therapeutics. Press release. Protagonist Therapeutics announces amendment of agreement with Janssen Biotech for the continued development and commercialization of IL-23 antagonists. Available at: https://www.prnewswire.com/news-releases/protagonist-therapeutics-announces-amendment-of-agreement-with-janssen-biotech-for-the-continued-development-and-commercialization-of-il-23-antagonists-301343621.html.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23">
    <w:p w14:paraId="3483E274" w14:textId="77777777" w:rsidR="00CD3633" w:rsidRPr="006509E6" w:rsidRDefault="00CD3633" w:rsidP="00CD3633">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Protagonist Therapeutics. Press release. Protagonist Reports positive results from Phase 1 and pre-clinical studies of oral Interleukin-23 receptor antagonist JNJ-2113. Available at: https://www.prnewswire.com/news-releases/protagonist-reports-positive-results-from-phase-1-and-pre-clinical-studies-of-oral-interleukin-23-receptor-antagonist-jnj-2113-301823039.html.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 w:id="24">
    <w:p w14:paraId="42935D19" w14:textId="77777777" w:rsidR="00CD3633" w:rsidRPr="006509E6" w:rsidRDefault="00CD3633" w:rsidP="00CD3633">
      <w:pPr>
        <w:pStyle w:val="EndnoteText"/>
        <w:rPr>
          <w:rFonts w:ascii="Arial" w:hAnsi="Arial" w:cs="Arial"/>
          <w:color w:val="000000" w:themeColor="text1"/>
          <w:sz w:val="16"/>
          <w:szCs w:val="16"/>
        </w:rPr>
      </w:pPr>
      <w:r w:rsidRPr="006509E6">
        <w:rPr>
          <w:rStyle w:val="EndnoteReference"/>
          <w:rFonts w:ascii="Arial" w:hAnsi="Arial" w:cs="Arial"/>
          <w:color w:val="000000" w:themeColor="text1"/>
          <w:sz w:val="16"/>
          <w:szCs w:val="16"/>
        </w:rPr>
        <w:endnoteRef/>
      </w:r>
      <w:r w:rsidRPr="006509E6">
        <w:rPr>
          <w:rFonts w:ascii="Arial" w:hAnsi="Arial" w:cs="Arial"/>
          <w:color w:val="000000" w:themeColor="text1"/>
          <w:sz w:val="16"/>
          <w:szCs w:val="16"/>
        </w:rPr>
        <w:t xml:space="preserve"> Protagonist Therapeutics. Press release. Protagonist Therapeutics announces positive topline results for Phase 2b FRONTIER 1 clinical trial of oral IL-23 receptor antagonist JNJ-2113 (PN-235) in psoriasis. Available at: https://www.prnewswire.com/news-releases/protagonist-therapeutics-announces-positive-topline-results-for-phase-2b-frontier-1-clinical-trial-of-oral-il-23-receptor-antagonist-jnj-2113-pn-235-in-psoriasis-301764181.html. Accessed </w:t>
      </w:r>
      <w:r w:rsidRPr="00AA0952">
        <w:rPr>
          <w:rFonts w:ascii="Arial" w:hAnsi="Arial" w:cs="Arial"/>
          <w:color w:val="000000" w:themeColor="text1"/>
          <w:sz w:val="16"/>
          <w:szCs w:val="16"/>
        </w:rPr>
        <w:t>March 2025</w:t>
      </w:r>
      <w:r w:rsidRPr="006509E6">
        <w:rPr>
          <w:rFonts w:ascii="Arial" w:hAnsi="Arial" w:cs="Arial"/>
          <w:color w:val="000000" w:themeColor="text1"/>
          <w:sz w:val="16"/>
          <w:szCs w:val="16"/>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9091216"/>
      <w:docPartObj>
        <w:docPartGallery w:val="Page Numbers (Bottom of Page)"/>
        <w:docPartUnique/>
      </w:docPartObj>
    </w:sdtPr>
    <w:sdtEndPr>
      <w:rPr>
        <w:noProof/>
      </w:rPr>
    </w:sdtEndPr>
    <w:sdtContent>
      <w:p w14:paraId="0DDC3A18" w14:textId="18AA855C" w:rsidR="00641FEE" w:rsidRDefault="00641F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2B47F" w14:textId="77777777" w:rsidR="00641FEE" w:rsidRDefault="00641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C855D" w14:textId="77777777" w:rsidR="00F235B4" w:rsidRDefault="00F235B4" w:rsidP="0089789C">
      <w:pPr>
        <w:spacing w:line="240" w:lineRule="auto"/>
      </w:pPr>
      <w:r>
        <w:separator/>
      </w:r>
    </w:p>
  </w:footnote>
  <w:footnote w:type="continuationSeparator" w:id="0">
    <w:p w14:paraId="54DFB216" w14:textId="77777777" w:rsidR="00F235B4" w:rsidRDefault="00F235B4" w:rsidP="0089789C">
      <w:pPr>
        <w:spacing w:line="240" w:lineRule="auto"/>
      </w:pPr>
      <w:r>
        <w:continuationSeparator/>
      </w:r>
    </w:p>
  </w:footnote>
  <w:footnote w:type="continuationNotice" w:id="1">
    <w:p w14:paraId="6ED9C16F" w14:textId="77777777" w:rsidR="00F235B4" w:rsidRDefault="00F235B4">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AB7874"/>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B94031"/>
    <w:multiLevelType w:val="hybridMultilevel"/>
    <w:tmpl w:val="96826B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C90616"/>
    <w:multiLevelType w:val="multilevel"/>
    <w:tmpl w:val="47E8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480316"/>
    <w:multiLevelType w:val="hybridMultilevel"/>
    <w:tmpl w:val="49DCE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320467"/>
    <w:multiLevelType w:val="hybridMultilevel"/>
    <w:tmpl w:val="180A8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130296"/>
    <w:multiLevelType w:val="hybridMultilevel"/>
    <w:tmpl w:val="DE8C42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7D5688"/>
    <w:multiLevelType w:val="multilevel"/>
    <w:tmpl w:val="B186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0456A2"/>
    <w:multiLevelType w:val="hybridMultilevel"/>
    <w:tmpl w:val="F998CB1C"/>
    <w:lvl w:ilvl="0" w:tplc="6C36C98E">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69C797F"/>
    <w:multiLevelType w:val="hybridMultilevel"/>
    <w:tmpl w:val="79901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02029D"/>
    <w:multiLevelType w:val="multilevel"/>
    <w:tmpl w:val="F114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DB0540"/>
    <w:multiLevelType w:val="hybridMultilevel"/>
    <w:tmpl w:val="38461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EE3C8C"/>
    <w:multiLevelType w:val="multilevel"/>
    <w:tmpl w:val="FD82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732E0A"/>
    <w:multiLevelType w:val="hybridMultilevel"/>
    <w:tmpl w:val="E8AE1878"/>
    <w:lvl w:ilvl="0" w:tplc="1E6A1832">
      <w:start w:val="1"/>
      <w:numFmt w:val="bullet"/>
      <w:lvlText w:val="•"/>
      <w:lvlJc w:val="left"/>
      <w:pPr>
        <w:tabs>
          <w:tab w:val="num" w:pos="720"/>
        </w:tabs>
        <w:ind w:left="720" w:hanging="360"/>
      </w:pPr>
      <w:rPr>
        <w:rFonts w:ascii="Arial" w:hAnsi="Arial" w:hint="default"/>
      </w:rPr>
    </w:lvl>
    <w:lvl w:ilvl="1" w:tplc="9438BAD6">
      <w:numFmt w:val="bullet"/>
      <w:lvlText w:val="•"/>
      <w:lvlJc w:val="left"/>
      <w:pPr>
        <w:tabs>
          <w:tab w:val="num" w:pos="1440"/>
        </w:tabs>
        <w:ind w:left="1440" w:hanging="360"/>
      </w:pPr>
      <w:rPr>
        <w:rFonts w:ascii="Arial" w:hAnsi="Arial" w:hint="default"/>
      </w:rPr>
    </w:lvl>
    <w:lvl w:ilvl="2" w:tplc="29F64A2A" w:tentative="1">
      <w:start w:val="1"/>
      <w:numFmt w:val="bullet"/>
      <w:lvlText w:val="•"/>
      <w:lvlJc w:val="left"/>
      <w:pPr>
        <w:tabs>
          <w:tab w:val="num" w:pos="2160"/>
        </w:tabs>
        <w:ind w:left="2160" w:hanging="360"/>
      </w:pPr>
      <w:rPr>
        <w:rFonts w:ascii="Arial" w:hAnsi="Arial" w:hint="default"/>
      </w:rPr>
    </w:lvl>
    <w:lvl w:ilvl="3" w:tplc="9886E72E" w:tentative="1">
      <w:start w:val="1"/>
      <w:numFmt w:val="bullet"/>
      <w:lvlText w:val="•"/>
      <w:lvlJc w:val="left"/>
      <w:pPr>
        <w:tabs>
          <w:tab w:val="num" w:pos="2880"/>
        </w:tabs>
        <w:ind w:left="2880" w:hanging="360"/>
      </w:pPr>
      <w:rPr>
        <w:rFonts w:ascii="Arial" w:hAnsi="Arial" w:hint="default"/>
      </w:rPr>
    </w:lvl>
    <w:lvl w:ilvl="4" w:tplc="88B2ACC8" w:tentative="1">
      <w:start w:val="1"/>
      <w:numFmt w:val="bullet"/>
      <w:lvlText w:val="•"/>
      <w:lvlJc w:val="left"/>
      <w:pPr>
        <w:tabs>
          <w:tab w:val="num" w:pos="3600"/>
        </w:tabs>
        <w:ind w:left="3600" w:hanging="360"/>
      </w:pPr>
      <w:rPr>
        <w:rFonts w:ascii="Arial" w:hAnsi="Arial" w:hint="default"/>
      </w:rPr>
    </w:lvl>
    <w:lvl w:ilvl="5" w:tplc="0F26A8F0" w:tentative="1">
      <w:start w:val="1"/>
      <w:numFmt w:val="bullet"/>
      <w:lvlText w:val="•"/>
      <w:lvlJc w:val="left"/>
      <w:pPr>
        <w:tabs>
          <w:tab w:val="num" w:pos="4320"/>
        </w:tabs>
        <w:ind w:left="4320" w:hanging="360"/>
      </w:pPr>
      <w:rPr>
        <w:rFonts w:ascii="Arial" w:hAnsi="Arial" w:hint="default"/>
      </w:rPr>
    </w:lvl>
    <w:lvl w:ilvl="6" w:tplc="A3F47AF2" w:tentative="1">
      <w:start w:val="1"/>
      <w:numFmt w:val="bullet"/>
      <w:lvlText w:val="•"/>
      <w:lvlJc w:val="left"/>
      <w:pPr>
        <w:tabs>
          <w:tab w:val="num" w:pos="5040"/>
        </w:tabs>
        <w:ind w:left="5040" w:hanging="360"/>
      </w:pPr>
      <w:rPr>
        <w:rFonts w:ascii="Arial" w:hAnsi="Arial" w:hint="default"/>
      </w:rPr>
    </w:lvl>
    <w:lvl w:ilvl="7" w:tplc="3B12960E" w:tentative="1">
      <w:start w:val="1"/>
      <w:numFmt w:val="bullet"/>
      <w:lvlText w:val="•"/>
      <w:lvlJc w:val="left"/>
      <w:pPr>
        <w:tabs>
          <w:tab w:val="num" w:pos="5760"/>
        </w:tabs>
        <w:ind w:left="5760" w:hanging="360"/>
      </w:pPr>
      <w:rPr>
        <w:rFonts w:ascii="Arial" w:hAnsi="Arial" w:hint="default"/>
      </w:rPr>
    </w:lvl>
    <w:lvl w:ilvl="8" w:tplc="31B6792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60606B0"/>
    <w:multiLevelType w:val="hybridMultilevel"/>
    <w:tmpl w:val="A03E0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2A6ED6"/>
    <w:multiLevelType w:val="hybridMultilevel"/>
    <w:tmpl w:val="A81E10C4"/>
    <w:lvl w:ilvl="0" w:tplc="6D10738C">
      <w:start w:val="1"/>
      <w:numFmt w:val="bullet"/>
      <w:lvlText w:val="•"/>
      <w:lvlJc w:val="left"/>
      <w:pPr>
        <w:tabs>
          <w:tab w:val="num" w:pos="720"/>
        </w:tabs>
        <w:ind w:left="720" w:hanging="360"/>
      </w:pPr>
      <w:rPr>
        <w:rFonts w:ascii="Arial" w:hAnsi="Arial" w:hint="default"/>
      </w:rPr>
    </w:lvl>
    <w:lvl w:ilvl="1" w:tplc="648CDA8C" w:tentative="1">
      <w:start w:val="1"/>
      <w:numFmt w:val="bullet"/>
      <w:lvlText w:val="•"/>
      <w:lvlJc w:val="left"/>
      <w:pPr>
        <w:tabs>
          <w:tab w:val="num" w:pos="1440"/>
        </w:tabs>
        <w:ind w:left="1440" w:hanging="360"/>
      </w:pPr>
      <w:rPr>
        <w:rFonts w:ascii="Arial" w:hAnsi="Arial" w:hint="default"/>
      </w:rPr>
    </w:lvl>
    <w:lvl w:ilvl="2" w:tplc="AC1E65D0" w:tentative="1">
      <w:start w:val="1"/>
      <w:numFmt w:val="bullet"/>
      <w:lvlText w:val="•"/>
      <w:lvlJc w:val="left"/>
      <w:pPr>
        <w:tabs>
          <w:tab w:val="num" w:pos="2160"/>
        </w:tabs>
        <w:ind w:left="2160" w:hanging="360"/>
      </w:pPr>
      <w:rPr>
        <w:rFonts w:ascii="Arial" w:hAnsi="Arial" w:hint="default"/>
      </w:rPr>
    </w:lvl>
    <w:lvl w:ilvl="3" w:tplc="525AC5D0" w:tentative="1">
      <w:start w:val="1"/>
      <w:numFmt w:val="bullet"/>
      <w:lvlText w:val="•"/>
      <w:lvlJc w:val="left"/>
      <w:pPr>
        <w:tabs>
          <w:tab w:val="num" w:pos="2880"/>
        </w:tabs>
        <w:ind w:left="2880" w:hanging="360"/>
      </w:pPr>
      <w:rPr>
        <w:rFonts w:ascii="Arial" w:hAnsi="Arial" w:hint="default"/>
      </w:rPr>
    </w:lvl>
    <w:lvl w:ilvl="4" w:tplc="2E9EB542" w:tentative="1">
      <w:start w:val="1"/>
      <w:numFmt w:val="bullet"/>
      <w:lvlText w:val="•"/>
      <w:lvlJc w:val="left"/>
      <w:pPr>
        <w:tabs>
          <w:tab w:val="num" w:pos="3600"/>
        </w:tabs>
        <w:ind w:left="3600" w:hanging="360"/>
      </w:pPr>
      <w:rPr>
        <w:rFonts w:ascii="Arial" w:hAnsi="Arial" w:hint="default"/>
      </w:rPr>
    </w:lvl>
    <w:lvl w:ilvl="5" w:tplc="53EE28C4" w:tentative="1">
      <w:start w:val="1"/>
      <w:numFmt w:val="bullet"/>
      <w:lvlText w:val="•"/>
      <w:lvlJc w:val="left"/>
      <w:pPr>
        <w:tabs>
          <w:tab w:val="num" w:pos="4320"/>
        </w:tabs>
        <w:ind w:left="4320" w:hanging="360"/>
      </w:pPr>
      <w:rPr>
        <w:rFonts w:ascii="Arial" w:hAnsi="Arial" w:hint="default"/>
      </w:rPr>
    </w:lvl>
    <w:lvl w:ilvl="6" w:tplc="6F56BBEC" w:tentative="1">
      <w:start w:val="1"/>
      <w:numFmt w:val="bullet"/>
      <w:lvlText w:val="•"/>
      <w:lvlJc w:val="left"/>
      <w:pPr>
        <w:tabs>
          <w:tab w:val="num" w:pos="5040"/>
        </w:tabs>
        <w:ind w:left="5040" w:hanging="360"/>
      </w:pPr>
      <w:rPr>
        <w:rFonts w:ascii="Arial" w:hAnsi="Arial" w:hint="default"/>
      </w:rPr>
    </w:lvl>
    <w:lvl w:ilvl="7" w:tplc="E27C2FC8" w:tentative="1">
      <w:start w:val="1"/>
      <w:numFmt w:val="bullet"/>
      <w:lvlText w:val="•"/>
      <w:lvlJc w:val="left"/>
      <w:pPr>
        <w:tabs>
          <w:tab w:val="num" w:pos="5760"/>
        </w:tabs>
        <w:ind w:left="5760" w:hanging="360"/>
      </w:pPr>
      <w:rPr>
        <w:rFonts w:ascii="Arial" w:hAnsi="Arial" w:hint="default"/>
      </w:rPr>
    </w:lvl>
    <w:lvl w:ilvl="8" w:tplc="775218D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609F78DB"/>
    <w:multiLevelType w:val="hybridMultilevel"/>
    <w:tmpl w:val="71A655D2"/>
    <w:lvl w:ilvl="0" w:tplc="6C36C98E">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181090"/>
    <w:multiLevelType w:val="hybridMultilevel"/>
    <w:tmpl w:val="46021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26D4817"/>
    <w:multiLevelType w:val="multilevel"/>
    <w:tmpl w:val="CB4CA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EB8C5C"/>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6B475FC0"/>
    <w:multiLevelType w:val="hybridMultilevel"/>
    <w:tmpl w:val="22125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314B8E"/>
    <w:multiLevelType w:val="hybridMultilevel"/>
    <w:tmpl w:val="7A9A02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32D60EF"/>
    <w:multiLevelType w:val="multilevel"/>
    <w:tmpl w:val="EE7A5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8587224">
    <w:abstractNumId w:val="9"/>
  </w:num>
  <w:num w:numId="2" w16cid:durableId="2004581467">
    <w:abstractNumId w:val="17"/>
  </w:num>
  <w:num w:numId="3" w16cid:durableId="1375691069">
    <w:abstractNumId w:val="2"/>
  </w:num>
  <w:num w:numId="4" w16cid:durableId="357974982">
    <w:abstractNumId w:val="6"/>
  </w:num>
  <w:num w:numId="5" w16cid:durableId="836192596">
    <w:abstractNumId w:val="11"/>
  </w:num>
  <w:num w:numId="6" w16cid:durableId="1637176643">
    <w:abstractNumId w:val="8"/>
  </w:num>
  <w:num w:numId="7" w16cid:durableId="1010569286">
    <w:abstractNumId w:val="12"/>
  </w:num>
  <w:num w:numId="8" w16cid:durableId="313066408">
    <w:abstractNumId w:val="14"/>
  </w:num>
  <w:num w:numId="9" w16cid:durableId="299506771">
    <w:abstractNumId w:val="16"/>
  </w:num>
  <w:num w:numId="10" w16cid:durableId="250701725">
    <w:abstractNumId w:val="10"/>
  </w:num>
  <w:num w:numId="11" w16cid:durableId="2034185189">
    <w:abstractNumId w:val="4"/>
  </w:num>
  <w:num w:numId="12" w16cid:durableId="665130558">
    <w:abstractNumId w:val="20"/>
  </w:num>
  <w:num w:numId="13" w16cid:durableId="988023899">
    <w:abstractNumId w:val="15"/>
  </w:num>
  <w:num w:numId="14" w16cid:durableId="2074965012">
    <w:abstractNumId w:val="21"/>
  </w:num>
  <w:num w:numId="15" w16cid:durableId="447971107">
    <w:abstractNumId w:val="0"/>
  </w:num>
  <w:num w:numId="16" w16cid:durableId="874467833">
    <w:abstractNumId w:val="5"/>
  </w:num>
  <w:num w:numId="17" w16cid:durableId="754933610">
    <w:abstractNumId w:val="7"/>
  </w:num>
  <w:num w:numId="18" w16cid:durableId="586497887">
    <w:abstractNumId w:val="18"/>
  </w:num>
  <w:num w:numId="19" w16cid:durableId="168757608">
    <w:abstractNumId w:val="1"/>
  </w:num>
  <w:num w:numId="20" w16cid:durableId="1599480517">
    <w:abstractNumId w:val="3"/>
  </w:num>
  <w:num w:numId="21" w16cid:durableId="761487541">
    <w:abstractNumId w:val="13"/>
  </w:num>
  <w:num w:numId="22" w16cid:durableId="2019770341">
    <w:abstractNumId w:val="1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1297"/>
    <w:rsid w:val="00001D23"/>
    <w:rsid w:val="0000310A"/>
    <w:rsid w:val="00003247"/>
    <w:rsid w:val="00003AC0"/>
    <w:rsid w:val="0000514F"/>
    <w:rsid w:val="00005AD1"/>
    <w:rsid w:val="00005F76"/>
    <w:rsid w:val="0000647A"/>
    <w:rsid w:val="000067FA"/>
    <w:rsid w:val="0000763B"/>
    <w:rsid w:val="0000770B"/>
    <w:rsid w:val="0001063D"/>
    <w:rsid w:val="00010D95"/>
    <w:rsid w:val="00011946"/>
    <w:rsid w:val="00012161"/>
    <w:rsid w:val="00012248"/>
    <w:rsid w:val="000125FD"/>
    <w:rsid w:val="00013009"/>
    <w:rsid w:val="000138A8"/>
    <w:rsid w:val="00013F8A"/>
    <w:rsid w:val="0001448D"/>
    <w:rsid w:val="00015099"/>
    <w:rsid w:val="0001525D"/>
    <w:rsid w:val="000152E3"/>
    <w:rsid w:val="0001541D"/>
    <w:rsid w:val="0001612D"/>
    <w:rsid w:val="00016624"/>
    <w:rsid w:val="000211E6"/>
    <w:rsid w:val="00021252"/>
    <w:rsid w:val="00023F9C"/>
    <w:rsid w:val="00024AAA"/>
    <w:rsid w:val="00025409"/>
    <w:rsid w:val="00025A0E"/>
    <w:rsid w:val="000261F2"/>
    <w:rsid w:val="000271B8"/>
    <w:rsid w:val="000300C3"/>
    <w:rsid w:val="00030792"/>
    <w:rsid w:val="00031DDE"/>
    <w:rsid w:val="000335C8"/>
    <w:rsid w:val="0003419B"/>
    <w:rsid w:val="000344DE"/>
    <w:rsid w:val="00034B35"/>
    <w:rsid w:val="00035709"/>
    <w:rsid w:val="0003654A"/>
    <w:rsid w:val="00036595"/>
    <w:rsid w:val="00036B10"/>
    <w:rsid w:val="00037919"/>
    <w:rsid w:val="00037D50"/>
    <w:rsid w:val="00041139"/>
    <w:rsid w:val="0004125A"/>
    <w:rsid w:val="0004175B"/>
    <w:rsid w:val="000424C7"/>
    <w:rsid w:val="00042579"/>
    <w:rsid w:val="00042BED"/>
    <w:rsid w:val="00042FF0"/>
    <w:rsid w:val="00044BE0"/>
    <w:rsid w:val="00044C7F"/>
    <w:rsid w:val="00044EF3"/>
    <w:rsid w:val="000454DE"/>
    <w:rsid w:val="0004623F"/>
    <w:rsid w:val="000470CC"/>
    <w:rsid w:val="00051F9E"/>
    <w:rsid w:val="000520AC"/>
    <w:rsid w:val="0005244F"/>
    <w:rsid w:val="00052658"/>
    <w:rsid w:val="00053787"/>
    <w:rsid w:val="00054B89"/>
    <w:rsid w:val="00054C00"/>
    <w:rsid w:val="00056D8C"/>
    <w:rsid w:val="00056DE9"/>
    <w:rsid w:val="00057BF2"/>
    <w:rsid w:val="000600CF"/>
    <w:rsid w:val="00060719"/>
    <w:rsid w:val="00060B32"/>
    <w:rsid w:val="00061818"/>
    <w:rsid w:val="0006322B"/>
    <w:rsid w:val="00063C6E"/>
    <w:rsid w:val="00064363"/>
    <w:rsid w:val="000647AE"/>
    <w:rsid w:val="00064926"/>
    <w:rsid w:val="00065076"/>
    <w:rsid w:val="00065430"/>
    <w:rsid w:val="00066401"/>
    <w:rsid w:val="00066645"/>
    <w:rsid w:val="00067C32"/>
    <w:rsid w:val="000706C2"/>
    <w:rsid w:val="0007234C"/>
    <w:rsid w:val="00072432"/>
    <w:rsid w:val="0007315D"/>
    <w:rsid w:val="00073A39"/>
    <w:rsid w:val="00074082"/>
    <w:rsid w:val="000742A5"/>
    <w:rsid w:val="00074888"/>
    <w:rsid w:val="000748CF"/>
    <w:rsid w:val="00076C80"/>
    <w:rsid w:val="00080305"/>
    <w:rsid w:val="00080C98"/>
    <w:rsid w:val="000826C7"/>
    <w:rsid w:val="000828E1"/>
    <w:rsid w:val="00082BAC"/>
    <w:rsid w:val="00082D4F"/>
    <w:rsid w:val="00083521"/>
    <w:rsid w:val="0008445E"/>
    <w:rsid w:val="0008462D"/>
    <w:rsid w:val="00085361"/>
    <w:rsid w:val="00085E0E"/>
    <w:rsid w:val="00086FDF"/>
    <w:rsid w:val="000874EC"/>
    <w:rsid w:val="00087D47"/>
    <w:rsid w:val="00090BBE"/>
    <w:rsid w:val="00090D5E"/>
    <w:rsid w:val="00091178"/>
    <w:rsid w:val="00091B5C"/>
    <w:rsid w:val="00091D65"/>
    <w:rsid w:val="00092EAA"/>
    <w:rsid w:val="00096A26"/>
    <w:rsid w:val="00097E5B"/>
    <w:rsid w:val="000A4AC8"/>
    <w:rsid w:val="000A4B7D"/>
    <w:rsid w:val="000A5939"/>
    <w:rsid w:val="000A7168"/>
    <w:rsid w:val="000B0320"/>
    <w:rsid w:val="000B06B2"/>
    <w:rsid w:val="000B0DE3"/>
    <w:rsid w:val="000B119E"/>
    <w:rsid w:val="000B18B1"/>
    <w:rsid w:val="000B23A5"/>
    <w:rsid w:val="000B2536"/>
    <w:rsid w:val="000B2592"/>
    <w:rsid w:val="000B39A7"/>
    <w:rsid w:val="000B48DE"/>
    <w:rsid w:val="000B6FE7"/>
    <w:rsid w:val="000B70D8"/>
    <w:rsid w:val="000B74C5"/>
    <w:rsid w:val="000B76A2"/>
    <w:rsid w:val="000B783F"/>
    <w:rsid w:val="000C0645"/>
    <w:rsid w:val="000C1998"/>
    <w:rsid w:val="000C1AE0"/>
    <w:rsid w:val="000C24F0"/>
    <w:rsid w:val="000C2AC3"/>
    <w:rsid w:val="000C2E54"/>
    <w:rsid w:val="000C36A2"/>
    <w:rsid w:val="000C48A4"/>
    <w:rsid w:val="000C5258"/>
    <w:rsid w:val="000C6872"/>
    <w:rsid w:val="000C6D6E"/>
    <w:rsid w:val="000C763F"/>
    <w:rsid w:val="000C7709"/>
    <w:rsid w:val="000D0F73"/>
    <w:rsid w:val="000D14C3"/>
    <w:rsid w:val="000D14D5"/>
    <w:rsid w:val="000D18BF"/>
    <w:rsid w:val="000D199E"/>
    <w:rsid w:val="000D1AE8"/>
    <w:rsid w:val="000D2402"/>
    <w:rsid w:val="000D2468"/>
    <w:rsid w:val="000D253A"/>
    <w:rsid w:val="000D2585"/>
    <w:rsid w:val="000D25C2"/>
    <w:rsid w:val="000D2A84"/>
    <w:rsid w:val="000D2F9D"/>
    <w:rsid w:val="000D3566"/>
    <w:rsid w:val="000D3D64"/>
    <w:rsid w:val="000D4248"/>
    <w:rsid w:val="000D44C5"/>
    <w:rsid w:val="000D60D5"/>
    <w:rsid w:val="000D6BAC"/>
    <w:rsid w:val="000D792D"/>
    <w:rsid w:val="000D7BCC"/>
    <w:rsid w:val="000E1222"/>
    <w:rsid w:val="000E163C"/>
    <w:rsid w:val="000E24CC"/>
    <w:rsid w:val="000E417A"/>
    <w:rsid w:val="000E5C27"/>
    <w:rsid w:val="000E66CF"/>
    <w:rsid w:val="000E7073"/>
    <w:rsid w:val="000E7396"/>
    <w:rsid w:val="000E7DCC"/>
    <w:rsid w:val="000F448F"/>
    <w:rsid w:val="000F4B4C"/>
    <w:rsid w:val="000F4F49"/>
    <w:rsid w:val="000F6734"/>
    <w:rsid w:val="000F7313"/>
    <w:rsid w:val="001001D2"/>
    <w:rsid w:val="00100201"/>
    <w:rsid w:val="001006F2"/>
    <w:rsid w:val="001007BA"/>
    <w:rsid w:val="001013B2"/>
    <w:rsid w:val="00101445"/>
    <w:rsid w:val="00102569"/>
    <w:rsid w:val="00102CB4"/>
    <w:rsid w:val="001036AA"/>
    <w:rsid w:val="00103B3B"/>
    <w:rsid w:val="00103FBC"/>
    <w:rsid w:val="001049A5"/>
    <w:rsid w:val="001050D9"/>
    <w:rsid w:val="00106086"/>
    <w:rsid w:val="0010672A"/>
    <w:rsid w:val="00107247"/>
    <w:rsid w:val="001074EE"/>
    <w:rsid w:val="00107A7D"/>
    <w:rsid w:val="00110691"/>
    <w:rsid w:val="00110779"/>
    <w:rsid w:val="00112113"/>
    <w:rsid w:val="001124BC"/>
    <w:rsid w:val="00113F5E"/>
    <w:rsid w:val="001141C8"/>
    <w:rsid w:val="001148B0"/>
    <w:rsid w:val="00117974"/>
    <w:rsid w:val="00117D12"/>
    <w:rsid w:val="00117EF4"/>
    <w:rsid w:val="00120D8C"/>
    <w:rsid w:val="00123A2E"/>
    <w:rsid w:val="00123E9C"/>
    <w:rsid w:val="001240DB"/>
    <w:rsid w:val="001243FA"/>
    <w:rsid w:val="001247A4"/>
    <w:rsid w:val="0012502D"/>
    <w:rsid w:val="0012506A"/>
    <w:rsid w:val="001251F1"/>
    <w:rsid w:val="0012528A"/>
    <w:rsid w:val="00130C60"/>
    <w:rsid w:val="00130F7F"/>
    <w:rsid w:val="001310F8"/>
    <w:rsid w:val="0013140A"/>
    <w:rsid w:val="0013225F"/>
    <w:rsid w:val="00133336"/>
    <w:rsid w:val="001334D4"/>
    <w:rsid w:val="00133650"/>
    <w:rsid w:val="001340F1"/>
    <w:rsid w:val="001354BF"/>
    <w:rsid w:val="001355D9"/>
    <w:rsid w:val="00136D9E"/>
    <w:rsid w:val="00137090"/>
    <w:rsid w:val="0013792D"/>
    <w:rsid w:val="00137ECA"/>
    <w:rsid w:val="0014070B"/>
    <w:rsid w:val="00142B5C"/>
    <w:rsid w:val="00142D02"/>
    <w:rsid w:val="00142FDF"/>
    <w:rsid w:val="0014379E"/>
    <w:rsid w:val="001439FC"/>
    <w:rsid w:val="00143E40"/>
    <w:rsid w:val="0014424E"/>
    <w:rsid w:val="0014458C"/>
    <w:rsid w:val="00144F75"/>
    <w:rsid w:val="001450F6"/>
    <w:rsid w:val="00146443"/>
    <w:rsid w:val="00146445"/>
    <w:rsid w:val="0014675A"/>
    <w:rsid w:val="00146785"/>
    <w:rsid w:val="00146DD6"/>
    <w:rsid w:val="00147741"/>
    <w:rsid w:val="00147BCA"/>
    <w:rsid w:val="0015115D"/>
    <w:rsid w:val="001527C5"/>
    <w:rsid w:val="00153018"/>
    <w:rsid w:val="0015351F"/>
    <w:rsid w:val="00154CC7"/>
    <w:rsid w:val="001554EB"/>
    <w:rsid w:val="001617F0"/>
    <w:rsid w:val="00161F59"/>
    <w:rsid w:val="00162D85"/>
    <w:rsid w:val="00163C04"/>
    <w:rsid w:val="001645BF"/>
    <w:rsid w:val="001655B7"/>
    <w:rsid w:val="00165A4D"/>
    <w:rsid w:val="0016640F"/>
    <w:rsid w:val="001666CA"/>
    <w:rsid w:val="00167826"/>
    <w:rsid w:val="001707A2"/>
    <w:rsid w:val="00171640"/>
    <w:rsid w:val="00171BAE"/>
    <w:rsid w:val="001724BF"/>
    <w:rsid w:val="00174B6D"/>
    <w:rsid w:val="00174D03"/>
    <w:rsid w:val="0017580E"/>
    <w:rsid w:val="00175E24"/>
    <w:rsid w:val="00176C4B"/>
    <w:rsid w:val="00177558"/>
    <w:rsid w:val="00180CB9"/>
    <w:rsid w:val="00181973"/>
    <w:rsid w:val="00183942"/>
    <w:rsid w:val="00183E98"/>
    <w:rsid w:val="00184B01"/>
    <w:rsid w:val="00184B38"/>
    <w:rsid w:val="00185388"/>
    <w:rsid w:val="00186C0A"/>
    <w:rsid w:val="00187EAD"/>
    <w:rsid w:val="001907BD"/>
    <w:rsid w:val="00190F85"/>
    <w:rsid w:val="0019228D"/>
    <w:rsid w:val="00192B6E"/>
    <w:rsid w:val="00192F02"/>
    <w:rsid w:val="001936D5"/>
    <w:rsid w:val="001945B7"/>
    <w:rsid w:val="001952D9"/>
    <w:rsid w:val="00195ABD"/>
    <w:rsid w:val="00195B12"/>
    <w:rsid w:val="00195F14"/>
    <w:rsid w:val="0019667E"/>
    <w:rsid w:val="00196F61"/>
    <w:rsid w:val="00197053"/>
    <w:rsid w:val="00197432"/>
    <w:rsid w:val="001A0CFF"/>
    <w:rsid w:val="001A1139"/>
    <w:rsid w:val="001A2684"/>
    <w:rsid w:val="001A2D84"/>
    <w:rsid w:val="001A54F3"/>
    <w:rsid w:val="001A5DB7"/>
    <w:rsid w:val="001A5DD2"/>
    <w:rsid w:val="001A6419"/>
    <w:rsid w:val="001A7F32"/>
    <w:rsid w:val="001B052B"/>
    <w:rsid w:val="001B07C6"/>
    <w:rsid w:val="001B1983"/>
    <w:rsid w:val="001B21B0"/>
    <w:rsid w:val="001B24BE"/>
    <w:rsid w:val="001B3C9C"/>
    <w:rsid w:val="001B404F"/>
    <w:rsid w:val="001B4079"/>
    <w:rsid w:val="001B43BC"/>
    <w:rsid w:val="001B4BE1"/>
    <w:rsid w:val="001B5732"/>
    <w:rsid w:val="001B615B"/>
    <w:rsid w:val="001C0008"/>
    <w:rsid w:val="001C05C0"/>
    <w:rsid w:val="001C0DEA"/>
    <w:rsid w:val="001C10DC"/>
    <w:rsid w:val="001C15A6"/>
    <w:rsid w:val="001C174E"/>
    <w:rsid w:val="001C1D2A"/>
    <w:rsid w:val="001C2709"/>
    <w:rsid w:val="001C2BC6"/>
    <w:rsid w:val="001C3182"/>
    <w:rsid w:val="001C3A76"/>
    <w:rsid w:val="001C4B2B"/>
    <w:rsid w:val="001C53B6"/>
    <w:rsid w:val="001C5C00"/>
    <w:rsid w:val="001C6286"/>
    <w:rsid w:val="001C6302"/>
    <w:rsid w:val="001C6455"/>
    <w:rsid w:val="001C69AE"/>
    <w:rsid w:val="001C7331"/>
    <w:rsid w:val="001D151C"/>
    <w:rsid w:val="001D198C"/>
    <w:rsid w:val="001D31B0"/>
    <w:rsid w:val="001D462A"/>
    <w:rsid w:val="001D498A"/>
    <w:rsid w:val="001D578D"/>
    <w:rsid w:val="001D710F"/>
    <w:rsid w:val="001D72E3"/>
    <w:rsid w:val="001E0A14"/>
    <w:rsid w:val="001E143F"/>
    <w:rsid w:val="001E39A2"/>
    <w:rsid w:val="001E3BB7"/>
    <w:rsid w:val="001E402C"/>
    <w:rsid w:val="001E4881"/>
    <w:rsid w:val="001E4EB0"/>
    <w:rsid w:val="001E5164"/>
    <w:rsid w:val="001E5206"/>
    <w:rsid w:val="001E64C4"/>
    <w:rsid w:val="001E771E"/>
    <w:rsid w:val="001F1901"/>
    <w:rsid w:val="001F1CF0"/>
    <w:rsid w:val="001F2416"/>
    <w:rsid w:val="001F49AD"/>
    <w:rsid w:val="001F4A83"/>
    <w:rsid w:val="001F4AA8"/>
    <w:rsid w:val="001F5D09"/>
    <w:rsid w:val="001F68B4"/>
    <w:rsid w:val="001F7F5F"/>
    <w:rsid w:val="00200BA6"/>
    <w:rsid w:val="00202759"/>
    <w:rsid w:val="00202763"/>
    <w:rsid w:val="00202C64"/>
    <w:rsid w:val="00202E75"/>
    <w:rsid w:val="00203121"/>
    <w:rsid w:val="002038D4"/>
    <w:rsid w:val="00204140"/>
    <w:rsid w:val="00204549"/>
    <w:rsid w:val="002051F6"/>
    <w:rsid w:val="00205474"/>
    <w:rsid w:val="002066C8"/>
    <w:rsid w:val="002079BB"/>
    <w:rsid w:val="00210CCB"/>
    <w:rsid w:val="002116F2"/>
    <w:rsid w:val="00212A16"/>
    <w:rsid w:val="00212E55"/>
    <w:rsid w:val="002142E4"/>
    <w:rsid w:val="00215050"/>
    <w:rsid w:val="002158A7"/>
    <w:rsid w:val="00217451"/>
    <w:rsid w:val="002206CC"/>
    <w:rsid w:val="00220B00"/>
    <w:rsid w:val="0022117A"/>
    <w:rsid w:val="00221DEA"/>
    <w:rsid w:val="002220AA"/>
    <w:rsid w:val="00222B2E"/>
    <w:rsid w:val="002238D3"/>
    <w:rsid w:val="002245F0"/>
    <w:rsid w:val="002257E8"/>
    <w:rsid w:val="00225BB6"/>
    <w:rsid w:val="00225CE9"/>
    <w:rsid w:val="002261C4"/>
    <w:rsid w:val="0022647F"/>
    <w:rsid w:val="00227028"/>
    <w:rsid w:val="00230D52"/>
    <w:rsid w:val="0023161A"/>
    <w:rsid w:val="002316E7"/>
    <w:rsid w:val="0023294E"/>
    <w:rsid w:val="00232DA0"/>
    <w:rsid w:val="0023302A"/>
    <w:rsid w:val="00234112"/>
    <w:rsid w:val="0023682B"/>
    <w:rsid w:val="00236AC7"/>
    <w:rsid w:val="00237675"/>
    <w:rsid w:val="0023793B"/>
    <w:rsid w:val="0024003A"/>
    <w:rsid w:val="00240099"/>
    <w:rsid w:val="00241D34"/>
    <w:rsid w:val="00241FEB"/>
    <w:rsid w:val="00243913"/>
    <w:rsid w:val="00245247"/>
    <w:rsid w:val="00245EEE"/>
    <w:rsid w:val="00246698"/>
    <w:rsid w:val="00246E1A"/>
    <w:rsid w:val="00247444"/>
    <w:rsid w:val="00250960"/>
    <w:rsid w:val="00250F6A"/>
    <w:rsid w:val="00251689"/>
    <w:rsid w:val="0025170A"/>
    <w:rsid w:val="00251A2F"/>
    <w:rsid w:val="00252D1A"/>
    <w:rsid w:val="00253001"/>
    <w:rsid w:val="0025331A"/>
    <w:rsid w:val="00253413"/>
    <w:rsid w:val="00253E33"/>
    <w:rsid w:val="00254681"/>
    <w:rsid w:val="00255CD8"/>
    <w:rsid w:val="00255EBB"/>
    <w:rsid w:val="00256FF9"/>
    <w:rsid w:val="00257264"/>
    <w:rsid w:val="0025789B"/>
    <w:rsid w:val="00257CA1"/>
    <w:rsid w:val="00257F4A"/>
    <w:rsid w:val="00261C07"/>
    <w:rsid w:val="00262203"/>
    <w:rsid w:val="00262384"/>
    <w:rsid w:val="0026298E"/>
    <w:rsid w:val="00262B3E"/>
    <w:rsid w:val="002633B5"/>
    <w:rsid w:val="00263A44"/>
    <w:rsid w:val="0026430D"/>
    <w:rsid w:val="00264F2E"/>
    <w:rsid w:val="00265AF4"/>
    <w:rsid w:val="002662B5"/>
    <w:rsid w:val="0026736C"/>
    <w:rsid w:val="00270C75"/>
    <w:rsid w:val="002710EB"/>
    <w:rsid w:val="0027128A"/>
    <w:rsid w:val="002717A0"/>
    <w:rsid w:val="00272C65"/>
    <w:rsid w:val="00273703"/>
    <w:rsid w:val="002739A0"/>
    <w:rsid w:val="002739F1"/>
    <w:rsid w:val="00274158"/>
    <w:rsid w:val="002776E8"/>
    <w:rsid w:val="00280C5D"/>
    <w:rsid w:val="00280F36"/>
    <w:rsid w:val="002833AF"/>
    <w:rsid w:val="00283B7D"/>
    <w:rsid w:val="0028427B"/>
    <w:rsid w:val="002845C4"/>
    <w:rsid w:val="00290726"/>
    <w:rsid w:val="002907C3"/>
    <w:rsid w:val="00290A95"/>
    <w:rsid w:val="00291162"/>
    <w:rsid w:val="00293800"/>
    <w:rsid w:val="00294EAE"/>
    <w:rsid w:val="00295F87"/>
    <w:rsid w:val="00296C73"/>
    <w:rsid w:val="00297D5F"/>
    <w:rsid w:val="002A050A"/>
    <w:rsid w:val="002A0BBD"/>
    <w:rsid w:val="002A15ED"/>
    <w:rsid w:val="002A181D"/>
    <w:rsid w:val="002A22CC"/>
    <w:rsid w:val="002A2334"/>
    <w:rsid w:val="002A2C60"/>
    <w:rsid w:val="002A3734"/>
    <w:rsid w:val="002A436B"/>
    <w:rsid w:val="002A5583"/>
    <w:rsid w:val="002A650A"/>
    <w:rsid w:val="002A70B6"/>
    <w:rsid w:val="002A7BAB"/>
    <w:rsid w:val="002B0067"/>
    <w:rsid w:val="002B0B4E"/>
    <w:rsid w:val="002B0F44"/>
    <w:rsid w:val="002B1A07"/>
    <w:rsid w:val="002B272F"/>
    <w:rsid w:val="002B43A9"/>
    <w:rsid w:val="002B5332"/>
    <w:rsid w:val="002B59C4"/>
    <w:rsid w:val="002B6590"/>
    <w:rsid w:val="002B6C22"/>
    <w:rsid w:val="002B6C7E"/>
    <w:rsid w:val="002B712F"/>
    <w:rsid w:val="002B7A43"/>
    <w:rsid w:val="002B7C36"/>
    <w:rsid w:val="002B7E75"/>
    <w:rsid w:val="002C1397"/>
    <w:rsid w:val="002C15DF"/>
    <w:rsid w:val="002C1840"/>
    <w:rsid w:val="002C1A47"/>
    <w:rsid w:val="002C1BE9"/>
    <w:rsid w:val="002C3E10"/>
    <w:rsid w:val="002C5C6D"/>
    <w:rsid w:val="002C6A5A"/>
    <w:rsid w:val="002C6AC4"/>
    <w:rsid w:val="002C7309"/>
    <w:rsid w:val="002C732C"/>
    <w:rsid w:val="002D013D"/>
    <w:rsid w:val="002D17A0"/>
    <w:rsid w:val="002D19FF"/>
    <w:rsid w:val="002D1C0F"/>
    <w:rsid w:val="002D3F58"/>
    <w:rsid w:val="002D67D6"/>
    <w:rsid w:val="002D6E81"/>
    <w:rsid w:val="002D78B5"/>
    <w:rsid w:val="002D7FBA"/>
    <w:rsid w:val="002E0B04"/>
    <w:rsid w:val="002E0DB3"/>
    <w:rsid w:val="002E127E"/>
    <w:rsid w:val="002E1892"/>
    <w:rsid w:val="002E2C57"/>
    <w:rsid w:val="002E2E9D"/>
    <w:rsid w:val="002E34C9"/>
    <w:rsid w:val="002E34D3"/>
    <w:rsid w:val="002E42DF"/>
    <w:rsid w:val="002E48C2"/>
    <w:rsid w:val="002E5196"/>
    <w:rsid w:val="002E5733"/>
    <w:rsid w:val="002E7826"/>
    <w:rsid w:val="002E7BFF"/>
    <w:rsid w:val="002E7C07"/>
    <w:rsid w:val="002F16B4"/>
    <w:rsid w:val="002F216F"/>
    <w:rsid w:val="002F3078"/>
    <w:rsid w:val="002F30E5"/>
    <w:rsid w:val="002F4249"/>
    <w:rsid w:val="002F53CE"/>
    <w:rsid w:val="002F5F25"/>
    <w:rsid w:val="002F6B78"/>
    <w:rsid w:val="002F6BA9"/>
    <w:rsid w:val="002F7088"/>
    <w:rsid w:val="002F7E24"/>
    <w:rsid w:val="002F7F8F"/>
    <w:rsid w:val="003002A4"/>
    <w:rsid w:val="003006BD"/>
    <w:rsid w:val="0030092A"/>
    <w:rsid w:val="003010A9"/>
    <w:rsid w:val="00301875"/>
    <w:rsid w:val="0030229E"/>
    <w:rsid w:val="00302A5C"/>
    <w:rsid w:val="00304705"/>
    <w:rsid w:val="00304AC4"/>
    <w:rsid w:val="00304D9F"/>
    <w:rsid w:val="00304F8A"/>
    <w:rsid w:val="003054CA"/>
    <w:rsid w:val="003056FA"/>
    <w:rsid w:val="00305962"/>
    <w:rsid w:val="00306CCB"/>
    <w:rsid w:val="003104F2"/>
    <w:rsid w:val="003118ED"/>
    <w:rsid w:val="00311D63"/>
    <w:rsid w:val="00312727"/>
    <w:rsid w:val="00312F1F"/>
    <w:rsid w:val="00314AF3"/>
    <w:rsid w:val="00315503"/>
    <w:rsid w:val="00316C22"/>
    <w:rsid w:val="00317267"/>
    <w:rsid w:val="003173A2"/>
    <w:rsid w:val="00317857"/>
    <w:rsid w:val="003178B3"/>
    <w:rsid w:val="00320115"/>
    <w:rsid w:val="0032052C"/>
    <w:rsid w:val="0032186F"/>
    <w:rsid w:val="00321C9A"/>
    <w:rsid w:val="00321CB2"/>
    <w:rsid w:val="003223D7"/>
    <w:rsid w:val="00323E19"/>
    <w:rsid w:val="003240F3"/>
    <w:rsid w:val="00324196"/>
    <w:rsid w:val="00324ED7"/>
    <w:rsid w:val="0032511C"/>
    <w:rsid w:val="00325F8F"/>
    <w:rsid w:val="00326547"/>
    <w:rsid w:val="00326C39"/>
    <w:rsid w:val="00327000"/>
    <w:rsid w:val="003279C1"/>
    <w:rsid w:val="00327BA4"/>
    <w:rsid w:val="00330175"/>
    <w:rsid w:val="00330D25"/>
    <w:rsid w:val="00331531"/>
    <w:rsid w:val="00331742"/>
    <w:rsid w:val="00331AF8"/>
    <w:rsid w:val="00331F51"/>
    <w:rsid w:val="0033318D"/>
    <w:rsid w:val="003332AB"/>
    <w:rsid w:val="003333E3"/>
    <w:rsid w:val="00334237"/>
    <w:rsid w:val="00335E67"/>
    <w:rsid w:val="00336592"/>
    <w:rsid w:val="003371E9"/>
    <w:rsid w:val="00337DDE"/>
    <w:rsid w:val="00340BB2"/>
    <w:rsid w:val="00340DE1"/>
    <w:rsid w:val="0034168A"/>
    <w:rsid w:val="003433BB"/>
    <w:rsid w:val="003452FE"/>
    <w:rsid w:val="0034612A"/>
    <w:rsid w:val="0034638C"/>
    <w:rsid w:val="00347023"/>
    <w:rsid w:val="0035155F"/>
    <w:rsid w:val="00351C4D"/>
    <w:rsid w:val="00352594"/>
    <w:rsid w:val="0035265D"/>
    <w:rsid w:val="0035295C"/>
    <w:rsid w:val="003532E7"/>
    <w:rsid w:val="00353774"/>
    <w:rsid w:val="0035391B"/>
    <w:rsid w:val="00354B0E"/>
    <w:rsid w:val="00355035"/>
    <w:rsid w:val="003553B5"/>
    <w:rsid w:val="00356451"/>
    <w:rsid w:val="0036103A"/>
    <w:rsid w:val="00361850"/>
    <w:rsid w:val="00361B5A"/>
    <w:rsid w:val="003625B6"/>
    <w:rsid w:val="003629DD"/>
    <w:rsid w:val="00362F43"/>
    <w:rsid w:val="003634DE"/>
    <w:rsid w:val="003637B3"/>
    <w:rsid w:val="00363E8A"/>
    <w:rsid w:val="003644A3"/>
    <w:rsid w:val="00364F7F"/>
    <w:rsid w:val="00366A12"/>
    <w:rsid w:val="00366B5A"/>
    <w:rsid w:val="00366E0F"/>
    <w:rsid w:val="0036B60C"/>
    <w:rsid w:val="003717A5"/>
    <w:rsid w:val="00371F88"/>
    <w:rsid w:val="003723B2"/>
    <w:rsid w:val="00372A42"/>
    <w:rsid w:val="0037436D"/>
    <w:rsid w:val="00374764"/>
    <w:rsid w:val="00375251"/>
    <w:rsid w:val="003762D4"/>
    <w:rsid w:val="0037772C"/>
    <w:rsid w:val="00377A08"/>
    <w:rsid w:val="0038069B"/>
    <w:rsid w:val="00381B6A"/>
    <w:rsid w:val="00382082"/>
    <w:rsid w:val="00382554"/>
    <w:rsid w:val="00382888"/>
    <w:rsid w:val="00384D7B"/>
    <w:rsid w:val="003853CB"/>
    <w:rsid w:val="003855D3"/>
    <w:rsid w:val="00385773"/>
    <w:rsid w:val="00386824"/>
    <w:rsid w:val="003908CC"/>
    <w:rsid w:val="00392849"/>
    <w:rsid w:val="0039327F"/>
    <w:rsid w:val="00393C27"/>
    <w:rsid w:val="0039419D"/>
    <w:rsid w:val="00395B52"/>
    <w:rsid w:val="00396208"/>
    <w:rsid w:val="003965D0"/>
    <w:rsid w:val="003976D2"/>
    <w:rsid w:val="00397E69"/>
    <w:rsid w:val="003A0736"/>
    <w:rsid w:val="003A24BA"/>
    <w:rsid w:val="003A465E"/>
    <w:rsid w:val="003A4A98"/>
    <w:rsid w:val="003A4C4F"/>
    <w:rsid w:val="003A4C6F"/>
    <w:rsid w:val="003A4C91"/>
    <w:rsid w:val="003A532E"/>
    <w:rsid w:val="003B16F0"/>
    <w:rsid w:val="003B2E6B"/>
    <w:rsid w:val="003B2F3C"/>
    <w:rsid w:val="003B3612"/>
    <w:rsid w:val="003B371B"/>
    <w:rsid w:val="003B39B0"/>
    <w:rsid w:val="003B3FFB"/>
    <w:rsid w:val="003B4011"/>
    <w:rsid w:val="003B4362"/>
    <w:rsid w:val="003B5BC8"/>
    <w:rsid w:val="003B5C77"/>
    <w:rsid w:val="003B5FF0"/>
    <w:rsid w:val="003B6530"/>
    <w:rsid w:val="003B66C2"/>
    <w:rsid w:val="003B66E1"/>
    <w:rsid w:val="003C0B08"/>
    <w:rsid w:val="003C1F8B"/>
    <w:rsid w:val="003C2007"/>
    <w:rsid w:val="003C28FA"/>
    <w:rsid w:val="003C3376"/>
    <w:rsid w:val="003C37C3"/>
    <w:rsid w:val="003C3B37"/>
    <w:rsid w:val="003C3CBE"/>
    <w:rsid w:val="003C5015"/>
    <w:rsid w:val="003C6AB4"/>
    <w:rsid w:val="003C7D8D"/>
    <w:rsid w:val="003D0716"/>
    <w:rsid w:val="003D11A3"/>
    <w:rsid w:val="003D1F6C"/>
    <w:rsid w:val="003D26DE"/>
    <w:rsid w:val="003D2AF9"/>
    <w:rsid w:val="003D2DB7"/>
    <w:rsid w:val="003D4FA0"/>
    <w:rsid w:val="003D5D43"/>
    <w:rsid w:val="003D721E"/>
    <w:rsid w:val="003D796A"/>
    <w:rsid w:val="003D7D19"/>
    <w:rsid w:val="003E2965"/>
    <w:rsid w:val="003E296F"/>
    <w:rsid w:val="003E3450"/>
    <w:rsid w:val="003E34E2"/>
    <w:rsid w:val="003E4E98"/>
    <w:rsid w:val="003E7866"/>
    <w:rsid w:val="003F0744"/>
    <w:rsid w:val="003F07BF"/>
    <w:rsid w:val="003F1373"/>
    <w:rsid w:val="003F1CE0"/>
    <w:rsid w:val="003F1D2B"/>
    <w:rsid w:val="003F2FAB"/>
    <w:rsid w:val="003F3B41"/>
    <w:rsid w:val="003F409E"/>
    <w:rsid w:val="003F4814"/>
    <w:rsid w:val="003F5199"/>
    <w:rsid w:val="003F5645"/>
    <w:rsid w:val="003F686C"/>
    <w:rsid w:val="003F6C21"/>
    <w:rsid w:val="003F6DCC"/>
    <w:rsid w:val="003F73F7"/>
    <w:rsid w:val="003F7726"/>
    <w:rsid w:val="003F7915"/>
    <w:rsid w:val="003F7A2B"/>
    <w:rsid w:val="00402D94"/>
    <w:rsid w:val="00403262"/>
    <w:rsid w:val="00405141"/>
    <w:rsid w:val="004056C8"/>
    <w:rsid w:val="004061E9"/>
    <w:rsid w:val="004072B1"/>
    <w:rsid w:val="0040769F"/>
    <w:rsid w:val="00407C4A"/>
    <w:rsid w:val="0041217A"/>
    <w:rsid w:val="004131EE"/>
    <w:rsid w:val="00413CDB"/>
    <w:rsid w:val="0041457C"/>
    <w:rsid w:val="004152AF"/>
    <w:rsid w:val="00415643"/>
    <w:rsid w:val="0041605B"/>
    <w:rsid w:val="004167E8"/>
    <w:rsid w:val="00417709"/>
    <w:rsid w:val="004203D6"/>
    <w:rsid w:val="00420E29"/>
    <w:rsid w:val="00422495"/>
    <w:rsid w:val="00424DB3"/>
    <w:rsid w:val="00425587"/>
    <w:rsid w:val="00425780"/>
    <w:rsid w:val="0042616A"/>
    <w:rsid w:val="004271FF"/>
    <w:rsid w:val="00427313"/>
    <w:rsid w:val="00427896"/>
    <w:rsid w:val="00427F19"/>
    <w:rsid w:val="004301A6"/>
    <w:rsid w:val="00430374"/>
    <w:rsid w:val="00430B7C"/>
    <w:rsid w:val="004316CC"/>
    <w:rsid w:val="004323A3"/>
    <w:rsid w:val="0043303E"/>
    <w:rsid w:val="0043309C"/>
    <w:rsid w:val="00433578"/>
    <w:rsid w:val="004335F5"/>
    <w:rsid w:val="0043612B"/>
    <w:rsid w:val="00436932"/>
    <w:rsid w:val="004377AC"/>
    <w:rsid w:val="00437CA3"/>
    <w:rsid w:val="00437F2F"/>
    <w:rsid w:val="0044062D"/>
    <w:rsid w:val="0044124C"/>
    <w:rsid w:val="004416B7"/>
    <w:rsid w:val="00442978"/>
    <w:rsid w:val="00443AED"/>
    <w:rsid w:val="00443CAA"/>
    <w:rsid w:val="00444EA7"/>
    <w:rsid w:val="00445AC0"/>
    <w:rsid w:val="00445BDC"/>
    <w:rsid w:val="00445F1F"/>
    <w:rsid w:val="00446219"/>
    <w:rsid w:val="0044652D"/>
    <w:rsid w:val="00446EB9"/>
    <w:rsid w:val="004476D0"/>
    <w:rsid w:val="004478F7"/>
    <w:rsid w:val="00450A59"/>
    <w:rsid w:val="00451003"/>
    <w:rsid w:val="00451CC0"/>
    <w:rsid w:val="004535AF"/>
    <w:rsid w:val="00453EDB"/>
    <w:rsid w:val="004555A4"/>
    <w:rsid w:val="0045574D"/>
    <w:rsid w:val="00456F41"/>
    <w:rsid w:val="00457025"/>
    <w:rsid w:val="004604A8"/>
    <w:rsid w:val="00460BE3"/>
    <w:rsid w:val="00462480"/>
    <w:rsid w:val="00463E7A"/>
    <w:rsid w:val="00463E8E"/>
    <w:rsid w:val="00464AC0"/>
    <w:rsid w:val="00464FDA"/>
    <w:rsid w:val="00465694"/>
    <w:rsid w:val="0046634C"/>
    <w:rsid w:val="00466404"/>
    <w:rsid w:val="00466C25"/>
    <w:rsid w:val="0046732F"/>
    <w:rsid w:val="004675DD"/>
    <w:rsid w:val="0046798F"/>
    <w:rsid w:val="00467AE6"/>
    <w:rsid w:val="00467B24"/>
    <w:rsid w:val="00470359"/>
    <w:rsid w:val="0047081E"/>
    <w:rsid w:val="0047275D"/>
    <w:rsid w:val="00472FED"/>
    <w:rsid w:val="00473A51"/>
    <w:rsid w:val="00473C86"/>
    <w:rsid w:val="00473E05"/>
    <w:rsid w:val="00474095"/>
    <w:rsid w:val="0047444E"/>
    <w:rsid w:val="00474CC6"/>
    <w:rsid w:val="00475ACA"/>
    <w:rsid w:val="00475CF8"/>
    <w:rsid w:val="00476F50"/>
    <w:rsid w:val="00477537"/>
    <w:rsid w:val="004775F0"/>
    <w:rsid w:val="00480EA4"/>
    <w:rsid w:val="00481897"/>
    <w:rsid w:val="00482AF7"/>
    <w:rsid w:val="00483677"/>
    <w:rsid w:val="004851E9"/>
    <w:rsid w:val="0048529B"/>
    <w:rsid w:val="00485CBD"/>
    <w:rsid w:val="00487F86"/>
    <w:rsid w:val="004913AD"/>
    <w:rsid w:val="0049304E"/>
    <w:rsid w:val="0049441B"/>
    <w:rsid w:val="004961EA"/>
    <w:rsid w:val="00496559"/>
    <w:rsid w:val="00496F33"/>
    <w:rsid w:val="0049759F"/>
    <w:rsid w:val="00497B15"/>
    <w:rsid w:val="004A3388"/>
    <w:rsid w:val="004A370F"/>
    <w:rsid w:val="004A3A94"/>
    <w:rsid w:val="004A51B9"/>
    <w:rsid w:val="004A51D2"/>
    <w:rsid w:val="004A6282"/>
    <w:rsid w:val="004A68A2"/>
    <w:rsid w:val="004A6DC7"/>
    <w:rsid w:val="004B0325"/>
    <w:rsid w:val="004B0AEE"/>
    <w:rsid w:val="004B1417"/>
    <w:rsid w:val="004B1657"/>
    <w:rsid w:val="004B51F4"/>
    <w:rsid w:val="004B5F11"/>
    <w:rsid w:val="004B608F"/>
    <w:rsid w:val="004B66A7"/>
    <w:rsid w:val="004B6EB3"/>
    <w:rsid w:val="004C13F8"/>
    <w:rsid w:val="004C1D04"/>
    <w:rsid w:val="004C234B"/>
    <w:rsid w:val="004C29B0"/>
    <w:rsid w:val="004C50D4"/>
    <w:rsid w:val="004C603F"/>
    <w:rsid w:val="004C66B9"/>
    <w:rsid w:val="004C7F3E"/>
    <w:rsid w:val="004D15EB"/>
    <w:rsid w:val="004D176B"/>
    <w:rsid w:val="004D1EFE"/>
    <w:rsid w:val="004D218C"/>
    <w:rsid w:val="004D29A1"/>
    <w:rsid w:val="004D353A"/>
    <w:rsid w:val="004D3EC9"/>
    <w:rsid w:val="004D6090"/>
    <w:rsid w:val="004D6AF8"/>
    <w:rsid w:val="004D6BEE"/>
    <w:rsid w:val="004D7030"/>
    <w:rsid w:val="004E0CD5"/>
    <w:rsid w:val="004E156E"/>
    <w:rsid w:val="004E1644"/>
    <w:rsid w:val="004E18C9"/>
    <w:rsid w:val="004E1CD1"/>
    <w:rsid w:val="004E23E2"/>
    <w:rsid w:val="004E241F"/>
    <w:rsid w:val="004E25E8"/>
    <w:rsid w:val="004E2DF9"/>
    <w:rsid w:val="004E34DA"/>
    <w:rsid w:val="004E3956"/>
    <w:rsid w:val="004E42BE"/>
    <w:rsid w:val="004E4865"/>
    <w:rsid w:val="004E5383"/>
    <w:rsid w:val="004E5D4C"/>
    <w:rsid w:val="004E5E89"/>
    <w:rsid w:val="004E7F54"/>
    <w:rsid w:val="004F02B9"/>
    <w:rsid w:val="004F08FB"/>
    <w:rsid w:val="004F21F8"/>
    <w:rsid w:val="004F286B"/>
    <w:rsid w:val="004F2A23"/>
    <w:rsid w:val="004F3641"/>
    <w:rsid w:val="004F3780"/>
    <w:rsid w:val="004F3AC4"/>
    <w:rsid w:val="004F45D0"/>
    <w:rsid w:val="004F74BE"/>
    <w:rsid w:val="004F7E48"/>
    <w:rsid w:val="005000EE"/>
    <w:rsid w:val="00500709"/>
    <w:rsid w:val="00505188"/>
    <w:rsid w:val="00505292"/>
    <w:rsid w:val="005059D2"/>
    <w:rsid w:val="00505E62"/>
    <w:rsid w:val="00505F38"/>
    <w:rsid w:val="00505FC2"/>
    <w:rsid w:val="005060CA"/>
    <w:rsid w:val="005063F4"/>
    <w:rsid w:val="00506ABD"/>
    <w:rsid w:val="00507515"/>
    <w:rsid w:val="005079F7"/>
    <w:rsid w:val="00507CDE"/>
    <w:rsid w:val="00510867"/>
    <w:rsid w:val="00510B10"/>
    <w:rsid w:val="00510C45"/>
    <w:rsid w:val="00510C53"/>
    <w:rsid w:val="00510E6B"/>
    <w:rsid w:val="00512478"/>
    <w:rsid w:val="0051354A"/>
    <w:rsid w:val="00513D0B"/>
    <w:rsid w:val="00515587"/>
    <w:rsid w:val="00515B58"/>
    <w:rsid w:val="00520590"/>
    <w:rsid w:val="00520EDA"/>
    <w:rsid w:val="00521E5E"/>
    <w:rsid w:val="00521E96"/>
    <w:rsid w:val="00523973"/>
    <w:rsid w:val="00523BE5"/>
    <w:rsid w:val="00526534"/>
    <w:rsid w:val="00526A10"/>
    <w:rsid w:val="00527395"/>
    <w:rsid w:val="0052753A"/>
    <w:rsid w:val="00530ACB"/>
    <w:rsid w:val="00531C4E"/>
    <w:rsid w:val="005326D3"/>
    <w:rsid w:val="00532991"/>
    <w:rsid w:val="00534381"/>
    <w:rsid w:val="0053469C"/>
    <w:rsid w:val="00535428"/>
    <w:rsid w:val="005367C4"/>
    <w:rsid w:val="00541250"/>
    <w:rsid w:val="00541C94"/>
    <w:rsid w:val="00542F8E"/>
    <w:rsid w:val="0054371B"/>
    <w:rsid w:val="00543D77"/>
    <w:rsid w:val="00545D1C"/>
    <w:rsid w:val="0054624C"/>
    <w:rsid w:val="00546593"/>
    <w:rsid w:val="005468C2"/>
    <w:rsid w:val="00546F36"/>
    <w:rsid w:val="00546F5C"/>
    <w:rsid w:val="00547271"/>
    <w:rsid w:val="005473CC"/>
    <w:rsid w:val="0054789B"/>
    <w:rsid w:val="005502F4"/>
    <w:rsid w:val="0055303B"/>
    <w:rsid w:val="005534A2"/>
    <w:rsid w:val="00553640"/>
    <w:rsid w:val="00556CF3"/>
    <w:rsid w:val="005576DC"/>
    <w:rsid w:val="0056046C"/>
    <w:rsid w:val="00560D6E"/>
    <w:rsid w:val="00562B91"/>
    <w:rsid w:val="00562BE5"/>
    <w:rsid w:val="005630AB"/>
    <w:rsid w:val="00563218"/>
    <w:rsid w:val="00563600"/>
    <w:rsid w:val="00564ECF"/>
    <w:rsid w:val="00564FE3"/>
    <w:rsid w:val="00565A3F"/>
    <w:rsid w:val="00565B8E"/>
    <w:rsid w:val="00566553"/>
    <w:rsid w:val="0056679E"/>
    <w:rsid w:val="00566B5B"/>
    <w:rsid w:val="005674C7"/>
    <w:rsid w:val="00570A29"/>
    <w:rsid w:val="00570AF7"/>
    <w:rsid w:val="0057236C"/>
    <w:rsid w:val="00572E5B"/>
    <w:rsid w:val="00573CF0"/>
    <w:rsid w:val="005803E5"/>
    <w:rsid w:val="00580545"/>
    <w:rsid w:val="005808D3"/>
    <w:rsid w:val="00580C8D"/>
    <w:rsid w:val="005813CD"/>
    <w:rsid w:val="00582258"/>
    <w:rsid w:val="0058232C"/>
    <w:rsid w:val="00583866"/>
    <w:rsid w:val="00583A6C"/>
    <w:rsid w:val="00583D4E"/>
    <w:rsid w:val="00583E4B"/>
    <w:rsid w:val="00585DC3"/>
    <w:rsid w:val="00586C60"/>
    <w:rsid w:val="00587171"/>
    <w:rsid w:val="00587C58"/>
    <w:rsid w:val="0059156D"/>
    <w:rsid w:val="005918F1"/>
    <w:rsid w:val="00592D8F"/>
    <w:rsid w:val="00593C60"/>
    <w:rsid w:val="00594F47"/>
    <w:rsid w:val="00595621"/>
    <w:rsid w:val="005964F0"/>
    <w:rsid w:val="00597226"/>
    <w:rsid w:val="005978E8"/>
    <w:rsid w:val="00597962"/>
    <w:rsid w:val="00597C5E"/>
    <w:rsid w:val="00597F12"/>
    <w:rsid w:val="005A0F22"/>
    <w:rsid w:val="005A10C1"/>
    <w:rsid w:val="005A1490"/>
    <w:rsid w:val="005A17A5"/>
    <w:rsid w:val="005A1ED0"/>
    <w:rsid w:val="005A2AA5"/>
    <w:rsid w:val="005A2B41"/>
    <w:rsid w:val="005A35BA"/>
    <w:rsid w:val="005A3676"/>
    <w:rsid w:val="005A4ED2"/>
    <w:rsid w:val="005A6128"/>
    <w:rsid w:val="005A6CFF"/>
    <w:rsid w:val="005A6D6D"/>
    <w:rsid w:val="005A7449"/>
    <w:rsid w:val="005A7E2F"/>
    <w:rsid w:val="005A7F55"/>
    <w:rsid w:val="005B0625"/>
    <w:rsid w:val="005B1D37"/>
    <w:rsid w:val="005B1DFD"/>
    <w:rsid w:val="005B278C"/>
    <w:rsid w:val="005B2DB3"/>
    <w:rsid w:val="005B38B8"/>
    <w:rsid w:val="005B3B01"/>
    <w:rsid w:val="005B46ED"/>
    <w:rsid w:val="005B526A"/>
    <w:rsid w:val="005B5F19"/>
    <w:rsid w:val="005B5FF7"/>
    <w:rsid w:val="005B76BF"/>
    <w:rsid w:val="005C19FE"/>
    <w:rsid w:val="005C2C89"/>
    <w:rsid w:val="005C2E7A"/>
    <w:rsid w:val="005C2FF1"/>
    <w:rsid w:val="005C328C"/>
    <w:rsid w:val="005C4F56"/>
    <w:rsid w:val="005C51F3"/>
    <w:rsid w:val="005C63B5"/>
    <w:rsid w:val="005C70AA"/>
    <w:rsid w:val="005C70E9"/>
    <w:rsid w:val="005C72AA"/>
    <w:rsid w:val="005C765A"/>
    <w:rsid w:val="005D0CAC"/>
    <w:rsid w:val="005D101A"/>
    <w:rsid w:val="005D1364"/>
    <w:rsid w:val="005D1A17"/>
    <w:rsid w:val="005D2099"/>
    <w:rsid w:val="005D27A0"/>
    <w:rsid w:val="005D3DA6"/>
    <w:rsid w:val="005D4229"/>
    <w:rsid w:val="005D4EAC"/>
    <w:rsid w:val="005D4F3A"/>
    <w:rsid w:val="005D51EA"/>
    <w:rsid w:val="005D53EC"/>
    <w:rsid w:val="005D5B09"/>
    <w:rsid w:val="005D5B54"/>
    <w:rsid w:val="005D5EFC"/>
    <w:rsid w:val="005D6E93"/>
    <w:rsid w:val="005D7FED"/>
    <w:rsid w:val="005E171C"/>
    <w:rsid w:val="005E19AA"/>
    <w:rsid w:val="005E2BEE"/>
    <w:rsid w:val="005E3A0A"/>
    <w:rsid w:val="005E40C9"/>
    <w:rsid w:val="005E42D1"/>
    <w:rsid w:val="005E5F2D"/>
    <w:rsid w:val="005E6B36"/>
    <w:rsid w:val="005E70A9"/>
    <w:rsid w:val="005E747C"/>
    <w:rsid w:val="005F045F"/>
    <w:rsid w:val="005F25D1"/>
    <w:rsid w:val="005F2A43"/>
    <w:rsid w:val="005F596F"/>
    <w:rsid w:val="005F5E11"/>
    <w:rsid w:val="005F7460"/>
    <w:rsid w:val="005F7DED"/>
    <w:rsid w:val="006005A5"/>
    <w:rsid w:val="00601279"/>
    <w:rsid w:val="00601C19"/>
    <w:rsid w:val="00602F15"/>
    <w:rsid w:val="0060319D"/>
    <w:rsid w:val="006044B3"/>
    <w:rsid w:val="00604ADF"/>
    <w:rsid w:val="006050DA"/>
    <w:rsid w:val="0060560B"/>
    <w:rsid w:val="00607BFE"/>
    <w:rsid w:val="00607C6B"/>
    <w:rsid w:val="00612997"/>
    <w:rsid w:val="00612C9B"/>
    <w:rsid w:val="0061386B"/>
    <w:rsid w:val="00614FA2"/>
    <w:rsid w:val="006157B7"/>
    <w:rsid w:val="00616EAD"/>
    <w:rsid w:val="00617417"/>
    <w:rsid w:val="00617790"/>
    <w:rsid w:val="006204DB"/>
    <w:rsid w:val="0062065E"/>
    <w:rsid w:val="00620B57"/>
    <w:rsid w:val="00620CEB"/>
    <w:rsid w:val="00621936"/>
    <w:rsid w:val="00621E79"/>
    <w:rsid w:val="0062325F"/>
    <w:rsid w:val="0062498A"/>
    <w:rsid w:val="00626A46"/>
    <w:rsid w:val="00627050"/>
    <w:rsid w:val="00630493"/>
    <w:rsid w:val="00630E1D"/>
    <w:rsid w:val="0063148F"/>
    <w:rsid w:val="006319A3"/>
    <w:rsid w:val="0063352D"/>
    <w:rsid w:val="00633954"/>
    <w:rsid w:val="006349EB"/>
    <w:rsid w:val="00634D62"/>
    <w:rsid w:val="006368BF"/>
    <w:rsid w:val="00636AD8"/>
    <w:rsid w:val="006374FC"/>
    <w:rsid w:val="00640974"/>
    <w:rsid w:val="00641743"/>
    <w:rsid w:val="00641D64"/>
    <w:rsid w:val="00641FEE"/>
    <w:rsid w:val="006420D2"/>
    <w:rsid w:val="00642773"/>
    <w:rsid w:val="00642A0A"/>
    <w:rsid w:val="00642F77"/>
    <w:rsid w:val="00644461"/>
    <w:rsid w:val="0064479A"/>
    <w:rsid w:val="00644D05"/>
    <w:rsid w:val="006457AB"/>
    <w:rsid w:val="00645A04"/>
    <w:rsid w:val="00645D87"/>
    <w:rsid w:val="00645D8E"/>
    <w:rsid w:val="00646BBE"/>
    <w:rsid w:val="00650CF6"/>
    <w:rsid w:val="006515D6"/>
    <w:rsid w:val="0065236D"/>
    <w:rsid w:val="006523EF"/>
    <w:rsid w:val="00655611"/>
    <w:rsid w:val="00655BD6"/>
    <w:rsid w:val="006568E4"/>
    <w:rsid w:val="00657855"/>
    <w:rsid w:val="00657C2D"/>
    <w:rsid w:val="00660789"/>
    <w:rsid w:val="00660BB0"/>
    <w:rsid w:val="006615DD"/>
    <w:rsid w:val="006625BD"/>
    <w:rsid w:val="00663612"/>
    <w:rsid w:val="00665E1B"/>
    <w:rsid w:val="00665E26"/>
    <w:rsid w:val="006667DB"/>
    <w:rsid w:val="00666C56"/>
    <w:rsid w:val="00667BDD"/>
    <w:rsid w:val="00667FCB"/>
    <w:rsid w:val="00667FE4"/>
    <w:rsid w:val="0067049E"/>
    <w:rsid w:val="00671EF1"/>
    <w:rsid w:val="006729D4"/>
    <w:rsid w:val="00672A65"/>
    <w:rsid w:val="00673D04"/>
    <w:rsid w:val="006742EE"/>
    <w:rsid w:val="006744C2"/>
    <w:rsid w:val="006746F0"/>
    <w:rsid w:val="00677803"/>
    <w:rsid w:val="00677C89"/>
    <w:rsid w:val="006801AA"/>
    <w:rsid w:val="00681710"/>
    <w:rsid w:val="006817A2"/>
    <w:rsid w:val="006824BD"/>
    <w:rsid w:val="006829F0"/>
    <w:rsid w:val="00682AFE"/>
    <w:rsid w:val="00682DCF"/>
    <w:rsid w:val="00683120"/>
    <w:rsid w:val="00684808"/>
    <w:rsid w:val="00685C28"/>
    <w:rsid w:val="0068601B"/>
    <w:rsid w:val="00687C92"/>
    <w:rsid w:val="00687E87"/>
    <w:rsid w:val="00690190"/>
    <w:rsid w:val="006906E0"/>
    <w:rsid w:val="006921D9"/>
    <w:rsid w:val="0069276A"/>
    <w:rsid w:val="00692CD6"/>
    <w:rsid w:val="006933D7"/>
    <w:rsid w:val="006935AC"/>
    <w:rsid w:val="00694AD3"/>
    <w:rsid w:val="00694D4C"/>
    <w:rsid w:val="00695902"/>
    <w:rsid w:val="00696924"/>
    <w:rsid w:val="00696949"/>
    <w:rsid w:val="0069774A"/>
    <w:rsid w:val="006A0D64"/>
    <w:rsid w:val="006A1EB0"/>
    <w:rsid w:val="006A2425"/>
    <w:rsid w:val="006A2B77"/>
    <w:rsid w:val="006A3566"/>
    <w:rsid w:val="006A39A3"/>
    <w:rsid w:val="006A432A"/>
    <w:rsid w:val="006A4E37"/>
    <w:rsid w:val="006A502C"/>
    <w:rsid w:val="006A5D2F"/>
    <w:rsid w:val="006A60AE"/>
    <w:rsid w:val="006A748B"/>
    <w:rsid w:val="006A7638"/>
    <w:rsid w:val="006A7DA1"/>
    <w:rsid w:val="006A7E5A"/>
    <w:rsid w:val="006B0C08"/>
    <w:rsid w:val="006B1771"/>
    <w:rsid w:val="006B3C5B"/>
    <w:rsid w:val="006B548F"/>
    <w:rsid w:val="006B6FA0"/>
    <w:rsid w:val="006B70F7"/>
    <w:rsid w:val="006B7EBE"/>
    <w:rsid w:val="006C00D1"/>
    <w:rsid w:val="006C0D1D"/>
    <w:rsid w:val="006C2B19"/>
    <w:rsid w:val="006C3B48"/>
    <w:rsid w:val="006C3FAF"/>
    <w:rsid w:val="006C4757"/>
    <w:rsid w:val="006C5989"/>
    <w:rsid w:val="006C59E5"/>
    <w:rsid w:val="006C5FAA"/>
    <w:rsid w:val="006C7CAE"/>
    <w:rsid w:val="006D049F"/>
    <w:rsid w:val="006D24AE"/>
    <w:rsid w:val="006D3158"/>
    <w:rsid w:val="006D385D"/>
    <w:rsid w:val="006D3D80"/>
    <w:rsid w:val="006D45CF"/>
    <w:rsid w:val="006D5D86"/>
    <w:rsid w:val="006D6AE3"/>
    <w:rsid w:val="006D7811"/>
    <w:rsid w:val="006D7E5F"/>
    <w:rsid w:val="006D7EC9"/>
    <w:rsid w:val="006E0E4C"/>
    <w:rsid w:val="006E16BC"/>
    <w:rsid w:val="006E186F"/>
    <w:rsid w:val="006E1973"/>
    <w:rsid w:val="006E1B4E"/>
    <w:rsid w:val="006E1E87"/>
    <w:rsid w:val="006E292F"/>
    <w:rsid w:val="006E3CE9"/>
    <w:rsid w:val="006E46F6"/>
    <w:rsid w:val="006E4BFB"/>
    <w:rsid w:val="006E4D04"/>
    <w:rsid w:val="006E55FC"/>
    <w:rsid w:val="006E5615"/>
    <w:rsid w:val="006E5FE3"/>
    <w:rsid w:val="006E6BAC"/>
    <w:rsid w:val="006E7448"/>
    <w:rsid w:val="006E7A25"/>
    <w:rsid w:val="006E7E7B"/>
    <w:rsid w:val="006E7F13"/>
    <w:rsid w:val="006F3B8B"/>
    <w:rsid w:val="006F3BDA"/>
    <w:rsid w:val="006F3FB5"/>
    <w:rsid w:val="006F3FBB"/>
    <w:rsid w:val="006F41CC"/>
    <w:rsid w:val="006F43A7"/>
    <w:rsid w:val="006F488A"/>
    <w:rsid w:val="006F4C2E"/>
    <w:rsid w:val="006F5287"/>
    <w:rsid w:val="006F5349"/>
    <w:rsid w:val="006F6A1D"/>
    <w:rsid w:val="006F7222"/>
    <w:rsid w:val="00700064"/>
    <w:rsid w:val="007002BD"/>
    <w:rsid w:val="0070035D"/>
    <w:rsid w:val="00700B5D"/>
    <w:rsid w:val="007010DF"/>
    <w:rsid w:val="00704365"/>
    <w:rsid w:val="0070525C"/>
    <w:rsid w:val="00705479"/>
    <w:rsid w:val="007069C0"/>
    <w:rsid w:val="00706FA4"/>
    <w:rsid w:val="007078D7"/>
    <w:rsid w:val="00711382"/>
    <w:rsid w:val="007114D5"/>
    <w:rsid w:val="00711937"/>
    <w:rsid w:val="00711BA9"/>
    <w:rsid w:val="00713449"/>
    <w:rsid w:val="007147F5"/>
    <w:rsid w:val="00714ABB"/>
    <w:rsid w:val="007150E8"/>
    <w:rsid w:val="00715484"/>
    <w:rsid w:val="007160C5"/>
    <w:rsid w:val="00717019"/>
    <w:rsid w:val="007173A6"/>
    <w:rsid w:val="007200B9"/>
    <w:rsid w:val="007204FF"/>
    <w:rsid w:val="00720554"/>
    <w:rsid w:val="00721663"/>
    <w:rsid w:val="007222E3"/>
    <w:rsid w:val="007234BE"/>
    <w:rsid w:val="00723E9E"/>
    <w:rsid w:val="00724662"/>
    <w:rsid w:val="00724972"/>
    <w:rsid w:val="00726031"/>
    <w:rsid w:val="00726266"/>
    <w:rsid w:val="00727DC6"/>
    <w:rsid w:val="00735604"/>
    <w:rsid w:val="007359A3"/>
    <w:rsid w:val="00735DB4"/>
    <w:rsid w:val="00736448"/>
    <w:rsid w:val="0073665C"/>
    <w:rsid w:val="00737699"/>
    <w:rsid w:val="00740415"/>
    <w:rsid w:val="00740B10"/>
    <w:rsid w:val="00741182"/>
    <w:rsid w:val="00743B87"/>
    <w:rsid w:val="00745FAA"/>
    <w:rsid w:val="0074684F"/>
    <w:rsid w:val="007501C3"/>
    <w:rsid w:val="00750826"/>
    <w:rsid w:val="0075088B"/>
    <w:rsid w:val="00751844"/>
    <w:rsid w:val="00753BD6"/>
    <w:rsid w:val="007544A8"/>
    <w:rsid w:val="00754DE6"/>
    <w:rsid w:val="0075687D"/>
    <w:rsid w:val="00756957"/>
    <w:rsid w:val="0075786A"/>
    <w:rsid w:val="007604F9"/>
    <w:rsid w:val="00760537"/>
    <w:rsid w:val="00761364"/>
    <w:rsid w:val="0076171E"/>
    <w:rsid w:val="00761FA1"/>
    <w:rsid w:val="00762658"/>
    <w:rsid w:val="00762D1B"/>
    <w:rsid w:val="007637B9"/>
    <w:rsid w:val="00764506"/>
    <w:rsid w:val="00764F36"/>
    <w:rsid w:val="007651EF"/>
    <w:rsid w:val="007658FA"/>
    <w:rsid w:val="00765A71"/>
    <w:rsid w:val="00766A9E"/>
    <w:rsid w:val="00767367"/>
    <w:rsid w:val="00770110"/>
    <w:rsid w:val="00770302"/>
    <w:rsid w:val="007708CA"/>
    <w:rsid w:val="00771021"/>
    <w:rsid w:val="0077423D"/>
    <w:rsid w:val="00775E7C"/>
    <w:rsid w:val="00780104"/>
    <w:rsid w:val="0078122D"/>
    <w:rsid w:val="00781290"/>
    <w:rsid w:val="00781811"/>
    <w:rsid w:val="00781DBB"/>
    <w:rsid w:val="0078247E"/>
    <w:rsid w:val="0078406F"/>
    <w:rsid w:val="007842CB"/>
    <w:rsid w:val="00784B76"/>
    <w:rsid w:val="00784D54"/>
    <w:rsid w:val="00785A81"/>
    <w:rsid w:val="007860B3"/>
    <w:rsid w:val="00787ACE"/>
    <w:rsid w:val="0079004F"/>
    <w:rsid w:val="007909B9"/>
    <w:rsid w:val="00790A85"/>
    <w:rsid w:val="00791BE2"/>
    <w:rsid w:val="0079205C"/>
    <w:rsid w:val="0079265F"/>
    <w:rsid w:val="0079283D"/>
    <w:rsid w:val="007928AB"/>
    <w:rsid w:val="007929EC"/>
    <w:rsid w:val="00792CB4"/>
    <w:rsid w:val="0079380B"/>
    <w:rsid w:val="007940E4"/>
    <w:rsid w:val="007941B6"/>
    <w:rsid w:val="0079462A"/>
    <w:rsid w:val="00794B61"/>
    <w:rsid w:val="0079573E"/>
    <w:rsid w:val="007957E4"/>
    <w:rsid w:val="00795837"/>
    <w:rsid w:val="00795F87"/>
    <w:rsid w:val="00797ABC"/>
    <w:rsid w:val="00797E1D"/>
    <w:rsid w:val="00797FFA"/>
    <w:rsid w:val="007A045C"/>
    <w:rsid w:val="007A11FD"/>
    <w:rsid w:val="007A15E4"/>
    <w:rsid w:val="007A1B46"/>
    <w:rsid w:val="007A2B28"/>
    <w:rsid w:val="007A306C"/>
    <w:rsid w:val="007A30D8"/>
    <w:rsid w:val="007A3538"/>
    <w:rsid w:val="007A4DE8"/>
    <w:rsid w:val="007A4E36"/>
    <w:rsid w:val="007A538E"/>
    <w:rsid w:val="007A538F"/>
    <w:rsid w:val="007A6686"/>
    <w:rsid w:val="007A6FC7"/>
    <w:rsid w:val="007A713F"/>
    <w:rsid w:val="007A767F"/>
    <w:rsid w:val="007A79C8"/>
    <w:rsid w:val="007A7B38"/>
    <w:rsid w:val="007B0565"/>
    <w:rsid w:val="007B0E0A"/>
    <w:rsid w:val="007B18F9"/>
    <w:rsid w:val="007B57CF"/>
    <w:rsid w:val="007B6720"/>
    <w:rsid w:val="007B706C"/>
    <w:rsid w:val="007B7463"/>
    <w:rsid w:val="007C1201"/>
    <w:rsid w:val="007C134B"/>
    <w:rsid w:val="007C150E"/>
    <w:rsid w:val="007C3032"/>
    <w:rsid w:val="007C309F"/>
    <w:rsid w:val="007C3E8C"/>
    <w:rsid w:val="007C40BB"/>
    <w:rsid w:val="007C4400"/>
    <w:rsid w:val="007C6E7C"/>
    <w:rsid w:val="007C78A4"/>
    <w:rsid w:val="007C7914"/>
    <w:rsid w:val="007C7A92"/>
    <w:rsid w:val="007C7BAF"/>
    <w:rsid w:val="007D097B"/>
    <w:rsid w:val="007D0D0A"/>
    <w:rsid w:val="007D16D1"/>
    <w:rsid w:val="007D1741"/>
    <w:rsid w:val="007D25FA"/>
    <w:rsid w:val="007D3CDA"/>
    <w:rsid w:val="007D40DC"/>
    <w:rsid w:val="007D413D"/>
    <w:rsid w:val="007D446D"/>
    <w:rsid w:val="007D4DB8"/>
    <w:rsid w:val="007D6B3A"/>
    <w:rsid w:val="007D71DD"/>
    <w:rsid w:val="007D7C93"/>
    <w:rsid w:val="007E146B"/>
    <w:rsid w:val="007E2E94"/>
    <w:rsid w:val="007E3136"/>
    <w:rsid w:val="007E4ABA"/>
    <w:rsid w:val="007E5266"/>
    <w:rsid w:val="007E5B10"/>
    <w:rsid w:val="007E6B11"/>
    <w:rsid w:val="007E775C"/>
    <w:rsid w:val="007E7F71"/>
    <w:rsid w:val="007F07B3"/>
    <w:rsid w:val="007F16C2"/>
    <w:rsid w:val="007F1F0E"/>
    <w:rsid w:val="007F2084"/>
    <w:rsid w:val="007F2AD3"/>
    <w:rsid w:val="007F2EC0"/>
    <w:rsid w:val="007F3DAD"/>
    <w:rsid w:val="007F5028"/>
    <w:rsid w:val="007F5346"/>
    <w:rsid w:val="007F5E6A"/>
    <w:rsid w:val="007F6047"/>
    <w:rsid w:val="007F6B31"/>
    <w:rsid w:val="007F7C59"/>
    <w:rsid w:val="00800397"/>
    <w:rsid w:val="00800EB4"/>
    <w:rsid w:val="00801D04"/>
    <w:rsid w:val="00802002"/>
    <w:rsid w:val="008028B4"/>
    <w:rsid w:val="0080375E"/>
    <w:rsid w:val="00803FE8"/>
    <w:rsid w:val="00803FF9"/>
    <w:rsid w:val="008047D2"/>
    <w:rsid w:val="0080486A"/>
    <w:rsid w:val="00805FC9"/>
    <w:rsid w:val="008064AF"/>
    <w:rsid w:val="00806941"/>
    <w:rsid w:val="00806B4F"/>
    <w:rsid w:val="00811CB2"/>
    <w:rsid w:val="00811ED1"/>
    <w:rsid w:val="00811FB7"/>
    <w:rsid w:val="00812BDC"/>
    <w:rsid w:val="00813DBC"/>
    <w:rsid w:val="00813E8D"/>
    <w:rsid w:val="00815C89"/>
    <w:rsid w:val="008174FF"/>
    <w:rsid w:val="00817616"/>
    <w:rsid w:val="00817B76"/>
    <w:rsid w:val="00820E14"/>
    <w:rsid w:val="0082284F"/>
    <w:rsid w:val="0082298E"/>
    <w:rsid w:val="00822B44"/>
    <w:rsid w:val="00822C2E"/>
    <w:rsid w:val="0082407E"/>
    <w:rsid w:val="00824A38"/>
    <w:rsid w:val="00830EF4"/>
    <w:rsid w:val="008325A7"/>
    <w:rsid w:val="00832B25"/>
    <w:rsid w:val="0083492B"/>
    <w:rsid w:val="0083552F"/>
    <w:rsid w:val="00835D25"/>
    <w:rsid w:val="008368D3"/>
    <w:rsid w:val="00836D81"/>
    <w:rsid w:val="008372FF"/>
    <w:rsid w:val="00837CAE"/>
    <w:rsid w:val="00837D5A"/>
    <w:rsid w:val="00837E24"/>
    <w:rsid w:val="008400E9"/>
    <w:rsid w:val="00840E38"/>
    <w:rsid w:val="0084338C"/>
    <w:rsid w:val="0084372F"/>
    <w:rsid w:val="00844F80"/>
    <w:rsid w:val="00844F85"/>
    <w:rsid w:val="00845ACD"/>
    <w:rsid w:val="00850498"/>
    <w:rsid w:val="0085067D"/>
    <w:rsid w:val="00851AFC"/>
    <w:rsid w:val="00851BE0"/>
    <w:rsid w:val="008527F7"/>
    <w:rsid w:val="008536CF"/>
    <w:rsid w:val="00854186"/>
    <w:rsid w:val="008567F8"/>
    <w:rsid w:val="008572E3"/>
    <w:rsid w:val="00857882"/>
    <w:rsid w:val="008603F1"/>
    <w:rsid w:val="00861D39"/>
    <w:rsid w:val="0086287C"/>
    <w:rsid w:val="0086318E"/>
    <w:rsid w:val="00864F15"/>
    <w:rsid w:val="00865207"/>
    <w:rsid w:val="00865F40"/>
    <w:rsid w:val="008676B9"/>
    <w:rsid w:val="008712D1"/>
    <w:rsid w:val="00872277"/>
    <w:rsid w:val="00873B81"/>
    <w:rsid w:val="00874285"/>
    <w:rsid w:val="008746F5"/>
    <w:rsid w:val="00876C14"/>
    <w:rsid w:val="00877C7A"/>
    <w:rsid w:val="00877D78"/>
    <w:rsid w:val="008805AD"/>
    <w:rsid w:val="00882752"/>
    <w:rsid w:val="008833D6"/>
    <w:rsid w:val="00883713"/>
    <w:rsid w:val="00883807"/>
    <w:rsid w:val="00884074"/>
    <w:rsid w:val="0088466C"/>
    <w:rsid w:val="008848B7"/>
    <w:rsid w:val="00885282"/>
    <w:rsid w:val="00885A5D"/>
    <w:rsid w:val="00886F71"/>
    <w:rsid w:val="0088AA80"/>
    <w:rsid w:val="0089052E"/>
    <w:rsid w:val="00890C6E"/>
    <w:rsid w:val="0089159F"/>
    <w:rsid w:val="00892912"/>
    <w:rsid w:val="00893A48"/>
    <w:rsid w:val="00894017"/>
    <w:rsid w:val="008940DA"/>
    <w:rsid w:val="008944F4"/>
    <w:rsid w:val="00896195"/>
    <w:rsid w:val="00896511"/>
    <w:rsid w:val="00896C01"/>
    <w:rsid w:val="0089768E"/>
    <w:rsid w:val="0089789C"/>
    <w:rsid w:val="00897C63"/>
    <w:rsid w:val="00897F4D"/>
    <w:rsid w:val="008A0F2A"/>
    <w:rsid w:val="008A17D9"/>
    <w:rsid w:val="008A26A5"/>
    <w:rsid w:val="008A321F"/>
    <w:rsid w:val="008A3547"/>
    <w:rsid w:val="008A3850"/>
    <w:rsid w:val="008A405E"/>
    <w:rsid w:val="008A5497"/>
    <w:rsid w:val="008A5542"/>
    <w:rsid w:val="008A6276"/>
    <w:rsid w:val="008A6CFF"/>
    <w:rsid w:val="008A72CC"/>
    <w:rsid w:val="008A72EA"/>
    <w:rsid w:val="008A73CF"/>
    <w:rsid w:val="008A7B82"/>
    <w:rsid w:val="008A7FF4"/>
    <w:rsid w:val="008B0941"/>
    <w:rsid w:val="008B1925"/>
    <w:rsid w:val="008B1929"/>
    <w:rsid w:val="008B2A3D"/>
    <w:rsid w:val="008B33CC"/>
    <w:rsid w:val="008B36D9"/>
    <w:rsid w:val="008B3799"/>
    <w:rsid w:val="008B3F67"/>
    <w:rsid w:val="008B4082"/>
    <w:rsid w:val="008B4301"/>
    <w:rsid w:val="008B432A"/>
    <w:rsid w:val="008B6B0E"/>
    <w:rsid w:val="008B73A8"/>
    <w:rsid w:val="008B79BC"/>
    <w:rsid w:val="008B7CB9"/>
    <w:rsid w:val="008B7CF9"/>
    <w:rsid w:val="008C024B"/>
    <w:rsid w:val="008C03F7"/>
    <w:rsid w:val="008C0B94"/>
    <w:rsid w:val="008C1778"/>
    <w:rsid w:val="008C1922"/>
    <w:rsid w:val="008C1CE1"/>
    <w:rsid w:val="008C259E"/>
    <w:rsid w:val="008C30B0"/>
    <w:rsid w:val="008C3141"/>
    <w:rsid w:val="008C3A7A"/>
    <w:rsid w:val="008C3D44"/>
    <w:rsid w:val="008C43D9"/>
    <w:rsid w:val="008C5DAE"/>
    <w:rsid w:val="008D019A"/>
    <w:rsid w:val="008D075A"/>
    <w:rsid w:val="008D0965"/>
    <w:rsid w:val="008D16CF"/>
    <w:rsid w:val="008D3E1A"/>
    <w:rsid w:val="008D453F"/>
    <w:rsid w:val="008D4B8A"/>
    <w:rsid w:val="008D5E2D"/>
    <w:rsid w:val="008D75C7"/>
    <w:rsid w:val="008E07D5"/>
    <w:rsid w:val="008E1812"/>
    <w:rsid w:val="008E2C27"/>
    <w:rsid w:val="008E2E65"/>
    <w:rsid w:val="008E31F2"/>
    <w:rsid w:val="008E3C23"/>
    <w:rsid w:val="008E43F3"/>
    <w:rsid w:val="008E4862"/>
    <w:rsid w:val="008E4F2A"/>
    <w:rsid w:val="008E52C7"/>
    <w:rsid w:val="008E5A1C"/>
    <w:rsid w:val="008E6CA9"/>
    <w:rsid w:val="008F246B"/>
    <w:rsid w:val="008F4116"/>
    <w:rsid w:val="008F413F"/>
    <w:rsid w:val="008F42AC"/>
    <w:rsid w:val="008F44E0"/>
    <w:rsid w:val="008F5551"/>
    <w:rsid w:val="008F620C"/>
    <w:rsid w:val="008F6F28"/>
    <w:rsid w:val="008F79E0"/>
    <w:rsid w:val="008F7C39"/>
    <w:rsid w:val="00900464"/>
    <w:rsid w:val="009015E2"/>
    <w:rsid w:val="009016E4"/>
    <w:rsid w:val="00901E60"/>
    <w:rsid w:val="0090216C"/>
    <w:rsid w:val="00902CD3"/>
    <w:rsid w:val="0090354C"/>
    <w:rsid w:val="009054AC"/>
    <w:rsid w:val="009068FD"/>
    <w:rsid w:val="009076FE"/>
    <w:rsid w:val="0090799B"/>
    <w:rsid w:val="00907DEB"/>
    <w:rsid w:val="00910755"/>
    <w:rsid w:val="00910DEB"/>
    <w:rsid w:val="00911176"/>
    <w:rsid w:val="0091255F"/>
    <w:rsid w:val="00912871"/>
    <w:rsid w:val="00912AEF"/>
    <w:rsid w:val="00912FD1"/>
    <w:rsid w:val="00913604"/>
    <w:rsid w:val="0091396B"/>
    <w:rsid w:val="00914039"/>
    <w:rsid w:val="009140A7"/>
    <w:rsid w:val="009144BD"/>
    <w:rsid w:val="00915965"/>
    <w:rsid w:val="00915CB1"/>
    <w:rsid w:val="00915E3D"/>
    <w:rsid w:val="00917074"/>
    <w:rsid w:val="00917514"/>
    <w:rsid w:val="00922569"/>
    <w:rsid w:val="00922D2B"/>
    <w:rsid w:val="009230B2"/>
    <w:rsid w:val="00923923"/>
    <w:rsid w:val="009245D0"/>
    <w:rsid w:val="009247CC"/>
    <w:rsid w:val="00924B6C"/>
    <w:rsid w:val="00924CBE"/>
    <w:rsid w:val="00925C34"/>
    <w:rsid w:val="00925EE6"/>
    <w:rsid w:val="00926456"/>
    <w:rsid w:val="009264D1"/>
    <w:rsid w:val="00926B7D"/>
    <w:rsid w:val="0092713D"/>
    <w:rsid w:val="009271DE"/>
    <w:rsid w:val="00927638"/>
    <w:rsid w:val="00931DAC"/>
    <w:rsid w:val="00932DFE"/>
    <w:rsid w:val="00933B5A"/>
    <w:rsid w:val="00933EC1"/>
    <w:rsid w:val="009344F8"/>
    <w:rsid w:val="00934665"/>
    <w:rsid w:val="00935DF4"/>
    <w:rsid w:val="009408EC"/>
    <w:rsid w:val="009418A9"/>
    <w:rsid w:val="00941F7C"/>
    <w:rsid w:val="009427FC"/>
    <w:rsid w:val="00943C58"/>
    <w:rsid w:val="00943CFA"/>
    <w:rsid w:val="009440F4"/>
    <w:rsid w:val="00944A06"/>
    <w:rsid w:val="00947DCE"/>
    <w:rsid w:val="00947EF0"/>
    <w:rsid w:val="0095032C"/>
    <w:rsid w:val="0095132F"/>
    <w:rsid w:val="00951749"/>
    <w:rsid w:val="00952957"/>
    <w:rsid w:val="00953221"/>
    <w:rsid w:val="0095337D"/>
    <w:rsid w:val="0095339D"/>
    <w:rsid w:val="00953604"/>
    <w:rsid w:val="009543CF"/>
    <w:rsid w:val="009543FC"/>
    <w:rsid w:val="00954BDB"/>
    <w:rsid w:val="00955545"/>
    <w:rsid w:val="0095566B"/>
    <w:rsid w:val="00956559"/>
    <w:rsid w:val="00956985"/>
    <w:rsid w:val="00956A0C"/>
    <w:rsid w:val="00960C2F"/>
    <w:rsid w:val="009610F7"/>
    <w:rsid w:val="009612FF"/>
    <w:rsid w:val="009630DB"/>
    <w:rsid w:val="00963271"/>
    <w:rsid w:val="00964E63"/>
    <w:rsid w:val="0096505B"/>
    <w:rsid w:val="00965350"/>
    <w:rsid w:val="009657FA"/>
    <w:rsid w:val="0096705C"/>
    <w:rsid w:val="009678F2"/>
    <w:rsid w:val="00971463"/>
    <w:rsid w:val="00971BB5"/>
    <w:rsid w:val="00972205"/>
    <w:rsid w:val="009723BB"/>
    <w:rsid w:val="00972B7A"/>
    <w:rsid w:val="00972D4F"/>
    <w:rsid w:val="00974030"/>
    <w:rsid w:val="00974487"/>
    <w:rsid w:val="00975094"/>
    <w:rsid w:val="00975D22"/>
    <w:rsid w:val="009764F7"/>
    <w:rsid w:val="00976783"/>
    <w:rsid w:val="00980332"/>
    <w:rsid w:val="009804D7"/>
    <w:rsid w:val="009805E5"/>
    <w:rsid w:val="009805F4"/>
    <w:rsid w:val="00980BAF"/>
    <w:rsid w:val="009814F3"/>
    <w:rsid w:val="00981815"/>
    <w:rsid w:val="00983D21"/>
    <w:rsid w:val="009840B8"/>
    <w:rsid w:val="009848B0"/>
    <w:rsid w:val="00984C7C"/>
    <w:rsid w:val="00984E3A"/>
    <w:rsid w:val="00985CDC"/>
    <w:rsid w:val="00986D5E"/>
    <w:rsid w:val="00987303"/>
    <w:rsid w:val="00987717"/>
    <w:rsid w:val="00991757"/>
    <w:rsid w:val="00992373"/>
    <w:rsid w:val="00992BE8"/>
    <w:rsid w:val="00994A92"/>
    <w:rsid w:val="00995052"/>
    <w:rsid w:val="009952E4"/>
    <w:rsid w:val="0099573A"/>
    <w:rsid w:val="009958FD"/>
    <w:rsid w:val="00995D3A"/>
    <w:rsid w:val="009971A6"/>
    <w:rsid w:val="00997382"/>
    <w:rsid w:val="00997569"/>
    <w:rsid w:val="00997863"/>
    <w:rsid w:val="009A0329"/>
    <w:rsid w:val="009A041F"/>
    <w:rsid w:val="009A048B"/>
    <w:rsid w:val="009A0507"/>
    <w:rsid w:val="009A0D44"/>
    <w:rsid w:val="009A327E"/>
    <w:rsid w:val="009A435F"/>
    <w:rsid w:val="009A599C"/>
    <w:rsid w:val="009A633D"/>
    <w:rsid w:val="009A6B8B"/>
    <w:rsid w:val="009A735D"/>
    <w:rsid w:val="009B058E"/>
    <w:rsid w:val="009B0A7D"/>
    <w:rsid w:val="009B2AB9"/>
    <w:rsid w:val="009B3555"/>
    <w:rsid w:val="009B4D7A"/>
    <w:rsid w:val="009B56E0"/>
    <w:rsid w:val="009B607E"/>
    <w:rsid w:val="009B64E1"/>
    <w:rsid w:val="009B681F"/>
    <w:rsid w:val="009B6978"/>
    <w:rsid w:val="009B6F5B"/>
    <w:rsid w:val="009B7670"/>
    <w:rsid w:val="009C0205"/>
    <w:rsid w:val="009C06FB"/>
    <w:rsid w:val="009C0727"/>
    <w:rsid w:val="009C0E34"/>
    <w:rsid w:val="009C13CB"/>
    <w:rsid w:val="009C1599"/>
    <w:rsid w:val="009C22D6"/>
    <w:rsid w:val="009C249D"/>
    <w:rsid w:val="009C5400"/>
    <w:rsid w:val="009C5508"/>
    <w:rsid w:val="009C57EC"/>
    <w:rsid w:val="009C5E03"/>
    <w:rsid w:val="009C7222"/>
    <w:rsid w:val="009C7601"/>
    <w:rsid w:val="009D0ACC"/>
    <w:rsid w:val="009D0DAB"/>
    <w:rsid w:val="009D141F"/>
    <w:rsid w:val="009D1760"/>
    <w:rsid w:val="009D1AA6"/>
    <w:rsid w:val="009D2185"/>
    <w:rsid w:val="009D21E3"/>
    <w:rsid w:val="009D27EF"/>
    <w:rsid w:val="009D2F60"/>
    <w:rsid w:val="009D35A9"/>
    <w:rsid w:val="009D4239"/>
    <w:rsid w:val="009D4432"/>
    <w:rsid w:val="009D5349"/>
    <w:rsid w:val="009D7497"/>
    <w:rsid w:val="009D7542"/>
    <w:rsid w:val="009E26C7"/>
    <w:rsid w:val="009E393E"/>
    <w:rsid w:val="009E3C63"/>
    <w:rsid w:val="009E4167"/>
    <w:rsid w:val="009E68BE"/>
    <w:rsid w:val="009E6922"/>
    <w:rsid w:val="009E7515"/>
    <w:rsid w:val="009E78A6"/>
    <w:rsid w:val="009F015D"/>
    <w:rsid w:val="009F09F4"/>
    <w:rsid w:val="009F0B2A"/>
    <w:rsid w:val="009F0C7F"/>
    <w:rsid w:val="009F12BE"/>
    <w:rsid w:val="009F141C"/>
    <w:rsid w:val="009F14F9"/>
    <w:rsid w:val="009F1789"/>
    <w:rsid w:val="009F188B"/>
    <w:rsid w:val="009F3698"/>
    <w:rsid w:val="009F48D9"/>
    <w:rsid w:val="009F580E"/>
    <w:rsid w:val="009F6003"/>
    <w:rsid w:val="009F6F3D"/>
    <w:rsid w:val="009F6F9D"/>
    <w:rsid w:val="00A0065F"/>
    <w:rsid w:val="00A01712"/>
    <w:rsid w:val="00A01BEC"/>
    <w:rsid w:val="00A020EC"/>
    <w:rsid w:val="00A02EFA"/>
    <w:rsid w:val="00A046F7"/>
    <w:rsid w:val="00A0579C"/>
    <w:rsid w:val="00A05B77"/>
    <w:rsid w:val="00A05CF1"/>
    <w:rsid w:val="00A075C3"/>
    <w:rsid w:val="00A079A6"/>
    <w:rsid w:val="00A07BFD"/>
    <w:rsid w:val="00A150BC"/>
    <w:rsid w:val="00A15625"/>
    <w:rsid w:val="00A16167"/>
    <w:rsid w:val="00A16DFD"/>
    <w:rsid w:val="00A171D5"/>
    <w:rsid w:val="00A17845"/>
    <w:rsid w:val="00A17BA5"/>
    <w:rsid w:val="00A21949"/>
    <w:rsid w:val="00A21EBF"/>
    <w:rsid w:val="00A2269E"/>
    <w:rsid w:val="00A22DBF"/>
    <w:rsid w:val="00A23DBC"/>
    <w:rsid w:val="00A24C22"/>
    <w:rsid w:val="00A24C66"/>
    <w:rsid w:val="00A25023"/>
    <w:rsid w:val="00A25814"/>
    <w:rsid w:val="00A25B84"/>
    <w:rsid w:val="00A27142"/>
    <w:rsid w:val="00A27173"/>
    <w:rsid w:val="00A276C2"/>
    <w:rsid w:val="00A27F1F"/>
    <w:rsid w:val="00A30620"/>
    <w:rsid w:val="00A31E60"/>
    <w:rsid w:val="00A32565"/>
    <w:rsid w:val="00A347D0"/>
    <w:rsid w:val="00A34A49"/>
    <w:rsid w:val="00A3522B"/>
    <w:rsid w:val="00A356F8"/>
    <w:rsid w:val="00A361F3"/>
    <w:rsid w:val="00A3632E"/>
    <w:rsid w:val="00A37282"/>
    <w:rsid w:val="00A37952"/>
    <w:rsid w:val="00A37BF1"/>
    <w:rsid w:val="00A37F44"/>
    <w:rsid w:val="00A401DF"/>
    <w:rsid w:val="00A41071"/>
    <w:rsid w:val="00A41DED"/>
    <w:rsid w:val="00A422F8"/>
    <w:rsid w:val="00A43C7C"/>
    <w:rsid w:val="00A4401D"/>
    <w:rsid w:val="00A44548"/>
    <w:rsid w:val="00A44705"/>
    <w:rsid w:val="00A44936"/>
    <w:rsid w:val="00A450E0"/>
    <w:rsid w:val="00A45DBD"/>
    <w:rsid w:val="00A4613E"/>
    <w:rsid w:val="00A473E8"/>
    <w:rsid w:val="00A475AB"/>
    <w:rsid w:val="00A506A9"/>
    <w:rsid w:val="00A50728"/>
    <w:rsid w:val="00A51887"/>
    <w:rsid w:val="00A52972"/>
    <w:rsid w:val="00A5311B"/>
    <w:rsid w:val="00A53153"/>
    <w:rsid w:val="00A5326E"/>
    <w:rsid w:val="00A5475D"/>
    <w:rsid w:val="00A56613"/>
    <w:rsid w:val="00A579FB"/>
    <w:rsid w:val="00A606BC"/>
    <w:rsid w:val="00A60944"/>
    <w:rsid w:val="00A62B52"/>
    <w:rsid w:val="00A642A8"/>
    <w:rsid w:val="00A6552B"/>
    <w:rsid w:val="00A65A58"/>
    <w:rsid w:val="00A67AB9"/>
    <w:rsid w:val="00A67D8B"/>
    <w:rsid w:val="00A70538"/>
    <w:rsid w:val="00A70841"/>
    <w:rsid w:val="00A70B14"/>
    <w:rsid w:val="00A74293"/>
    <w:rsid w:val="00A7432C"/>
    <w:rsid w:val="00A74736"/>
    <w:rsid w:val="00A74737"/>
    <w:rsid w:val="00A74922"/>
    <w:rsid w:val="00A74AC4"/>
    <w:rsid w:val="00A755C6"/>
    <w:rsid w:val="00A7677F"/>
    <w:rsid w:val="00A770C1"/>
    <w:rsid w:val="00A770E2"/>
    <w:rsid w:val="00A77303"/>
    <w:rsid w:val="00A77700"/>
    <w:rsid w:val="00A8025F"/>
    <w:rsid w:val="00A8114C"/>
    <w:rsid w:val="00A811AB"/>
    <w:rsid w:val="00A8165C"/>
    <w:rsid w:val="00A817E9"/>
    <w:rsid w:val="00A81AC8"/>
    <w:rsid w:val="00A82A8B"/>
    <w:rsid w:val="00A83F27"/>
    <w:rsid w:val="00A85B4F"/>
    <w:rsid w:val="00A86D24"/>
    <w:rsid w:val="00A8713E"/>
    <w:rsid w:val="00A90340"/>
    <w:rsid w:val="00A905D2"/>
    <w:rsid w:val="00A90B2C"/>
    <w:rsid w:val="00A91FBA"/>
    <w:rsid w:val="00A9241E"/>
    <w:rsid w:val="00A932F4"/>
    <w:rsid w:val="00A96267"/>
    <w:rsid w:val="00A96E60"/>
    <w:rsid w:val="00A9729C"/>
    <w:rsid w:val="00A97624"/>
    <w:rsid w:val="00AA1CD2"/>
    <w:rsid w:val="00AA24E1"/>
    <w:rsid w:val="00AA3C1D"/>
    <w:rsid w:val="00AA481B"/>
    <w:rsid w:val="00AA4D89"/>
    <w:rsid w:val="00AA71FE"/>
    <w:rsid w:val="00AA73AB"/>
    <w:rsid w:val="00AA7C02"/>
    <w:rsid w:val="00AB0BDF"/>
    <w:rsid w:val="00AB14D0"/>
    <w:rsid w:val="00AB175E"/>
    <w:rsid w:val="00AB205C"/>
    <w:rsid w:val="00AB32C2"/>
    <w:rsid w:val="00AB3969"/>
    <w:rsid w:val="00AB3B93"/>
    <w:rsid w:val="00AB4114"/>
    <w:rsid w:val="00AB4B8D"/>
    <w:rsid w:val="00AB4C0B"/>
    <w:rsid w:val="00AB534F"/>
    <w:rsid w:val="00AB746D"/>
    <w:rsid w:val="00AB7B0A"/>
    <w:rsid w:val="00AB7D6D"/>
    <w:rsid w:val="00AC008E"/>
    <w:rsid w:val="00AC01CD"/>
    <w:rsid w:val="00AC0223"/>
    <w:rsid w:val="00AC0ED8"/>
    <w:rsid w:val="00AC0FB1"/>
    <w:rsid w:val="00AC16B1"/>
    <w:rsid w:val="00AC1E8D"/>
    <w:rsid w:val="00AC3A0D"/>
    <w:rsid w:val="00AC3E9B"/>
    <w:rsid w:val="00AC41EA"/>
    <w:rsid w:val="00AC4B0D"/>
    <w:rsid w:val="00AC4D5C"/>
    <w:rsid w:val="00AC603A"/>
    <w:rsid w:val="00AC61F9"/>
    <w:rsid w:val="00AC6306"/>
    <w:rsid w:val="00AC6340"/>
    <w:rsid w:val="00AC6432"/>
    <w:rsid w:val="00AC66C0"/>
    <w:rsid w:val="00AC6E85"/>
    <w:rsid w:val="00AC7B42"/>
    <w:rsid w:val="00AD0FDB"/>
    <w:rsid w:val="00AD1653"/>
    <w:rsid w:val="00AD195A"/>
    <w:rsid w:val="00AD1FCC"/>
    <w:rsid w:val="00AD4439"/>
    <w:rsid w:val="00AD6250"/>
    <w:rsid w:val="00AD6A79"/>
    <w:rsid w:val="00AD7509"/>
    <w:rsid w:val="00AE17E5"/>
    <w:rsid w:val="00AE2BDB"/>
    <w:rsid w:val="00AE2CFE"/>
    <w:rsid w:val="00AE2ED1"/>
    <w:rsid w:val="00AE3B55"/>
    <w:rsid w:val="00AE3FE1"/>
    <w:rsid w:val="00AE410A"/>
    <w:rsid w:val="00AE4145"/>
    <w:rsid w:val="00AE43A3"/>
    <w:rsid w:val="00AE4C41"/>
    <w:rsid w:val="00AE52D3"/>
    <w:rsid w:val="00AE703A"/>
    <w:rsid w:val="00AE724E"/>
    <w:rsid w:val="00AE73D4"/>
    <w:rsid w:val="00AE75DD"/>
    <w:rsid w:val="00AE7B02"/>
    <w:rsid w:val="00AE7FD9"/>
    <w:rsid w:val="00AF23B1"/>
    <w:rsid w:val="00AF26F2"/>
    <w:rsid w:val="00AF3AE3"/>
    <w:rsid w:val="00AF487C"/>
    <w:rsid w:val="00AF4CD0"/>
    <w:rsid w:val="00AF50BE"/>
    <w:rsid w:val="00AF58D5"/>
    <w:rsid w:val="00AF5B32"/>
    <w:rsid w:val="00AF5FB6"/>
    <w:rsid w:val="00AF6819"/>
    <w:rsid w:val="00AF6A85"/>
    <w:rsid w:val="00AF7757"/>
    <w:rsid w:val="00B00852"/>
    <w:rsid w:val="00B019A1"/>
    <w:rsid w:val="00B02269"/>
    <w:rsid w:val="00B02F51"/>
    <w:rsid w:val="00B030ED"/>
    <w:rsid w:val="00B03130"/>
    <w:rsid w:val="00B03ED7"/>
    <w:rsid w:val="00B056A8"/>
    <w:rsid w:val="00B05B2C"/>
    <w:rsid w:val="00B10C4C"/>
    <w:rsid w:val="00B118BA"/>
    <w:rsid w:val="00B118E0"/>
    <w:rsid w:val="00B11957"/>
    <w:rsid w:val="00B11A94"/>
    <w:rsid w:val="00B132DA"/>
    <w:rsid w:val="00B13FE7"/>
    <w:rsid w:val="00B15351"/>
    <w:rsid w:val="00B15AA2"/>
    <w:rsid w:val="00B17CB8"/>
    <w:rsid w:val="00B207C4"/>
    <w:rsid w:val="00B2119E"/>
    <w:rsid w:val="00B2133B"/>
    <w:rsid w:val="00B2193E"/>
    <w:rsid w:val="00B21F00"/>
    <w:rsid w:val="00B22007"/>
    <w:rsid w:val="00B22165"/>
    <w:rsid w:val="00B24779"/>
    <w:rsid w:val="00B25CC3"/>
    <w:rsid w:val="00B25F7D"/>
    <w:rsid w:val="00B26204"/>
    <w:rsid w:val="00B26FB5"/>
    <w:rsid w:val="00B271D5"/>
    <w:rsid w:val="00B27514"/>
    <w:rsid w:val="00B2786D"/>
    <w:rsid w:val="00B278D8"/>
    <w:rsid w:val="00B27F03"/>
    <w:rsid w:val="00B302BE"/>
    <w:rsid w:val="00B31537"/>
    <w:rsid w:val="00B32C26"/>
    <w:rsid w:val="00B32C8C"/>
    <w:rsid w:val="00B32EE0"/>
    <w:rsid w:val="00B337C4"/>
    <w:rsid w:val="00B33E4E"/>
    <w:rsid w:val="00B348DF"/>
    <w:rsid w:val="00B34E4A"/>
    <w:rsid w:val="00B3565D"/>
    <w:rsid w:val="00B360CC"/>
    <w:rsid w:val="00B3652E"/>
    <w:rsid w:val="00B36840"/>
    <w:rsid w:val="00B41BD7"/>
    <w:rsid w:val="00B42611"/>
    <w:rsid w:val="00B42C0E"/>
    <w:rsid w:val="00B43C53"/>
    <w:rsid w:val="00B44BFF"/>
    <w:rsid w:val="00B450A1"/>
    <w:rsid w:val="00B45903"/>
    <w:rsid w:val="00B45CAE"/>
    <w:rsid w:val="00B47096"/>
    <w:rsid w:val="00B47AD0"/>
    <w:rsid w:val="00B47CE8"/>
    <w:rsid w:val="00B5020C"/>
    <w:rsid w:val="00B528F8"/>
    <w:rsid w:val="00B52B90"/>
    <w:rsid w:val="00B52F5D"/>
    <w:rsid w:val="00B53819"/>
    <w:rsid w:val="00B53916"/>
    <w:rsid w:val="00B544F0"/>
    <w:rsid w:val="00B54A67"/>
    <w:rsid w:val="00B55095"/>
    <w:rsid w:val="00B55166"/>
    <w:rsid w:val="00B55986"/>
    <w:rsid w:val="00B564F1"/>
    <w:rsid w:val="00B574DA"/>
    <w:rsid w:val="00B57E94"/>
    <w:rsid w:val="00B600D2"/>
    <w:rsid w:val="00B60212"/>
    <w:rsid w:val="00B604AE"/>
    <w:rsid w:val="00B605F5"/>
    <w:rsid w:val="00B61792"/>
    <w:rsid w:val="00B617F9"/>
    <w:rsid w:val="00B619F4"/>
    <w:rsid w:val="00B61D2B"/>
    <w:rsid w:val="00B620C9"/>
    <w:rsid w:val="00B627F6"/>
    <w:rsid w:val="00B63EE3"/>
    <w:rsid w:val="00B64717"/>
    <w:rsid w:val="00B65308"/>
    <w:rsid w:val="00B664A3"/>
    <w:rsid w:val="00B66846"/>
    <w:rsid w:val="00B67277"/>
    <w:rsid w:val="00B67633"/>
    <w:rsid w:val="00B676B1"/>
    <w:rsid w:val="00B67A14"/>
    <w:rsid w:val="00B701B9"/>
    <w:rsid w:val="00B70B3F"/>
    <w:rsid w:val="00B71FDA"/>
    <w:rsid w:val="00B723B0"/>
    <w:rsid w:val="00B72770"/>
    <w:rsid w:val="00B739B4"/>
    <w:rsid w:val="00B74370"/>
    <w:rsid w:val="00B7512B"/>
    <w:rsid w:val="00B75EFD"/>
    <w:rsid w:val="00B76119"/>
    <w:rsid w:val="00B76439"/>
    <w:rsid w:val="00B76CB3"/>
    <w:rsid w:val="00B77315"/>
    <w:rsid w:val="00B7793B"/>
    <w:rsid w:val="00B77B2D"/>
    <w:rsid w:val="00B80B50"/>
    <w:rsid w:val="00B81152"/>
    <w:rsid w:val="00B816AD"/>
    <w:rsid w:val="00B82634"/>
    <w:rsid w:val="00B82D4F"/>
    <w:rsid w:val="00B83264"/>
    <w:rsid w:val="00B83FF9"/>
    <w:rsid w:val="00B84748"/>
    <w:rsid w:val="00B87147"/>
    <w:rsid w:val="00B90114"/>
    <w:rsid w:val="00B91220"/>
    <w:rsid w:val="00B91AB7"/>
    <w:rsid w:val="00B91D7C"/>
    <w:rsid w:val="00B92D8C"/>
    <w:rsid w:val="00B93082"/>
    <w:rsid w:val="00B937C4"/>
    <w:rsid w:val="00B938C3"/>
    <w:rsid w:val="00B940FB"/>
    <w:rsid w:val="00B94F64"/>
    <w:rsid w:val="00B95593"/>
    <w:rsid w:val="00B9625A"/>
    <w:rsid w:val="00B96C78"/>
    <w:rsid w:val="00B97063"/>
    <w:rsid w:val="00B97284"/>
    <w:rsid w:val="00B97A28"/>
    <w:rsid w:val="00BA054C"/>
    <w:rsid w:val="00BA08A3"/>
    <w:rsid w:val="00BA1E8C"/>
    <w:rsid w:val="00BA2246"/>
    <w:rsid w:val="00BA253D"/>
    <w:rsid w:val="00BA2634"/>
    <w:rsid w:val="00BA2A37"/>
    <w:rsid w:val="00BA2F40"/>
    <w:rsid w:val="00BA3460"/>
    <w:rsid w:val="00BA5317"/>
    <w:rsid w:val="00BA54FA"/>
    <w:rsid w:val="00BA6B0C"/>
    <w:rsid w:val="00BA72C7"/>
    <w:rsid w:val="00BB0BE9"/>
    <w:rsid w:val="00BB0EB4"/>
    <w:rsid w:val="00BB1E89"/>
    <w:rsid w:val="00BB2136"/>
    <w:rsid w:val="00BB235D"/>
    <w:rsid w:val="00BB32BC"/>
    <w:rsid w:val="00BB44E4"/>
    <w:rsid w:val="00BB557A"/>
    <w:rsid w:val="00BB5A9A"/>
    <w:rsid w:val="00BB6221"/>
    <w:rsid w:val="00BB630D"/>
    <w:rsid w:val="00BB6CE0"/>
    <w:rsid w:val="00BB6D19"/>
    <w:rsid w:val="00BB6F10"/>
    <w:rsid w:val="00BB76EC"/>
    <w:rsid w:val="00BC1DC5"/>
    <w:rsid w:val="00BC25FF"/>
    <w:rsid w:val="00BC2890"/>
    <w:rsid w:val="00BC2898"/>
    <w:rsid w:val="00BC2C61"/>
    <w:rsid w:val="00BC4180"/>
    <w:rsid w:val="00BC54EF"/>
    <w:rsid w:val="00BD0550"/>
    <w:rsid w:val="00BD141A"/>
    <w:rsid w:val="00BD3350"/>
    <w:rsid w:val="00BD3591"/>
    <w:rsid w:val="00BD3F48"/>
    <w:rsid w:val="00BD4400"/>
    <w:rsid w:val="00BD45F9"/>
    <w:rsid w:val="00BD4CC4"/>
    <w:rsid w:val="00BD4DEA"/>
    <w:rsid w:val="00BD4EA2"/>
    <w:rsid w:val="00BD52BE"/>
    <w:rsid w:val="00BD5F33"/>
    <w:rsid w:val="00BD618F"/>
    <w:rsid w:val="00BD74D8"/>
    <w:rsid w:val="00BD7779"/>
    <w:rsid w:val="00BD7B4E"/>
    <w:rsid w:val="00BE0017"/>
    <w:rsid w:val="00BE00CD"/>
    <w:rsid w:val="00BE022A"/>
    <w:rsid w:val="00BE1990"/>
    <w:rsid w:val="00BE2661"/>
    <w:rsid w:val="00BE275C"/>
    <w:rsid w:val="00BE3959"/>
    <w:rsid w:val="00BE3B15"/>
    <w:rsid w:val="00BE4AD8"/>
    <w:rsid w:val="00BE50D3"/>
    <w:rsid w:val="00BE586D"/>
    <w:rsid w:val="00BE66EE"/>
    <w:rsid w:val="00BE66F8"/>
    <w:rsid w:val="00BE683B"/>
    <w:rsid w:val="00BE6E46"/>
    <w:rsid w:val="00BE6EE1"/>
    <w:rsid w:val="00BF0501"/>
    <w:rsid w:val="00BF2776"/>
    <w:rsid w:val="00BF2CD4"/>
    <w:rsid w:val="00BF58D9"/>
    <w:rsid w:val="00BF5B3F"/>
    <w:rsid w:val="00BF5EC3"/>
    <w:rsid w:val="00BF5F3C"/>
    <w:rsid w:val="00BF611A"/>
    <w:rsid w:val="00BF619A"/>
    <w:rsid w:val="00BF6248"/>
    <w:rsid w:val="00BF79D7"/>
    <w:rsid w:val="00C00721"/>
    <w:rsid w:val="00C008FE"/>
    <w:rsid w:val="00C01023"/>
    <w:rsid w:val="00C0121C"/>
    <w:rsid w:val="00C01AB3"/>
    <w:rsid w:val="00C02915"/>
    <w:rsid w:val="00C02BD1"/>
    <w:rsid w:val="00C0319A"/>
    <w:rsid w:val="00C033BB"/>
    <w:rsid w:val="00C03D50"/>
    <w:rsid w:val="00C0513F"/>
    <w:rsid w:val="00C05394"/>
    <w:rsid w:val="00C05BD6"/>
    <w:rsid w:val="00C069BF"/>
    <w:rsid w:val="00C06F2F"/>
    <w:rsid w:val="00C078B7"/>
    <w:rsid w:val="00C079A0"/>
    <w:rsid w:val="00C07CDA"/>
    <w:rsid w:val="00C11499"/>
    <w:rsid w:val="00C11789"/>
    <w:rsid w:val="00C11808"/>
    <w:rsid w:val="00C11E83"/>
    <w:rsid w:val="00C1208C"/>
    <w:rsid w:val="00C124A8"/>
    <w:rsid w:val="00C1472B"/>
    <w:rsid w:val="00C149E7"/>
    <w:rsid w:val="00C1502E"/>
    <w:rsid w:val="00C158D4"/>
    <w:rsid w:val="00C16542"/>
    <w:rsid w:val="00C167F0"/>
    <w:rsid w:val="00C169C2"/>
    <w:rsid w:val="00C16D45"/>
    <w:rsid w:val="00C212B8"/>
    <w:rsid w:val="00C225A2"/>
    <w:rsid w:val="00C22D2F"/>
    <w:rsid w:val="00C22D63"/>
    <w:rsid w:val="00C23709"/>
    <w:rsid w:val="00C2461A"/>
    <w:rsid w:val="00C24F47"/>
    <w:rsid w:val="00C25EAF"/>
    <w:rsid w:val="00C30128"/>
    <w:rsid w:val="00C30B42"/>
    <w:rsid w:val="00C32E79"/>
    <w:rsid w:val="00C33830"/>
    <w:rsid w:val="00C33FFF"/>
    <w:rsid w:val="00C34C38"/>
    <w:rsid w:val="00C34F2B"/>
    <w:rsid w:val="00C35CE3"/>
    <w:rsid w:val="00C36BF1"/>
    <w:rsid w:val="00C37418"/>
    <w:rsid w:val="00C3743B"/>
    <w:rsid w:val="00C4069D"/>
    <w:rsid w:val="00C41B90"/>
    <w:rsid w:val="00C42390"/>
    <w:rsid w:val="00C42BD0"/>
    <w:rsid w:val="00C436FB"/>
    <w:rsid w:val="00C472F5"/>
    <w:rsid w:val="00C47A9A"/>
    <w:rsid w:val="00C525CD"/>
    <w:rsid w:val="00C52D98"/>
    <w:rsid w:val="00C534B2"/>
    <w:rsid w:val="00C534FF"/>
    <w:rsid w:val="00C53D96"/>
    <w:rsid w:val="00C53E90"/>
    <w:rsid w:val="00C5476D"/>
    <w:rsid w:val="00C55D68"/>
    <w:rsid w:val="00C566A7"/>
    <w:rsid w:val="00C56EBF"/>
    <w:rsid w:val="00C57553"/>
    <w:rsid w:val="00C57F88"/>
    <w:rsid w:val="00C6171D"/>
    <w:rsid w:val="00C61B3B"/>
    <w:rsid w:val="00C6244D"/>
    <w:rsid w:val="00C6252D"/>
    <w:rsid w:val="00C63055"/>
    <w:rsid w:val="00C63B40"/>
    <w:rsid w:val="00C6507B"/>
    <w:rsid w:val="00C65471"/>
    <w:rsid w:val="00C65B54"/>
    <w:rsid w:val="00C65BAF"/>
    <w:rsid w:val="00C65C71"/>
    <w:rsid w:val="00C70AA2"/>
    <w:rsid w:val="00C70C00"/>
    <w:rsid w:val="00C70DED"/>
    <w:rsid w:val="00C711EC"/>
    <w:rsid w:val="00C71B77"/>
    <w:rsid w:val="00C72E51"/>
    <w:rsid w:val="00C74410"/>
    <w:rsid w:val="00C74AE2"/>
    <w:rsid w:val="00C76037"/>
    <w:rsid w:val="00C77034"/>
    <w:rsid w:val="00C7733A"/>
    <w:rsid w:val="00C77CEA"/>
    <w:rsid w:val="00C77DD8"/>
    <w:rsid w:val="00C77FBB"/>
    <w:rsid w:val="00C80E52"/>
    <w:rsid w:val="00C810F4"/>
    <w:rsid w:val="00C81F75"/>
    <w:rsid w:val="00C833C5"/>
    <w:rsid w:val="00C834C7"/>
    <w:rsid w:val="00C86450"/>
    <w:rsid w:val="00C86493"/>
    <w:rsid w:val="00C869B4"/>
    <w:rsid w:val="00C9276B"/>
    <w:rsid w:val="00C935AF"/>
    <w:rsid w:val="00C937FD"/>
    <w:rsid w:val="00C9440D"/>
    <w:rsid w:val="00C94D02"/>
    <w:rsid w:val="00C953F5"/>
    <w:rsid w:val="00C96130"/>
    <w:rsid w:val="00C96263"/>
    <w:rsid w:val="00CA0FE8"/>
    <w:rsid w:val="00CA2855"/>
    <w:rsid w:val="00CA2973"/>
    <w:rsid w:val="00CA2C76"/>
    <w:rsid w:val="00CA34FF"/>
    <w:rsid w:val="00CA4C5B"/>
    <w:rsid w:val="00CA54B9"/>
    <w:rsid w:val="00CA5F84"/>
    <w:rsid w:val="00CA7999"/>
    <w:rsid w:val="00CB0375"/>
    <w:rsid w:val="00CB0B98"/>
    <w:rsid w:val="00CB2933"/>
    <w:rsid w:val="00CB3B43"/>
    <w:rsid w:val="00CB51D7"/>
    <w:rsid w:val="00CB5AEE"/>
    <w:rsid w:val="00CB5B9A"/>
    <w:rsid w:val="00CB6FB1"/>
    <w:rsid w:val="00CB6FE2"/>
    <w:rsid w:val="00CB7B3A"/>
    <w:rsid w:val="00CC2818"/>
    <w:rsid w:val="00CC394B"/>
    <w:rsid w:val="00CC45C6"/>
    <w:rsid w:val="00CC47DA"/>
    <w:rsid w:val="00CC4D54"/>
    <w:rsid w:val="00CC5B50"/>
    <w:rsid w:val="00CC6432"/>
    <w:rsid w:val="00CC7592"/>
    <w:rsid w:val="00CD02D1"/>
    <w:rsid w:val="00CD04FC"/>
    <w:rsid w:val="00CD0CB1"/>
    <w:rsid w:val="00CD0EBA"/>
    <w:rsid w:val="00CD1609"/>
    <w:rsid w:val="00CD1CDF"/>
    <w:rsid w:val="00CD22BC"/>
    <w:rsid w:val="00CD3633"/>
    <w:rsid w:val="00CD38D5"/>
    <w:rsid w:val="00CD3ED8"/>
    <w:rsid w:val="00CD497B"/>
    <w:rsid w:val="00CD75F4"/>
    <w:rsid w:val="00CD7940"/>
    <w:rsid w:val="00CD7F13"/>
    <w:rsid w:val="00CE03D7"/>
    <w:rsid w:val="00CE09C8"/>
    <w:rsid w:val="00CE2BC5"/>
    <w:rsid w:val="00CE2EB2"/>
    <w:rsid w:val="00CE306F"/>
    <w:rsid w:val="00CE3263"/>
    <w:rsid w:val="00CE396A"/>
    <w:rsid w:val="00CE4923"/>
    <w:rsid w:val="00CE520C"/>
    <w:rsid w:val="00CE6F35"/>
    <w:rsid w:val="00CE7C9B"/>
    <w:rsid w:val="00CE7E1B"/>
    <w:rsid w:val="00CE7E24"/>
    <w:rsid w:val="00CF0DC1"/>
    <w:rsid w:val="00CF1021"/>
    <w:rsid w:val="00CF2016"/>
    <w:rsid w:val="00CF26D8"/>
    <w:rsid w:val="00CF2F2E"/>
    <w:rsid w:val="00CF3019"/>
    <w:rsid w:val="00CF3C5E"/>
    <w:rsid w:val="00CF3D34"/>
    <w:rsid w:val="00CF3ECD"/>
    <w:rsid w:val="00CF453F"/>
    <w:rsid w:val="00CF688F"/>
    <w:rsid w:val="00CF6CA9"/>
    <w:rsid w:val="00CF6FA3"/>
    <w:rsid w:val="00CF7484"/>
    <w:rsid w:val="00D00688"/>
    <w:rsid w:val="00D00815"/>
    <w:rsid w:val="00D00B48"/>
    <w:rsid w:val="00D01B66"/>
    <w:rsid w:val="00D02093"/>
    <w:rsid w:val="00D023CD"/>
    <w:rsid w:val="00D0313C"/>
    <w:rsid w:val="00D0401B"/>
    <w:rsid w:val="00D040B5"/>
    <w:rsid w:val="00D040D7"/>
    <w:rsid w:val="00D04925"/>
    <w:rsid w:val="00D052B9"/>
    <w:rsid w:val="00D068DC"/>
    <w:rsid w:val="00D069EB"/>
    <w:rsid w:val="00D07230"/>
    <w:rsid w:val="00D10014"/>
    <w:rsid w:val="00D10EF4"/>
    <w:rsid w:val="00D11858"/>
    <w:rsid w:val="00D1186B"/>
    <w:rsid w:val="00D119DA"/>
    <w:rsid w:val="00D12739"/>
    <w:rsid w:val="00D12DB3"/>
    <w:rsid w:val="00D13C19"/>
    <w:rsid w:val="00D14824"/>
    <w:rsid w:val="00D15494"/>
    <w:rsid w:val="00D15A25"/>
    <w:rsid w:val="00D209B7"/>
    <w:rsid w:val="00D20D09"/>
    <w:rsid w:val="00D218EF"/>
    <w:rsid w:val="00D21D99"/>
    <w:rsid w:val="00D22AF1"/>
    <w:rsid w:val="00D2316C"/>
    <w:rsid w:val="00D236DF"/>
    <w:rsid w:val="00D24340"/>
    <w:rsid w:val="00D24F1D"/>
    <w:rsid w:val="00D26506"/>
    <w:rsid w:val="00D26AE0"/>
    <w:rsid w:val="00D26DEA"/>
    <w:rsid w:val="00D27522"/>
    <w:rsid w:val="00D278AF"/>
    <w:rsid w:val="00D30A16"/>
    <w:rsid w:val="00D31E05"/>
    <w:rsid w:val="00D31F26"/>
    <w:rsid w:val="00D323FB"/>
    <w:rsid w:val="00D329AE"/>
    <w:rsid w:val="00D34108"/>
    <w:rsid w:val="00D35479"/>
    <w:rsid w:val="00D36164"/>
    <w:rsid w:val="00D36411"/>
    <w:rsid w:val="00D365D6"/>
    <w:rsid w:val="00D36706"/>
    <w:rsid w:val="00D375D9"/>
    <w:rsid w:val="00D37BC8"/>
    <w:rsid w:val="00D37E41"/>
    <w:rsid w:val="00D40E12"/>
    <w:rsid w:val="00D41C3A"/>
    <w:rsid w:val="00D43A20"/>
    <w:rsid w:val="00D43EB3"/>
    <w:rsid w:val="00D441A4"/>
    <w:rsid w:val="00D45968"/>
    <w:rsid w:val="00D472CE"/>
    <w:rsid w:val="00D47D09"/>
    <w:rsid w:val="00D508B4"/>
    <w:rsid w:val="00D50C07"/>
    <w:rsid w:val="00D50EBD"/>
    <w:rsid w:val="00D52226"/>
    <w:rsid w:val="00D5272D"/>
    <w:rsid w:val="00D52BBC"/>
    <w:rsid w:val="00D53720"/>
    <w:rsid w:val="00D53A29"/>
    <w:rsid w:val="00D54E08"/>
    <w:rsid w:val="00D57EB2"/>
    <w:rsid w:val="00D61527"/>
    <w:rsid w:val="00D61598"/>
    <w:rsid w:val="00D61AE0"/>
    <w:rsid w:val="00D636C3"/>
    <w:rsid w:val="00D639C8"/>
    <w:rsid w:val="00D64267"/>
    <w:rsid w:val="00D6437C"/>
    <w:rsid w:val="00D64E34"/>
    <w:rsid w:val="00D652DC"/>
    <w:rsid w:val="00D66287"/>
    <w:rsid w:val="00D66470"/>
    <w:rsid w:val="00D66501"/>
    <w:rsid w:val="00D66BC4"/>
    <w:rsid w:val="00D6710E"/>
    <w:rsid w:val="00D67B3C"/>
    <w:rsid w:val="00D70796"/>
    <w:rsid w:val="00D70B04"/>
    <w:rsid w:val="00D71E1B"/>
    <w:rsid w:val="00D72A51"/>
    <w:rsid w:val="00D7364A"/>
    <w:rsid w:val="00D74A25"/>
    <w:rsid w:val="00D7631B"/>
    <w:rsid w:val="00D76E96"/>
    <w:rsid w:val="00D805D3"/>
    <w:rsid w:val="00D80DD9"/>
    <w:rsid w:val="00D813C2"/>
    <w:rsid w:val="00D81EF9"/>
    <w:rsid w:val="00D8391A"/>
    <w:rsid w:val="00D85A3F"/>
    <w:rsid w:val="00D85B22"/>
    <w:rsid w:val="00D85D69"/>
    <w:rsid w:val="00D85F40"/>
    <w:rsid w:val="00D86007"/>
    <w:rsid w:val="00D90251"/>
    <w:rsid w:val="00D915C8"/>
    <w:rsid w:val="00D91B99"/>
    <w:rsid w:val="00D92612"/>
    <w:rsid w:val="00D9297E"/>
    <w:rsid w:val="00D94322"/>
    <w:rsid w:val="00D94D4B"/>
    <w:rsid w:val="00DA03AE"/>
    <w:rsid w:val="00DA0E2A"/>
    <w:rsid w:val="00DA1A03"/>
    <w:rsid w:val="00DA1B0E"/>
    <w:rsid w:val="00DA204C"/>
    <w:rsid w:val="00DA2A1B"/>
    <w:rsid w:val="00DA445E"/>
    <w:rsid w:val="00DA689B"/>
    <w:rsid w:val="00DA7986"/>
    <w:rsid w:val="00DB0BCC"/>
    <w:rsid w:val="00DB2484"/>
    <w:rsid w:val="00DB288B"/>
    <w:rsid w:val="00DB2F55"/>
    <w:rsid w:val="00DB3272"/>
    <w:rsid w:val="00DB3D7B"/>
    <w:rsid w:val="00DB3DA7"/>
    <w:rsid w:val="00DB55E0"/>
    <w:rsid w:val="00DB6551"/>
    <w:rsid w:val="00DB67E4"/>
    <w:rsid w:val="00DB6B9D"/>
    <w:rsid w:val="00DB79D1"/>
    <w:rsid w:val="00DB7B86"/>
    <w:rsid w:val="00DC198F"/>
    <w:rsid w:val="00DC3B75"/>
    <w:rsid w:val="00DC54D0"/>
    <w:rsid w:val="00DC5854"/>
    <w:rsid w:val="00DC585D"/>
    <w:rsid w:val="00DC772B"/>
    <w:rsid w:val="00DC7937"/>
    <w:rsid w:val="00DC79F0"/>
    <w:rsid w:val="00DC7CB8"/>
    <w:rsid w:val="00DD0659"/>
    <w:rsid w:val="00DD244E"/>
    <w:rsid w:val="00DD27E2"/>
    <w:rsid w:val="00DD2A33"/>
    <w:rsid w:val="00DD2FF2"/>
    <w:rsid w:val="00DD33CF"/>
    <w:rsid w:val="00DD33D1"/>
    <w:rsid w:val="00DD341B"/>
    <w:rsid w:val="00DD3632"/>
    <w:rsid w:val="00DD366C"/>
    <w:rsid w:val="00DD3C97"/>
    <w:rsid w:val="00DD4444"/>
    <w:rsid w:val="00DD4A16"/>
    <w:rsid w:val="00DD588A"/>
    <w:rsid w:val="00DD5A09"/>
    <w:rsid w:val="00DD5AEE"/>
    <w:rsid w:val="00DD6478"/>
    <w:rsid w:val="00DD67E6"/>
    <w:rsid w:val="00DE0178"/>
    <w:rsid w:val="00DE16EF"/>
    <w:rsid w:val="00DE1DD7"/>
    <w:rsid w:val="00DE24C4"/>
    <w:rsid w:val="00DE309D"/>
    <w:rsid w:val="00DE33BA"/>
    <w:rsid w:val="00DE360B"/>
    <w:rsid w:val="00DE4771"/>
    <w:rsid w:val="00DE4CC5"/>
    <w:rsid w:val="00DE5E6A"/>
    <w:rsid w:val="00DE6326"/>
    <w:rsid w:val="00DE653E"/>
    <w:rsid w:val="00DE6C86"/>
    <w:rsid w:val="00DF004A"/>
    <w:rsid w:val="00DF1B4C"/>
    <w:rsid w:val="00DF2179"/>
    <w:rsid w:val="00DF25D9"/>
    <w:rsid w:val="00DF38A8"/>
    <w:rsid w:val="00DF5584"/>
    <w:rsid w:val="00DF6810"/>
    <w:rsid w:val="00DF6943"/>
    <w:rsid w:val="00DF6F29"/>
    <w:rsid w:val="00E009A9"/>
    <w:rsid w:val="00E018D8"/>
    <w:rsid w:val="00E019DA"/>
    <w:rsid w:val="00E01B2C"/>
    <w:rsid w:val="00E0240E"/>
    <w:rsid w:val="00E02675"/>
    <w:rsid w:val="00E0366B"/>
    <w:rsid w:val="00E036F5"/>
    <w:rsid w:val="00E0417E"/>
    <w:rsid w:val="00E05B4E"/>
    <w:rsid w:val="00E10AE5"/>
    <w:rsid w:val="00E10D4D"/>
    <w:rsid w:val="00E11818"/>
    <w:rsid w:val="00E11D5E"/>
    <w:rsid w:val="00E12D2F"/>
    <w:rsid w:val="00E12E59"/>
    <w:rsid w:val="00E13B87"/>
    <w:rsid w:val="00E1475A"/>
    <w:rsid w:val="00E14981"/>
    <w:rsid w:val="00E15419"/>
    <w:rsid w:val="00E16CB8"/>
    <w:rsid w:val="00E174FD"/>
    <w:rsid w:val="00E2065B"/>
    <w:rsid w:val="00E20BA9"/>
    <w:rsid w:val="00E20D3E"/>
    <w:rsid w:val="00E218EA"/>
    <w:rsid w:val="00E252DB"/>
    <w:rsid w:val="00E25566"/>
    <w:rsid w:val="00E268AA"/>
    <w:rsid w:val="00E277A2"/>
    <w:rsid w:val="00E30A94"/>
    <w:rsid w:val="00E30D7E"/>
    <w:rsid w:val="00E320E8"/>
    <w:rsid w:val="00E32666"/>
    <w:rsid w:val="00E33143"/>
    <w:rsid w:val="00E335BC"/>
    <w:rsid w:val="00E34DDC"/>
    <w:rsid w:val="00E35F4C"/>
    <w:rsid w:val="00E36846"/>
    <w:rsid w:val="00E3687C"/>
    <w:rsid w:val="00E36BB9"/>
    <w:rsid w:val="00E4063B"/>
    <w:rsid w:val="00E413A1"/>
    <w:rsid w:val="00E428C4"/>
    <w:rsid w:val="00E4386F"/>
    <w:rsid w:val="00E43BF8"/>
    <w:rsid w:val="00E4439B"/>
    <w:rsid w:val="00E45337"/>
    <w:rsid w:val="00E4536E"/>
    <w:rsid w:val="00E45834"/>
    <w:rsid w:val="00E46631"/>
    <w:rsid w:val="00E50561"/>
    <w:rsid w:val="00E5061B"/>
    <w:rsid w:val="00E51499"/>
    <w:rsid w:val="00E51869"/>
    <w:rsid w:val="00E52B03"/>
    <w:rsid w:val="00E540F3"/>
    <w:rsid w:val="00E54295"/>
    <w:rsid w:val="00E54A92"/>
    <w:rsid w:val="00E54BCA"/>
    <w:rsid w:val="00E54C2C"/>
    <w:rsid w:val="00E55EB1"/>
    <w:rsid w:val="00E57DED"/>
    <w:rsid w:val="00E605A8"/>
    <w:rsid w:val="00E60F1C"/>
    <w:rsid w:val="00E627C6"/>
    <w:rsid w:val="00E63435"/>
    <w:rsid w:val="00E638CD"/>
    <w:rsid w:val="00E645DD"/>
    <w:rsid w:val="00E65297"/>
    <w:rsid w:val="00E656EB"/>
    <w:rsid w:val="00E66A85"/>
    <w:rsid w:val="00E67A24"/>
    <w:rsid w:val="00E67F15"/>
    <w:rsid w:val="00E706F0"/>
    <w:rsid w:val="00E7293B"/>
    <w:rsid w:val="00E73CDB"/>
    <w:rsid w:val="00E747F0"/>
    <w:rsid w:val="00E748E0"/>
    <w:rsid w:val="00E74A20"/>
    <w:rsid w:val="00E74FE4"/>
    <w:rsid w:val="00E75209"/>
    <w:rsid w:val="00E752A1"/>
    <w:rsid w:val="00E75984"/>
    <w:rsid w:val="00E767BA"/>
    <w:rsid w:val="00E772A9"/>
    <w:rsid w:val="00E774D3"/>
    <w:rsid w:val="00E777BD"/>
    <w:rsid w:val="00E81192"/>
    <w:rsid w:val="00E81B49"/>
    <w:rsid w:val="00E828AD"/>
    <w:rsid w:val="00E82914"/>
    <w:rsid w:val="00E83007"/>
    <w:rsid w:val="00E8477D"/>
    <w:rsid w:val="00E84862"/>
    <w:rsid w:val="00E84A5D"/>
    <w:rsid w:val="00E84D20"/>
    <w:rsid w:val="00E851B9"/>
    <w:rsid w:val="00E863F4"/>
    <w:rsid w:val="00E87255"/>
    <w:rsid w:val="00E87815"/>
    <w:rsid w:val="00E87EE6"/>
    <w:rsid w:val="00E90203"/>
    <w:rsid w:val="00E91C61"/>
    <w:rsid w:val="00E91D70"/>
    <w:rsid w:val="00E92CF0"/>
    <w:rsid w:val="00E93C95"/>
    <w:rsid w:val="00E94641"/>
    <w:rsid w:val="00E9465D"/>
    <w:rsid w:val="00E94CD1"/>
    <w:rsid w:val="00E965B9"/>
    <w:rsid w:val="00E97FC8"/>
    <w:rsid w:val="00EA1603"/>
    <w:rsid w:val="00EA1635"/>
    <w:rsid w:val="00EA239A"/>
    <w:rsid w:val="00EA248B"/>
    <w:rsid w:val="00EA2F01"/>
    <w:rsid w:val="00EA3656"/>
    <w:rsid w:val="00EA3788"/>
    <w:rsid w:val="00EA4060"/>
    <w:rsid w:val="00EA4AEF"/>
    <w:rsid w:val="00EA538A"/>
    <w:rsid w:val="00EA5838"/>
    <w:rsid w:val="00EA77DF"/>
    <w:rsid w:val="00EA7937"/>
    <w:rsid w:val="00EA7E21"/>
    <w:rsid w:val="00EB0043"/>
    <w:rsid w:val="00EB0B01"/>
    <w:rsid w:val="00EB1052"/>
    <w:rsid w:val="00EB1C39"/>
    <w:rsid w:val="00EB24A5"/>
    <w:rsid w:val="00EB3038"/>
    <w:rsid w:val="00EB5F3C"/>
    <w:rsid w:val="00EB605B"/>
    <w:rsid w:val="00EB62A7"/>
    <w:rsid w:val="00EB6B6A"/>
    <w:rsid w:val="00EC00FD"/>
    <w:rsid w:val="00EC5529"/>
    <w:rsid w:val="00EC608C"/>
    <w:rsid w:val="00EC6F83"/>
    <w:rsid w:val="00EC76AE"/>
    <w:rsid w:val="00ED273F"/>
    <w:rsid w:val="00ED42B5"/>
    <w:rsid w:val="00ED533B"/>
    <w:rsid w:val="00ED61AA"/>
    <w:rsid w:val="00ED6AC5"/>
    <w:rsid w:val="00ED71E9"/>
    <w:rsid w:val="00EE0470"/>
    <w:rsid w:val="00EE0943"/>
    <w:rsid w:val="00EE117A"/>
    <w:rsid w:val="00EE2D46"/>
    <w:rsid w:val="00EE35EA"/>
    <w:rsid w:val="00EE402B"/>
    <w:rsid w:val="00EE4E4C"/>
    <w:rsid w:val="00EE5B26"/>
    <w:rsid w:val="00EE7087"/>
    <w:rsid w:val="00EE79F7"/>
    <w:rsid w:val="00EF13D6"/>
    <w:rsid w:val="00EF21B8"/>
    <w:rsid w:val="00EF2261"/>
    <w:rsid w:val="00EF2EB2"/>
    <w:rsid w:val="00EF3AB3"/>
    <w:rsid w:val="00EF3F0D"/>
    <w:rsid w:val="00EF4E55"/>
    <w:rsid w:val="00EF532A"/>
    <w:rsid w:val="00EF5697"/>
    <w:rsid w:val="00EF5829"/>
    <w:rsid w:val="00EF59DC"/>
    <w:rsid w:val="00EF62F2"/>
    <w:rsid w:val="00EF639D"/>
    <w:rsid w:val="00EF64A9"/>
    <w:rsid w:val="00EF7BE4"/>
    <w:rsid w:val="00EF7E00"/>
    <w:rsid w:val="00F008FB"/>
    <w:rsid w:val="00F00A21"/>
    <w:rsid w:val="00F014E8"/>
    <w:rsid w:val="00F0164A"/>
    <w:rsid w:val="00F01D71"/>
    <w:rsid w:val="00F02AED"/>
    <w:rsid w:val="00F02B17"/>
    <w:rsid w:val="00F0369A"/>
    <w:rsid w:val="00F065B8"/>
    <w:rsid w:val="00F06695"/>
    <w:rsid w:val="00F06D62"/>
    <w:rsid w:val="00F06E2E"/>
    <w:rsid w:val="00F06FAB"/>
    <w:rsid w:val="00F07B25"/>
    <w:rsid w:val="00F10872"/>
    <w:rsid w:val="00F10D5C"/>
    <w:rsid w:val="00F11080"/>
    <w:rsid w:val="00F14602"/>
    <w:rsid w:val="00F16236"/>
    <w:rsid w:val="00F16AAC"/>
    <w:rsid w:val="00F17ADF"/>
    <w:rsid w:val="00F17D70"/>
    <w:rsid w:val="00F209BE"/>
    <w:rsid w:val="00F21279"/>
    <w:rsid w:val="00F212D0"/>
    <w:rsid w:val="00F21933"/>
    <w:rsid w:val="00F2244F"/>
    <w:rsid w:val="00F228F0"/>
    <w:rsid w:val="00F231B0"/>
    <w:rsid w:val="00F235B4"/>
    <w:rsid w:val="00F251B7"/>
    <w:rsid w:val="00F26231"/>
    <w:rsid w:val="00F27608"/>
    <w:rsid w:val="00F27726"/>
    <w:rsid w:val="00F27E0F"/>
    <w:rsid w:val="00F27E9F"/>
    <w:rsid w:val="00F3092A"/>
    <w:rsid w:val="00F30C57"/>
    <w:rsid w:val="00F3152C"/>
    <w:rsid w:val="00F328B0"/>
    <w:rsid w:val="00F32926"/>
    <w:rsid w:val="00F32FE8"/>
    <w:rsid w:val="00F3349D"/>
    <w:rsid w:val="00F3352E"/>
    <w:rsid w:val="00F33A66"/>
    <w:rsid w:val="00F35019"/>
    <w:rsid w:val="00F353AB"/>
    <w:rsid w:val="00F368C7"/>
    <w:rsid w:val="00F369BB"/>
    <w:rsid w:val="00F3799B"/>
    <w:rsid w:val="00F406F0"/>
    <w:rsid w:val="00F40D91"/>
    <w:rsid w:val="00F41E0F"/>
    <w:rsid w:val="00F4310C"/>
    <w:rsid w:val="00F44033"/>
    <w:rsid w:val="00F448ED"/>
    <w:rsid w:val="00F45741"/>
    <w:rsid w:val="00F45E57"/>
    <w:rsid w:val="00F46C80"/>
    <w:rsid w:val="00F47900"/>
    <w:rsid w:val="00F502F6"/>
    <w:rsid w:val="00F503A4"/>
    <w:rsid w:val="00F515D5"/>
    <w:rsid w:val="00F51D14"/>
    <w:rsid w:val="00F52318"/>
    <w:rsid w:val="00F53549"/>
    <w:rsid w:val="00F5466F"/>
    <w:rsid w:val="00F54910"/>
    <w:rsid w:val="00F55709"/>
    <w:rsid w:val="00F55793"/>
    <w:rsid w:val="00F56537"/>
    <w:rsid w:val="00F56F59"/>
    <w:rsid w:val="00F6030C"/>
    <w:rsid w:val="00F604EE"/>
    <w:rsid w:val="00F60967"/>
    <w:rsid w:val="00F61247"/>
    <w:rsid w:val="00F61617"/>
    <w:rsid w:val="00F62C68"/>
    <w:rsid w:val="00F63A05"/>
    <w:rsid w:val="00F6487C"/>
    <w:rsid w:val="00F651E9"/>
    <w:rsid w:val="00F66EC4"/>
    <w:rsid w:val="00F66F3B"/>
    <w:rsid w:val="00F672CF"/>
    <w:rsid w:val="00F67975"/>
    <w:rsid w:val="00F67B0D"/>
    <w:rsid w:val="00F67E33"/>
    <w:rsid w:val="00F70347"/>
    <w:rsid w:val="00F704D1"/>
    <w:rsid w:val="00F71ACB"/>
    <w:rsid w:val="00F72F1C"/>
    <w:rsid w:val="00F733BE"/>
    <w:rsid w:val="00F73608"/>
    <w:rsid w:val="00F736BA"/>
    <w:rsid w:val="00F74EFA"/>
    <w:rsid w:val="00F75670"/>
    <w:rsid w:val="00F759CA"/>
    <w:rsid w:val="00F75ACF"/>
    <w:rsid w:val="00F75F81"/>
    <w:rsid w:val="00F76BFF"/>
    <w:rsid w:val="00F76DB0"/>
    <w:rsid w:val="00F7700C"/>
    <w:rsid w:val="00F77072"/>
    <w:rsid w:val="00F7763E"/>
    <w:rsid w:val="00F8001C"/>
    <w:rsid w:val="00F80A62"/>
    <w:rsid w:val="00F811A0"/>
    <w:rsid w:val="00F81D74"/>
    <w:rsid w:val="00F83251"/>
    <w:rsid w:val="00F83560"/>
    <w:rsid w:val="00F839C0"/>
    <w:rsid w:val="00F83CAF"/>
    <w:rsid w:val="00F861B9"/>
    <w:rsid w:val="00F86624"/>
    <w:rsid w:val="00F902BD"/>
    <w:rsid w:val="00F90454"/>
    <w:rsid w:val="00F907F0"/>
    <w:rsid w:val="00F909AD"/>
    <w:rsid w:val="00F909B0"/>
    <w:rsid w:val="00F9178E"/>
    <w:rsid w:val="00F9311A"/>
    <w:rsid w:val="00F93280"/>
    <w:rsid w:val="00F950D5"/>
    <w:rsid w:val="00F96268"/>
    <w:rsid w:val="00F975FE"/>
    <w:rsid w:val="00F97DE9"/>
    <w:rsid w:val="00FA1F3E"/>
    <w:rsid w:val="00FA2DA4"/>
    <w:rsid w:val="00FA3B37"/>
    <w:rsid w:val="00FA4A40"/>
    <w:rsid w:val="00FA623F"/>
    <w:rsid w:val="00FA69B3"/>
    <w:rsid w:val="00FA6CDA"/>
    <w:rsid w:val="00FA7211"/>
    <w:rsid w:val="00FA7F1A"/>
    <w:rsid w:val="00FB0D8E"/>
    <w:rsid w:val="00FB18BB"/>
    <w:rsid w:val="00FB215A"/>
    <w:rsid w:val="00FB257D"/>
    <w:rsid w:val="00FB423C"/>
    <w:rsid w:val="00FB53D9"/>
    <w:rsid w:val="00FC091A"/>
    <w:rsid w:val="00FC0927"/>
    <w:rsid w:val="00FC28AD"/>
    <w:rsid w:val="00FC2C9E"/>
    <w:rsid w:val="00FC2E79"/>
    <w:rsid w:val="00FC382F"/>
    <w:rsid w:val="00FC3BE7"/>
    <w:rsid w:val="00FC5528"/>
    <w:rsid w:val="00FC6F11"/>
    <w:rsid w:val="00FD039E"/>
    <w:rsid w:val="00FD0702"/>
    <w:rsid w:val="00FD1000"/>
    <w:rsid w:val="00FD1D76"/>
    <w:rsid w:val="00FD2287"/>
    <w:rsid w:val="00FD2A46"/>
    <w:rsid w:val="00FD4435"/>
    <w:rsid w:val="00FD5B1F"/>
    <w:rsid w:val="00FD6257"/>
    <w:rsid w:val="00FD714D"/>
    <w:rsid w:val="00FD7B72"/>
    <w:rsid w:val="00FD7D5E"/>
    <w:rsid w:val="00FE0CBC"/>
    <w:rsid w:val="00FE128D"/>
    <w:rsid w:val="00FE1820"/>
    <w:rsid w:val="00FE21E5"/>
    <w:rsid w:val="00FE2229"/>
    <w:rsid w:val="00FE24D0"/>
    <w:rsid w:val="00FE34F0"/>
    <w:rsid w:val="00FE40A3"/>
    <w:rsid w:val="00FE557D"/>
    <w:rsid w:val="00FE6DBF"/>
    <w:rsid w:val="00FE7C1D"/>
    <w:rsid w:val="00FF05D5"/>
    <w:rsid w:val="00FF0654"/>
    <w:rsid w:val="00FF1A77"/>
    <w:rsid w:val="00FF21FB"/>
    <w:rsid w:val="00FF26BE"/>
    <w:rsid w:val="00FF2B68"/>
    <w:rsid w:val="00FF2E16"/>
    <w:rsid w:val="00FF461A"/>
    <w:rsid w:val="00FF5F8F"/>
    <w:rsid w:val="00FF6A2D"/>
    <w:rsid w:val="014D96C5"/>
    <w:rsid w:val="01C68411"/>
    <w:rsid w:val="02881E83"/>
    <w:rsid w:val="02D08933"/>
    <w:rsid w:val="03C04B42"/>
    <w:rsid w:val="03C4687A"/>
    <w:rsid w:val="041C2884"/>
    <w:rsid w:val="062456F9"/>
    <w:rsid w:val="065A746D"/>
    <w:rsid w:val="066E2E6F"/>
    <w:rsid w:val="06F5BE43"/>
    <w:rsid w:val="077A4D4F"/>
    <w:rsid w:val="07CBA853"/>
    <w:rsid w:val="07F85FBF"/>
    <w:rsid w:val="07FC7E56"/>
    <w:rsid w:val="080F4E4B"/>
    <w:rsid w:val="08754174"/>
    <w:rsid w:val="09405847"/>
    <w:rsid w:val="09674FC6"/>
    <w:rsid w:val="098D76CD"/>
    <w:rsid w:val="09AB1CAB"/>
    <w:rsid w:val="09DF1769"/>
    <w:rsid w:val="0A8C4722"/>
    <w:rsid w:val="0A8DB09C"/>
    <w:rsid w:val="0B30B6DD"/>
    <w:rsid w:val="0B539580"/>
    <w:rsid w:val="0B776567"/>
    <w:rsid w:val="0BE0E2A5"/>
    <w:rsid w:val="0BF9B70C"/>
    <w:rsid w:val="0C0D5A67"/>
    <w:rsid w:val="0D0377C8"/>
    <w:rsid w:val="0D1E7640"/>
    <w:rsid w:val="0D88DA25"/>
    <w:rsid w:val="0DE02A5D"/>
    <w:rsid w:val="0DE56E64"/>
    <w:rsid w:val="0E21BF21"/>
    <w:rsid w:val="0E878B86"/>
    <w:rsid w:val="0EB2CD65"/>
    <w:rsid w:val="0EF3169A"/>
    <w:rsid w:val="0F11724C"/>
    <w:rsid w:val="0F2D3C96"/>
    <w:rsid w:val="0F3BCCE2"/>
    <w:rsid w:val="0F522423"/>
    <w:rsid w:val="0FD83F86"/>
    <w:rsid w:val="0FEF94C0"/>
    <w:rsid w:val="109685E3"/>
    <w:rsid w:val="10DBA0BE"/>
    <w:rsid w:val="11034567"/>
    <w:rsid w:val="11616006"/>
    <w:rsid w:val="1161E482"/>
    <w:rsid w:val="118FE828"/>
    <w:rsid w:val="1279F692"/>
    <w:rsid w:val="12D8B496"/>
    <w:rsid w:val="134A7E9B"/>
    <w:rsid w:val="135CA113"/>
    <w:rsid w:val="13D43686"/>
    <w:rsid w:val="14A4DFDC"/>
    <w:rsid w:val="14DAE0E2"/>
    <w:rsid w:val="14E549CD"/>
    <w:rsid w:val="153D96A3"/>
    <w:rsid w:val="1577CBF3"/>
    <w:rsid w:val="15B2DB2B"/>
    <w:rsid w:val="15D785AA"/>
    <w:rsid w:val="1620CBF3"/>
    <w:rsid w:val="168999E9"/>
    <w:rsid w:val="169B783A"/>
    <w:rsid w:val="16A150A8"/>
    <w:rsid w:val="1754CAF8"/>
    <w:rsid w:val="17810E10"/>
    <w:rsid w:val="17F9436E"/>
    <w:rsid w:val="18139FD3"/>
    <w:rsid w:val="188070D2"/>
    <w:rsid w:val="18897F9C"/>
    <w:rsid w:val="199AB180"/>
    <w:rsid w:val="1AA7C564"/>
    <w:rsid w:val="1AAB66C0"/>
    <w:rsid w:val="1AD30F53"/>
    <w:rsid w:val="1AD64438"/>
    <w:rsid w:val="1B3ACB57"/>
    <w:rsid w:val="1B798E40"/>
    <w:rsid w:val="1B87887B"/>
    <w:rsid w:val="1BDC2285"/>
    <w:rsid w:val="1BE63C2B"/>
    <w:rsid w:val="1C2FBD09"/>
    <w:rsid w:val="1C3E8ECA"/>
    <w:rsid w:val="1C915DCB"/>
    <w:rsid w:val="1CC944FA"/>
    <w:rsid w:val="1D8F52E4"/>
    <w:rsid w:val="1DFDCDB7"/>
    <w:rsid w:val="1E3FE88A"/>
    <w:rsid w:val="1EA5BCE9"/>
    <w:rsid w:val="1EF8C40A"/>
    <w:rsid w:val="1F56E758"/>
    <w:rsid w:val="1F9F5A76"/>
    <w:rsid w:val="1FD0A053"/>
    <w:rsid w:val="2013F785"/>
    <w:rsid w:val="20C1F026"/>
    <w:rsid w:val="21075ADF"/>
    <w:rsid w:val="21597820"/>
    <w:rsid w:val="2202F14E"/>
    <w:rsid w:val="22453E9B"/>
    <w:rsid w:val="227B470F"/>
    <w:rsid w:val="22E1561D"/>
    <w:rsid w:val="2338F5CC"/>
    <w:rsid w:val="2384846C"/>
    <w:rsid w:val="239380B2"/>
    <w:rsid w:val="239EC1AF"/>
    <w:rsid w:val="23ACF7F1"/>
    <w:rsid w:val="23E678EF"/>
    <w:rsid w:val="24AF4BBA"/>
    <w:rsid w:val="255A1361"/>
    <w:rsid w:val="258A43A4"/>
    <w:rsid w:val="25CEE049"/>
    <w:rsid w:val="26155A2A"/>
    <w:rsid w:val="264190BD"/>
    <w:rsid w:val="264CEFE7"/>
    <w:rsid w:val="265582BC"/>
    <w:rsid w:val="2661FAFC"/>
    <w:rsid w:val="268357D9"/>
    <w:rsid w:val="2715F2A3"/>
    <w:rsid w:val="2726D75E"/>
    <w:rsid w:val="27D41194"/>
    <w:rsid w:val="27D9D59B"/>
    <w:rsid w:val="27FD3A57"/>
    <w:rsid w:val="29362196"/>
    <w:rsid w:val="29B56C8E"/>
    <w:rsid w:val="29DDC438"/>
    <w:rsid w:val="2A1BD6F6"/>
    <w:rsid w:val="2A37DA08"/>
    <w:rsid w:val="2AE783BF"/>
    <w:rsid w:val="2B626E13"/>
    <w:rsid w:val="2C7198C2"/>
    <w:rsid w:val="2C926E4E"/>
    <w:rsid w:val="2C9D9687"/>
    <w:rsid w:val="2D955589"/>
    <w:rsid w:val="2E4E3B47"/>
    <w:rsid w:val="2EA141A4"/>
    <w:rsid w:val="2EAEDDAD"/>
    <w:rsid w:val="2F8A303D"/>
    <w:rsid w:val="3011CD99"/>
    <w:rsid w:val="30281D32"/>
    <w:rsid w:val="302D150E"/>
    <w:rsid w:val="309EFB0A"/>
    <w:rsid w:val="3105F9DA"/>
    <w:rsid w:val="3126D5D2"/>
    <w:rsid w:val="3160B5AC"/>
    <w:rsid w:val="32B76CB9"/>
    <w:rsid w:val="3311B64D"/>
    <w:rsid w:val="33496E5B"/>
    <w:rsid w:val="33887587"/>
    <w:rsid w:val="33A7D391"/>
    <w:rsid w:val="33F26741"/>
    <w:rsid w:val="34552351"/>
    <w:rsid w:val="349D6BD0"/>
    <w:rsid w:val="34BE973C"/>
    <w:rsid w:val="35110FA0"/>
    <w:rsid w:val="353530F4"/>
    <w:rsid w:val="3545DA71"/>
    <w:rsid w:val="35548C7B"/>
    <w:rsid w:val="3573EC7F"/>
    <w:rsid w:val="35B08F9B"/>
    <w:rsid w:val="373B6B10"/>
    <w:rsid w:val="3835804F"/>
    <w:rsid w:val="38A9EEE8"/>
    <w:rsid w:val="3904F132"/>
    <w:rsid w:val="39F246CF"/>
    <w:rsid w:val="3A14AC99"/>
    <w:rsid w:val="3A368DFE"/>
    <w:rsid w:val="3A415601"/>
    <w:rsid w:val="3A46E01F"/>
    <w:rsid w:val="3A60E104"/>
    <w:rsid w:val="3B35B931"/>
    <w:rsid w:val="3B8C7F37"/>
    <w:rsid w:val="3B9CCF5B"/>
    <w:rsid w:val="3BD830EE"/>
    <w:rsid w:val="3BF819D0"/>
    <w:rsid w:val="3C3BF3A9"/>
    <w:rsid w:val="3C400773"/>
    <w:rsid w:val="3C947ECD"/>
    <w:rsid w:val="3D4A49E6"/>
    <w:rsid w:val="3D8CE4E1"/>
    <w:rsid w:val="3E712E4B"/>
    <w:rsid w:val="3F3A01DD"/>
    <w:rsid w:val="3F74FC9B"/>
    <w:rsid w:val="40B8850B"/>
    <w:rsid w:val="40F49FD1"/>
    <w:rsid w:val="418CF76F"/>
    <w:rsid w:val="41A5A6E4"/>
    <w:rsid w:val="41FF5455"/>
    <w:rsid w:val="420A60E1"/>
    <w:rsid w:val="4240384F"/>
    <w:rsid w:val="42AEB69D"/>
    <w:rsid w:val="42E91F4D"/>
    <w:rsid w:val="44E327BA"/>
    <w:rsid w:val="44ED9FC7"/>
    <w:rsid w:val="44FAD266"/>
    <w:rsid w:val="458408A8"/>
    <w:rsid w:val="45B66B14"/>
    <w:rsid w:val="45C728F3"/>
    <w:rsid w:val="4610BD4E"/>
    <w:rsid w:val="464B5B15"/>
    <w:rsid w:val="46A73594"/>
    <w:rsid w:val="46F47CB7"/>
    <w:rsid w:val="4727C68F"/>
    <w:rsid w:val="47AF0AD4"/>
    <w:rsid w:val="483B2055"/>
    <w:rsid w:val="486155C2"/>
    <w:rsid w:val="4873024C"/>
    <w:rsid w:val="488680AA"/>
    <w:rsid w:val="48AE5BD2"/>
    <w:rsid w:val="495FAB51"/>
    <w:rsid w:val="49AB8C16"/>
    <w:rsid w:val="49DFF1A6"/>
    <w:rsid w:val="49FCC6C0"/>
    <w:rsid w:val="4A493351"/>
    <w:rsid w:val="4BB214B2"/>
    <w:rsid w:val="4BB9E7E0"/>
    <w:rsid w:val="4BE54277"/>
    <w:rsid w:val="4BEA339E"/>
    <w:rsid w:val="4C15E0EE"/>
    <w:rsid w:val="4C26AF19"/>
    <w:rsid w:val="4C53F827"/>
    <w:rsid w:val="4C61A9CC"/>
    <w:rsid w:val="4C621066"/>
    <w:rsid w:val="4CB5183A"/>
    <w:rsid w:val="4CD96391"/>
    <w:rsid w:val="4CF53994"/>
    <w:rsid w:val="4CFE36DD"/>
    <w:rsid w:val="4D6CDD62"/>
    <w:rsid w:val="4DF42A45"/>
    <w:rsid w:val="4E036607"/>
    <w:rsid w:val="4E12B567"/>
    <w:rsid w:val="4E2890E8"/>
    <w:rsid w:val="4E331325"/>
    <w:rsid w:val="4F266D67"/>
    <w:rsid w:val="4F8FFAA6"/>
    <w:rsid w:val="4FC641B5"/>
    <w:rsid w:val="4FD2E667"/>
    <w:rsid w:val="503EEE02"/>
    <w:rsid w:val="509D9382"/>
    <w:rsid w:val="50BC45DD"/>
    <w:rsid w:val="50FBE369"/>
    <w:rsid w:val="516A4490"/>
    <w:rsid w:val="519F2599"/>
    <w:rsid w:val="51AB95B8"/>
    <w:rsid w:val="526A7936"/>
    <w:rsid w:val="527D731F"/>
    <w:rsid w:val="52D2354D"/>
    <w:rsid w:val="52E54FB9"/>
    <w:rsid w:val="537E8814"/>
    <w:rsid w:val="544A51E3"/>
    <w:rsid w:val="546CE9A4"/>
    <w:rsid w:val="54CA99A1"/>
    <w:rsid w:val="54F3121A"/>
    <w:rsid w:val="55405D6B"/>
    <w:rsid w:val="5633B517"/>
    <w:rsid w:val="567F06DB"/>
    <w:rsid w:val="57A9A8C7"/>
    <w:rsid w:val="57E95164"/>
    <w:rsid w:val="58005686"/>
    <w:rsid w:val="583297E3"/>
    <w:rsid w:val="5910D607"/>
    <w:rsid w:val="59121C1C"/>
    <w:rsid w:val="5A29ACEC"/>
    <w:rsid w:val="5A541C6A"/>
    <w:rsid w:val="5AD0293E"/>
    <w:rsid w:val="5B0CE145"/>
    <w:rsid w:val="5C19B5D9"/>
    <w:rsid w:val="5CB7606C"/>
    <w:rsid w:val="5D061F69"/>
    <w:rsid w:val="5DAA6F33"/>
    <w:rsid w:val="5E122497"/>
    <w:rsid w:val="5E23D0EA"/>
    <w:rsid w:val="5E29229D"/>
    <w:rsid w:val="5E5D296C"/>
    <w:rsid w:val="5EB2AAF4"/>
    <w:rsid w:val="5EF889C9"/>
    <w:rsid w:val="5FE7807A"/>
    <w:rsid w:val="603B28F3"/>
    <w:rsid w:val="606A8427"/>
    <w:rsid w:val="60FEA5D1"/>
    <w:rsid w:val="61C2B213"/>
    <w:rsid w:val="61C8FA2D"/>
    <w:rsid w:val="62277A44"/>
    <w:rsid w:val="63011C01"/>
    <w:rsid w:val="6350301D"/>
    <w:rsid w:val="63F132F0"/>
    <w:rsid w:val="64042777"/>
    <w:rsid w:val="646213A1"/>
    <w:rsid w:val="6470D147"/>
    <w:rsid w:val="648DE668"/>
    <w:rsid w:val="64EDEAB5"/>
    <w:rsid w:val="654AD8B3"/>
    <w:rsid w:val="65FDDFD8"/>
    <w:rsid w:val="665AC9FB"/>
    <w:rsid w:val="6678C187"/>
    <w:rsid w:val="66AC47DE"/>
    <w:rsid w:val="670BDFBA"/>
    <w:rsid w:val="67585215"/>
    <w:rsid w:val="67A91A2C"/>
    <w:rsid w:val="67FF583F"/>
    <w:rsid w:val="68070936"/>
    <w:rsid w:val="6828C8F3"/>
    <w:rsid w:val="68CDAE34"/>
    <w:rsid w:val="69421A16"/>
    <w:rsid w:val="695AD1E4"/>
    <w:rsid w:val="6964ED89"/>
    <w:rsid w:val="698595FC"/>
    <w:rsid w:val="69A1E81B"/>
    <w:rsid w:val="69B674FF"/>
    <w:rsid w:val="6B1B67BC"/>
    <w:rsid w:val="6BC61880"/>
    <w:rsid w:val="6C3E3CA5"/>
    <w:rsid w:val="6C443BBC"/>
    <w:rsid w:val="6C6393FF"/>
    <w:rsid w:val="6C762C1A"/>
    <w:rsid w:val="6D0A32C3"/>
    <w:rsid w:val="6D2061C4"/>
    <w:rsid w:val="6D5C279E"/>
    <w:rsid w:val="6D61F688"/>
    <w:rsid w:val="6D7168DF"/>
    <w:rsid w:val="6D901239"/>
    <w:rsid w:val="6E2CA07D"/>
    <w:rsid w:val="6E672C85"/>
    <w:rsid w:val="6EA423F3"/>
    <w:rsid w:val="6EB07222"/>
    <w:rsid w:val="6EFB397B"/>
    <w:rsid w:val="6F61FB50"/>
    <w:rsid w:val="6FAB7AD4"/>
    <w:rsid w:val="702AD214"/>
    <w:rsid w:val="70FE082A"/>
    <w:rsid w:val="718DA7FB"/>
    <w:rsid w:val="71BEAECE"/>
    <w:rsid w:val="71C2559A"/>
    <w:rsid w:val="71CEE346"/>
    <w:rsid w:val="71D8CA26"/>
    <w:rsid w:val="72BDB100"/>
    <w:rsid w:val="72CBBE5C"/>
    <w:rsid w:val="72EB1A2E"/>
    <w:rsid w:val="7302A0DB"/>
    <w:rsid w:val="7317803D"/>
    <w:rsid w:val="736CFEAB"/>
    <w:rsid w:val="73B9E5C0"/>
    <w:rsid w:val="74C8581D"/>
    <w:rsid w:val="7504410B"/>
    <w:rsid w:val="7519F20A"/>
    <w:rsid w:val="7520886A"/>
    <w:rsid w:val="76ACD094"/>
    <w:rsid w:val="774A4ED5"/>
    <w:rsid w:val="7856A6A9"/>
    <w:rsid w:val="79252440"/>
    <w:rsid w:val="796F2071"/>
    <w:rsid w:val="797D70EA"/>
    <w:rsid w:val="79E0D1FC"/>
    <w:rsid w:val="7A3DFAF2"/>
    <w:rsid w:val="7A97F2AB"/>
    <w:rsid w:val="7AE4BBE5"/>
    <w:rsid w:val="7AEA05A5"/>
    <w:rsid w:val="7B9B9430"/>
    <w:rsid w:val="7BFFCEF2"/>
    <w:rsid w:val="7C6147AE"/>
    <w:rsid w:val="7CBE2107"/>
    <w:rsid w:val="7D1712D1"/>
    <w:rsid w:val="7D6C9484"/>
    <w:rsid w:val="7D811DD6"/>
    <w:rsid w:val="7DB0BF34"/>
    <w:rsid w:val="7DF68E3D"/>
    <w:rsid w:val="7E57605C"/>
    <w:rsid w:val="7EA20F10"/>
    <w:rsid w:val="7EF2F7F0"/>
    <w:rsid w:val="7F72687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F7C6F"/>
  <w15:docId w15:val="{037889F1-E411-4914-B4B3-699B3D514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rPr>
  </w:style>
  <w:style w:type="paragraph" w:styleId="Heading4">
    <w:name w:val="heading 4"/>
    <w:basedOn w:val="Normal"/>
    <w:next w:val="Normal"/>
    <w:link w:val="Heading4Char"/>
    <w:uiPriority w:val="9"/>
    <w:semiHidden/>
    <w:unhideWhenUsed/>
    <w:qFormat/>
    <w:rsid w:val="00AA24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semiHidden/>
    <w:unhideWhenUsed/>
    <w:rsid w:val="00C77DD8"/>
    <w:pPr>
      <w:spacing w:after="120"/>
    </w:pPr>
  </w:style>
  <w:style w:type="character" w:customStyle="1" w:styleId="BodyTextChar">
    <w:name w:val="Body Text Char"/>
    <w:basedOn w:val="DefaultParagraphFont"/>
    <w:link w:val="BodyText"/>
    <w:uiPriority w:val="99"/>
    <w:semiHidden/>
    <w:rsid w:val="00C77DD8"/>
    <w:rPr>
      <w:rFonts w:ascii="Calibri" w:eastAsia="Calibri" w:hAnsi="Calibri" w:cs="Calibri"/>
      <w:color w:val="000000"/>
    </w:rPr>
  </w:style>
  <w:style w:type="paragraph" w:styleId="FootnoteText">
    <w:name w:val="footnote text"/>
    <w:basedOn w:val="Normal"/>
    <w:link w:val="FootnoteTextChar"/>
    <w:uiPriority w:val="99"/>
    <w:semiHidden/>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semiHidden/>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styleId="Mention">
    <w:name w:val="Mention"/>
    <w:basedOn w:val="DefaultParagraphFont"/>
    <w:uiPriority w:val="99"/>
    <w:unhideWhenUsed/>
    <w:rsid w:val="005060CA"/>
    <w:rPr>
      <w:color w:val="2B579A"/>
      <w:shd w:val="clear" w:color="auto" w:fill="E1DFDD"/>
    </w:rPr>
  </w:style>
  <w:style w:type="paragraph" w:customStyle="1" w:styleId="xmsolistparagraph">
    <w:name w:val="x_msolistparagraph"/>
    <w:basedOn w:val="Normal"/>
    <w:rsid w:val="00403262"/>
    <w:pPr>
      <w:spacing w:line="240" w:lineRule="auto"/>
      <w:ind w:left="720" w:firstLine="0"/>
    </w:pPr>
    <w:rPr>
      <w:rFonts w:eastAsiaTheme="minorHAnsi"/>
      <w:color w:val="auto"/>
    </w:rPr>
  </w:style>
  <w:style w:type="paragraph" w:customStyle="1" w:styleId="Default">
    <w:name w:val="Default"/>
    <w:rsid w:val="00EE5B26"/>
    <w:pPr>
      <w:autoSpaceDE w:val="0"/>
      <w:autoSpaceDN w:val="0"/>
      <w:adjustRightInd w:val="0"/>
      <w:spacing w:after="0" w:line="240" w:lineRule="auto"/>
    </w:pPr>
    <w:rPr>
      <w:rFonts w:ascii="Arial" w:hAnsi="Arial" w:cs="Arial"/>
      <w:color w:val="000000"/>
      <w:sz w:val="24"/>
      <w:szCs w:val="24"/>
    </w:rPr>
  </w:style>
  <w:style w:type="paragraph" w:styleId="EndnoteText">
    <w:name w:val="endnote text"/>
    <w:basedOn w:val="Normal"/>
    <w:link w:val="EndnoteTextChar"/>
    <w:uiPriority w:val="99"/>
    <w:unhideWhenUsed/>
    <w:rsid w:val="0080375E"/>
    <w:pPr>
      <w:spacing w:line="240" w:lineRule="auto"/>
      <w:ind w:left="0" w:firstLine="0"/>
    </w:pPr>
    <w:rPr>
      <w:rFonts w:asciiTheme="minorHAnsi" w:eastAsiaTheme="minorHAnsi" w:hAnsiTheme="minorHAnsi" w:cstheme="minorBidi"/>
      <w:color w:val="auto"/>
      <w:kern w:val="2"/>
      <w:sz w:val="20"/>
      <w:szCs w:val="20"/>
      <w:lang w:val="en-GB"/>
      <w14:ligatures w14:val="standardContextual"/>
    </w:rPr>
  </w:style>
  <w:style w:type="character" w:customStyle="1" w:styleId="EndnoteTextChar">
    <w:name w:val="Endnote Text Char"/>
    <w:basedOn w:val="DefaultParagraphFont"/>
    <w:link w:val="EndnoteText"/>
    <w:uiPriority w:val="99"/>
    <w:rsid w:val="0080375E"/>
    <w:rPr>
      <w:rFonts w:eastAsiaTheme="minorHAnsi"/>
      <w:kern w:val="2"/>
      <w:sz w:val="20"/>
      <w:szCs w:val="20"/>
      <w:lang w:val="en-GB"/>
      <w14:ligatures w14:val="standardContextual"/>
    </w:rPr>
  </w:style>
  <w:style w:type="character" w:styleId="EndnoteReference">
    <w:name w:val="endnote reference"/>
    <w:basedOn w:val="DefaultParagraphFont"/>
    <w:uiPriority w:val="99"/>
    <w:semiHidden/>
    <w:unhideWhenUsed/>
    <w:rsid w:val="008037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44767">
      <w:bodyDiv w:val="1"/>
      <w:marLeft w:val="0"/>
      <w:marRight w:val="0"/>
      <w:marTop w:val="0"/>
      <w:marBottom w:val="0"/>
      <w:divBdr>
        <w:top w:val="none" w:sz="0" w:space="0" w:color="auto"/>
        <w:left w:val="none" w:sz="0" w:space="0" w:color="auto"/>
        <w:bottom w:val="none" w:sz="0" w:space="0" w:color="auto"/>
        <w:right w:val="none" w:sz="0" w:space="0" w:color="auto"/>
      </w:divBdr>
    </w:div>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158886350">
      <w:bodyDiv w:val="1"/>
      <w:marLeft w:val="0"/>
      <w:marRight w:val="0"/>
      <w:marTop w:val="0"/>
      <w:marBottom w:val="0"/>
      <w:divBdr>
        <w:top w:val="none" w:sz="0" w:space="0" w:color="auto"/>
        <w:left w:val="none" w:sz="0" w:space="0" w:color="auto"/>
        <w:bottom w:val="none" w:sz="0" w:space="0" w:color="auto"/>
        <w:right w:val="none" w:sz="0" w:space="0" w:color="auto"/>
      </w:divBdr>
      <w:divsChild>
        <w:div w:id="90665492">
          <w:marLeft w:val="1008"/>
          <w:marRight w:val="0"/>
          <w:marTop w:val="0"/>
          <w:marBottom w:val="0"/>
          <w:divBdr>
            <w:top w:val="none" w:sz="0" w:space="0" w:color="auto"/>
            <w:left w:val="none" w:sz="0" w:space="0" w:color="auto"/>
            <w:bottom w:val="none" w:sz="0" w:space="0" w:color="auto"/>
            <w:right w:val="none" w:sz="0" w:space="0" w:color="auto"/>
          </w:divBdr>
        </w:div>
        <w:div w:id="191892075">
          <w:marLeft w:val="274"/>
          <w:marRight w:val="0"/>
          <w:marTop w:val="0"/>
          <w:marBottom w:val="0"/>
          <w:divBdr>
            <w:top w:val="none" w:sz="0" w:space="0" w:color="auto"/>
            <w:left w:val="none" w:sz="0" w:space="0" w:color="auto"/>
            <w:bottom w:val="none" w:sz="0" w:space="0" w:color="auto"/>
            <w:right w:val="none" w:sz="0" w:space="0" w:color="auto"/>
          </w:divBdr>
        </w:div>
        <w:div w:id="585961680">
          <w:marLeft w:val="1008"/>
          <w:marRight w:val="0"/>
          <w:marTop w:val="0"/>
          <w:marBottom w:val="0"/>
          <w:divBdr>
            <w:top w:val="none" w:sz="0" w:space="0" w:color="auto"/>
            <w:left w:val="none" w:sz="0" w:space="0" w:color="auto"/>
            <w:bottom w:val="none" w:sz="0" w:space="0" w:color="auto"/>
            <w:right w:val="none" w:sz="0" w:space="0" w:color="auto"/>
          </w:divBdr>
        </w:div>
        <w:div w:id="638530968">
          <w:marLeft w:val="1008"/>
          <w:marRight w:val="0"/>
          <w:marTop w:val="0"/>
          <w:marBottom w:val="0"/>
          <w:divBdr>
            <w:top w:val="none" w:sz="0" w:space="0" w:color="auto"/>
            <w:left w:val="none" w:sz="0" w:space="0" w:color="auto"/>
            <w:bottom w:val="none" w:sz="0" w:space="0" w:color="auto"/>
            <w:right w:val="none" w:sz="0" w:space="0" w:color="auto"/>
          </w:divBdr>
        </w:div>
        <w:div w:id="991062670">
          <w:marLeft w:val="1008"/>
          <w:marRight w:val="0"/>
          <w:marTop w:val="0"/>
          <w:marBottom w:val="0"/>
          <w:divBdr>
            <w:top w:val="none" w:sz="0" w:space="0" w:color="auto"/>
            <w:left w:val="none" w:sz="0" w:space="0" w:color="auto"/>
            <w:bottom w:val="none" w:sz="0" w:space="0" w:color="auto"/>
            <w:right w:val="none" w:sz="0" w:space="0" w:color="auto"/>
          </w:divBdr>
        </w:div>
        <w:div w:id="1393042259">
          <w:marLeft w:val="274"/>
          <w:marRight w:val="0"/>
          <w:marTop w:val="0"/>
          <w:marBottom w:val="0"/>
          <w:divBdr>
            <w:top w:val="none" w:sz="0" w:space="0" w:color="auto"/>
            <w:left w:val="none" w:sz="0" w:space="0" w:color="auto"/>
            <w:bottom w:val="none" w:sz="0" w:space="0" w:color="auto"/>
            <w:right w:val="none" w:sz="0" w:space="0" w:color="auto"/>
          </w:divBdr>
        </w:div>
        <w:div w:id="1401709753">
          <w:marLeft w:val="274"/>
          <w:marRight w:val="0"/>
          <w:marTop w:val="0"/>
          <w:marBottom w:val="0"/>
          <w:divBdr>
            <w:top w:val="none" w:sz="0" w:space="0" w:color="auto"/>
            <w:left w:val="none" w:sz="0" w:space="0" w:color="auto"/>
            <w:bottom w:val="none" w:sz="0" w:space="0" w:color="auto"/>
            <w:right w:val="none" w:sz="0" w:space="0" w:color="auto"/>
          </w:divBdr>
        </w:div>
        <w:div w:id="1999723700">
          <w:marLeft w:val="274"/>
          <w:marRight w:val="0"/>
          <w:marTop w:val="0"/>
          <w:marBottom w:val="0"/>
          <w:divBdr>
            <w:top w:val="none" w:sz="0" w:space="0" w:color="auto"/>
            <w:left w:val="none" w:sz="0" w:space="0" w:color="auto"/>
            <w:bottom w:val="none" w:sz="0" w:space="0" w:color="auto"/>
            <w:right w:val="none" w:sz="0" w:space="0" w:color="auto"/>
          </w:divBdr>
        </w:div>
      </w:divsChild>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296641112">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491877218">
      <w:bodyDiv w:val="1"/>
      <w:marLeft w:val="0"/>
      <w:marRight w:val="0"/>
      <w:marTop w:val="0"/>
      <w:marBottom w:val="0"/>
      <w:divBdr>
        <w:top w:val="none" w:sz="0" w:space="0" w:color="auto"/>
        <w:left w:val="none" w:sz="0" w:space="0" w:color="auto"/>
        <w:bottom w:val="none" w:sz="0" w:space="0" w:color="auto"/>
        <w:right w:val="none" w:sz="0" w:space="0" w:color="auto"/>
      </w:divBdr>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563613044">
      <w:bodyDiv w:val="1"/>
      <w:marLeft w:val="0"/>
      <w:marRight w:val="0"/>
      <w:marTop w:val="0"/>
      <w:marBottom w:val="0"/>
      <w:divBdr>
        <w:top w:val="none" w:sz="0" w:space="0" w:color="auto"/>
        <w:left w:val="none" w:sz="0" w:space="0" w:color="auto"/>
        <w:bottom w:val="none" w:sz="0" w:space="0" w:color="auto"/>
        <w:right w:val="none" w:sz="0" w:space="0" w:color="auto"/>
      </w:divBdr>
    </w:div>
    <w:div w:id="629745553">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697895144">
      <w:bodyDiv w:val="1"/>
      <w:marLeft w:val="0"/>
      <w:marRight w:val="0"/>
      <w:marTop w:val="0"/>
      <w:marBottom w:val="0"/>
      <w:divBdr>
        <w:top w:val="none" w:sz="0" w:space="0" w:color="auto"/>
        <w:left w:val="none" w:sz="0" w:space="0" w:color="auto"/>
        <w:bottom w:val="none" w:sz="0" w:space="0" w:color="auto"/>
        <w:right w:val="none" w:sz="0" w:space="0" w:color="auto"/>
      </w:divBdr>
    </w:div>
    <w:div w:id="755174969">
      <w:bodyDiv w:val="1"/>
      <w:marLeft w:val="0"/>
      <w:marRight w:val="0"/>
      <w:marTop w:val="0"/>
      <w:marBottom w:val="0"/>
      <w:divBdr>
        <w:top w:val="none" w:sz="0" w:space="0" w:color="auto"/>
        <w:left w:val="none" w:sz="0" w:space="0" w:color="auto"/>
        <w:bottom w:val="none" w:sz="0" w:space="0" w:color="auto"/>
        <w:right w:val="none" w:sz="0" w:space="0" w:color="auto"/>
      </w:divBdr>
      <w:divsChild>
        <w:div w:id="1454668596">
          <w:marLeft w:val="720"/>
          <w:marRight w:val="0"/>
          <w:marTop w:val="91"/>
          <w:marBottom w:val="0"/>
          <w:divBdr>
            <w:top w:val="none" w:sz="0" w:space="0" w:color="auto"/>
            <w:left w:val="none" w:sz="0" w:space="0" w:color="auto"/>
            <w:bottom w:val="none" w:sz="0" w:space="0" w:color="auto"/>
            <w:right w:val="none" w:sz="0" w:space="0" w:color="auto"/>
          </w:divBdr>
        </w:div>
      </w:divsChild>
    </w:div>
    <w:div w:id="794250764">
      <w:bodyDiv w:val="1"/>
      <w:marLeft w:val="0"/>
      <w:marRight w:val="0"/>
      <w:marTop w:val="0"/>
      <w:marBottom w:val="0"/>
      <w:divBdr>
        <w:top w:val="none" w:sz="0" w:space="0" w:color="auto"/>
        <w:left w:val="none" w:sz="0" w:space="0" w:color="auto"/>
        <w:bottom w:val="none" w:sz="0" w:space="0" w:color="auto"/>
        <w:right w:val="none" w:sz="0" w:space="0" w:color="auto"/>
      </w:divBdr>
    </w:div>
    <w:div w:id="811018060">
      <w:bodyDiv w:val="1"/>
      <w:marLeft w:val="0"/>
      <w:marRight w:val="0"/>
      <w:marTop w:val="0"/>
      <w:marBottom w:val="0"/>
      <w:divBdr>
        <w:top w:val="none" w:sz="0" w:space="0" w:color="auto"/>
        <w:left w:val="none" w:sz="0" w:space="0" w:color="auto"/>
        <w:bottom w:val="none" w:sz="0" w:space="0" w:color="auto"/>
        <w:right w:val="none" w:sz="0" w:space="0" w:color="auto"/>
      </w:divBdr>
      <w:divsChild>
        <w:div w:id="555900826">
          <w:marLeft w:val="1555"/>
          <w:marRight w:val="0"/>
          <w:marTop w:val="86"/>
          <w:marBottom w:val="0"/>
          <w:divBdr>
            <w:top w:val="none" w:sz="0" w:space="0" w:color="auto"/>
            <w:left w:val="none" w:sz="0" w:space="0" w:color="auto"/>
            <w:bottom w:val="none" w:sz="0" w:space="0" w:color="auto"/>
            <w:right w:val="none" w:sz="0" w:space="0" w:color="auto"/>
          </w:divBdr>
        </w:div>
      </w:divsChild>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078762">
      <w:bodyDiv w:val="1"/>
      <w:marLeft w:val="0"/>
      <w:marRight w:val="0"/>
      <w:marTop w:val="0"/>
      <w:marBottom w:val="0"/>
      <w:divBdr>
        <w:top w:val="none" w:sz="0" w:space="0" w:color="auto"/>
        <w:left w:val="none" w:sz="0" w:space="0" w:color="auto"/>
        <w:bottom w:val="none" w:sz="0" w:space="0" w:color="auto"/>
        <w:right w:val="none" w:sz="0" w:space="0" w:color="auto"/>
      </w:divBdr>
      <w:divsChild>
        <w:div w:id="875895618">
          <w:marLeft w:val="720"/>
          <w:marRight w:val="0"/>
          <w:marTop w:val="91"/>
          <w:marBottom w:val="0"/>
          <w:divBdr>
            <w:top w:val="none" w:sz="0" w:space="0" w:color="auto"/>
            <w:left w:val="none" w:sz="0" w:space="0" w:color="auto"/>
            <w:bottom w:val="none" w:sz="0" w:space="0" w:color="auto"/>
            <w:right w:val="none" w:sz="0" w:space="0" w:color="auto"/>
          </w:divBdr>
        </w:div>
      </w:divsChild>
    </w:div>
    <w:div w:id="981957503">
      <w:bodyDiv w:val="1"/>
      <w:marLeft w:val="0"/>
      <w:marRight w:val="0"/>
      <w:marTop w:val="0"/>
      <w:marBottom w:val="0"/>
      <w:divBdr>
        <w:top w:val="none" w:sz="0" w:space="0" w:color="auto"/>
        <w:left w:val="none" w:sz="0" w:space="0" w:color="auto"/>
        <w:bottom w:val="none" w:sz="0" w:space="0" w:color="auto"/>
        <w:right w:val="none" w:sz="0" w:space="0" w:color="auto"/>
      </w:divBdr>
      <w:divsChild>
        <w:div w:id="1575551068">
          <w:marLeft w:val="0"/>
          <w:marRight w:val="0"/>
          <w:marTop w:val="15"/>
          <w:marBottom w:val="0"/>
          <w:divBdr>
            <w:top w:val="single" w:sz="48" w:space="0" w:color="auto"/>
            <w:left w:val="single" w:sz="48" w:space="0" w:color="auto"/>
            <w:bottom w:val="single" w:sz="48" w:space="0" w:color="auto"/>
            <w:right w:val="single" w:sz="48" w:space="0" w:color="auto"/>
          </w:divBdr>
          <w:divsChild>
            <w:div w:id="2084452465">
              <w:marLeft w:val="0"/>
              <w:marRight w:val="0"/>
              <w:marTop w:val="0"/>
              <w:marBottom w:val="0"/>
              <w:divBdr>
                <w:top w:val="none" w:sz="0" w:space="0" w:color="auto"/>
                <w:left w:val="none" w:sz="0" w:space="0" w:color="auto"/>
                <w:bottom w:val="none" w:sz="0" w:space="0" w:color="auto"/>
                <w:right w:val="none" w:sz="0" w:space="0" w:color="auto"/>
              </w:divBdr>
              <w:divsChild>
                <w:div w:id="36051833">
                  <w:marLeft w:val="0"/>
                  <w:marRight w:val="0"/>
                  <w:marTop w:val="0"/>
                  <w:marBottom w:val="0"/>
                  <w:divBdr>
                    <w:top w:val="none" w:sz="0" w:space="0" w:color="auto"/>
                    <w:left w:val="none" w:sz="0" w:space="0" w:color="auto"/>
                    <w:bottom w:val="none" w:sz="0" w:space="0" w:color="auto"/>
                    <w:right w:val="none" w:sz="0" w:space="0" w:color="auto"/>
                  </w:divBdr>
                </w:div>
                <w:div w:id="36853276">
                  <w:marLeft w:val="0"/>
                  <w:marRight w:val="0"/>
                  <w:marTop w:val="0"/>
                  <w:marBottom w:val="0"/>
                  <w:divBdr>
                    <w:top w:val="none" w:sz="0" w:space="0" w:color="auto"/>
                    <w:left w:val="none" w:sz="0" w:space="0" w:color="auto"/>
                    <w:bottom w:val="none" w:sz="0" w:space="0" w:color="auto"/>
                    <w:right w:val="none" w:sz="0" w:space="0" w:color="auto"/>
                  </w:divBdr>
                </w:div>
                <w:div w:id="56901650">
                  <w:marLeft w:val="0"/>
                  <w:marRight w:val="0"/>
                  <w:marTop w:val="0"/>
                  <w:marBottom w:val="0"/>
                  <w:divBdr>
                    <w:top w:val="none" w:sz="0" w:space="0" w:color="auto"/>
                    <w:left w:val="none" w:sz="0" w:space="0" w:color="auto"/>
                    <w:bottom w:val="none" w:sz="0" w:space="0" w:color="auto"/>
                    <w:right w:val="none" w:sz="0" w:space="0" w:color="auto"/>
                  </w:divBdr>
                </w:div>
                <w:div w:id="90663920">
                  <w:marLeft w:val="0"/>
                  <w:marRight w:val="0"/>
                  <w:marTop w:val="0"/>
                  <w:marBottom w:val="0"/>
                  <w:divBdr>
                    <w:top w:val="none" w:sz="0" w:space="0" w:color="auto"/>
                    <w:left w:val="none" w:sz="0" w:space="0" w:color="auto"/>
                    <w:bottom w:val="none" w:sz="0" w:space="0" w:color="auto"/>
                    <w:right w:val="none" w:sz="0" w:space="0" w:color="auto"/>
                  </w:divBdr>
                </w:div>
                <w:div w:id="116220036">
                  <w:marLeft w:val="0"/>
                  <w:marRight w:val="0"/>
                  <w:marTop w:val="0"/>
                  <w:marBottom w:val="0"/>
                  <w:divBdr>
                    <w:top w:val="none" w:sz="0" w:space="0" w:color="auto"/>
                    <w:left w:val="none" w:sz="0" w:space="0" w:color="auto"/>
                    <w:bottom w:val="none" w:sz="0" w:space="0" w:color="auto"/>
                    <w:right w:val="none" w:sz="0" w:space="0" w:color="auto"/>
                  </w:divBdr>
                </w:div>
                <w:div w:id="126288875">
                  <w:marLeft w:val="0"/>
                  <w:marRight w:val="0"/>
                  <w:marTop w:val="0"/>
                  <w:marBottom w:val="0"/>
                  <w:divBdr>
                    <w:top w:val="none" w:sz="0" w:space="0" w:color="auto"/>
                    <w:left w:val="none" w:sz="0" w:space="0" w:color="auto"/>
                    <w:bottom w:val="none" w:sz="0" w:space="0" w:color="auto"/>
                    <w:right w:val="none" w:sz="0" w:space="0" w:color="auto"/>
                  </w:divBdr>
                </w:div>
                <w:div w:id="130636312">
                  <w:marLeft w:val="0"/>
                  <w:marRight w:val="0"/>
                  <w:marTop w:val="0"/>
                  <w:marBottom w:val="0"/>
                  <w:divBdr>
                    <w:top w:val="none" w:sz="0" w:space="0" w:color="auto"/>
                    <w:left w:val="none" w:sz="0" w:space="0" w:color="auto"/>
                    <w:bottom w:val="none" w:sz="0" w:space="0" w:color="auto"/>
                    <w:right w:val="none" w:sz="0" w:space="0" w:color="auto"/>
                  </w:divBdr>
                </w:div>
                <w:div w:id="187842348">
                  <w:marLeft w:val="0"/>
                  <w:marRight w:val="0"/>
                  <w:marTop w:val="0"/>
                  <w:marBottom w:val="0"/>
                  <w:divBdr>
                    <w:top w:val="none" w:sz="0" w:space="0" w:color="auto"/>
                    <w:left w:val="none" w:sz="0" w:space="0" w:color="auto"/>
                    <w:bottom w:val="none" w:sz="0" w:space="0" w:color="auto"/>
                    <w:right w:val="none" w:sz="0" w:space="0" w:color="auto"/>
                  </w:divBdr>
                </w:div>
                <w:div w:id="194119208">
                  <w:marLeft w:val="0"/>
                  <w:marRight w:val="0"/>
                  <w:marTop w:val="0"/>
                  <w:marBottom w:val="0"/>
                  <w:divBdr>
                    <w:top w:val="none" w:sz="0" w:space="0" w:color="auto"/>
                    <w:left w:val="none" w:sz="0" w:space="0" w:color="auto"/>
                    <w:bottom w:val="none" w:sz="0" w:space="0" w:color="auto"/>
                    <w:right w:val="none" w:sz="0" w:space="0" w:color="auto"/>
                  </w:divBdr>
                </w:div>
                <w:div w:id="214514610">
                  <w:marLeft w:val="0"/>
                  <w:marRight w:val="0"/>
                  <w:marTop w:val="0"/>
                  <w:marBottom w:val="0"/>
                  <w:divBdr>
                    <w:top w:val="none" w:sz="0" w:space="0" w:color="auto"/>
                    <w:left w:val="none" w:sz="0" w:space="0" w:color="auto"/>
                    <w:bottom w:val="none" w:sz="0" w:space="0" w:color="auto"/>
                    <w:right w:val="none" w:sz="0" w:space="0" w:color="auto"/>
                  </w:divBdr>
                </w:div>
                <w:div w:id="249775470">
                  <w:marLeft w:val="0"/>
                  <w:marRight w:val="0"/>
                  <w:marTop w:val="0"/>
                  <w:marBottom w:val="0"/>
                  <w:divBdr>
                    <w:top w:val="none" w:sz="0" w:space="0" w:color="auto"/>
                    <w:left w:val="none" w:sz="0" w:space="0" w:color="auto"/>
                    <w:bottom w:val="none" w:sz="0" w:space="0" w:color="auto"/>
                    <w:right w:val="none" w:sz="0" w:space="0" w:color="auto"/>
                  </w:divBdr>
                </w:div>
                <w:div w:id="272326936">
                  <w:marLeft w:val="0"/>
                  <w:marRight w:val="0"/>
                  <w:marTop w:val="0"/>
                  <w:marBottom w:val="0"/>
                  <w:divBdr>
                    <w:top w:val="none" w:sz="0" w:space="0" w:color="auto"/>
                    <w:left w:val="none" w:sz="0" w:space="0" w:color="auto"/>
                    <w:bottom w:val="none" w:sz="0" w:space="0" w:color="auto"/>
                    <w:right w:val="none" w:sz="0" w:space="0" w:color="auto"/>
                  </w:divBdr>
                </w:div>
                <w:div w:id="293483277">
                  <w:marLeft w:val="0"/>
                  <w:marRight w:val="0"/>
                  <w:marTop w:val="0"/>
                  <w:marBottom w:val="0"/>
                  <w:divBdr>
                    <w:top w:val="none" w:sz="0" w:space="0" w:color="auto"/>
                    <w:left w:val="none" w:sz="0" w:space="0" w:color="auto"/>
                    <w:bottom w:val="none" w:sz="0" w:space="0" w:color="auto"/>
                    <w:right w:val="none" w:sz="0" w:space="0" w:color="auto"/>
                  </w:divBdr>
                </w:div>
                <w:div w:id="368454599">
                  <w:marLeft w:val="0"/>
                  <w:marRight w:val="0"/>
                  <w:marTop w:val="0"/>
                  <w:marBottom w:val="0"/>
                  <w:divBdr>
                    <w:top w:val="none" w:sz="0" w:space="0" w:color="auto"/>
                    <w:left w:val="none" w:sz="0" w:space="0" w:color="auto"/>
                    <w:bottom w:val="none" w:sz="0" w:space="0" w:color="auto"/>
                    <w:right w:val="none" w:sz="0" w:space="0" w:color="auto"/>
                  </w:divBdr>
                </w:div>
                <w:div w:id="386221586">
                  <w:marLeft w:val="0"/>
                  <w:marRight w:val="0"/>
                  <w:marTop w:val="0"/>
                  <w:marBottom w:val="0"/>
                  <w:divBdr>
                    <w:top w:val="none" w:sz="0" w:space="0" w:color="auto"/>
                    <w:left w:val="none" w:sz="0" w:space="0" w:color="auto"/>
                    <w:bottom w:val="none" w:sz="0" w:space="0" w:color="auto"/>
                    <w:right w:val="none" w:sz="0" w:space="0" w:color="auto"/>
                  </w:divBdr>
                </w:div>
                <w:div w:id="417824453">
                  <w:marLeft w:val="0"/>
                  <w:marRight w:val="0"/>
                  <w:marTop w:val="0"/>
                  <w:marBottom w:val="0"/>
                  <w:divBdr>
                    <w:top w:val="none" w:sz="0" w:space="0" w:color="auto"/>
                    <w:left w:val="none" w:sz="0" w:space="0" w:color="auto"/>
                    <w:bottom w:val="none" w:sz="0" w:space="0" w:color="auto"/>
                    <w:right w:val="none" w:sz="0" w:space="0" w:color="auto"/>
                  </w:divBdr>
                </w:div>
                <w:div w:id="432173105">
                  <w:marLeft w:val="0"/>
                  <w:marRight w:val="0"/>
                  <w:marTop w:val="0"/>
                  <w:marBottom w:val="0"/>
                  <w:divBdr>
                    <w:top w:val="none" w:sz="0" w:space="0" w:color="auto"/>
                    <w:left w:val="none" w:sz="0" w:space="0" w:color="auto"/>
                    <w:bottom w:val="none" w:sz="0" w:space="0" w:color="auto"/>
                    <w:right w:val="none" w:sz="0" w:space="0" w:color="auto"/>
                  </w:divBdr>
                </w:div>
                <w:div w:id="472870749">
                  <w:marLeft w:val="0"/>
                  <w:marRight w:val="0"/>
                  <w:marTop w:val="0"/>
                  <w:marBottom w:val="0"/>
                  <w:divBdr>
                    <w:top w:val="none" w:sz="0" w:space="0" w:color="auto"/>
                    <w:left w:val="none" w:sz="0" w:space="0" w:color="auto"/>
                    <w:bottom w:val="none" w:sz="0" w:space="0" w:color="auto"/>
                    <w:right w:val="none" w:sz="0" w:space="0" w:color="auto"/>
                  </w:divBdr>
                </w:div>
                <w:div w:id="572206487">
                  <w:marLeft w:val="0"/>
                  <w:marRight w:val="0"/>
                  <w:marTop w:val="0"/>
                  <w:marBottom w:val="0"/>
                  <w:divBdr>
                    <w:top w:val="none" w:sz="0" w:space="0" w:color="auto"/>
                    <w:left w:val="none" w:sz="0" w:space="0" w:color="auto"/>
                    <w:bottom w:val="none" w:sz="0" w:space="0" w:color="auto"/>
                    <w:right w:val="none" w:sz="0" w:space="0" w:color="auto"/>
                  </w:divBdr>
                </w:div>
                <w:div w:id="576324704">
                  <w:marLeft w:val="0"/>
                  <w:marRight w:val="0"/>
                  <w:marTop w:val="0"/>
                  <w:marBottom w:val="0"/>
                  <w:divBdr>
                    <w:top w:val="none" w:sz="0" w:space="0" w:color="auto"/>
                    <w:left w:val="none" w:sz="0" w:space="0" w:color="auto"/>
                    <w:bottom w:val="none" w:sz="0" w:space="0" w:color="auto"/>
                    <w:right w:val="none" w:sz="0" w:space="0" w:color="auto"/>
                  </w:divBdr>
                </w:div>
                <w:div w:id="579142834">
                  <w:marLeft w:val="0"/>
                  <w:marRight w:val="0"/>
                  <w:marTop w:val="0"/>
                  <w:marBottom w:val="0"/>
                  <w:divBdr>
                    <w:top w:val="none" w:sz="0" w:space="0" w:color="auto"/>
                    <w:left w:val="none" w:sz="0" w:space="0" w:color="auto"/>
                    <w:bottom w:val="none" w:sz="0" w:space="0" w:color="auto"/>
                    <w:right w:val="none" w:sz="0" w:space="0" w:color="auto"/>
                  </w:divBdr>
                </w:div>
                <w:div w:id="584270132">
                  <w:marLeft w:val="0"/>
                  <w:marRight w:val="0"/>
                  <w:marTop w:val="0"/>
                  <w:marBottom w:val="0"/>
                  <w:divBdr>
                    <w:top w:val="none" w:sz="0" w:space="0" w:color="auto"/>
                    <w:left w:val="none" w:sz="0" w:space="0" w:color="auto"/>
                    <w:bottom w:val="none" w:sz="0" w:space="0" w:color="auto"/>
                    <w:right w:val="none" w:sz="0" w:space="0" w:color="auto"/>
                  </w:divBdr>
                </w:div>
                <w:div w:id="591207414">
                  <w:marLeft w:val="0"/>
                  <w:marRight w:val="0"/>
                  <w:marTop w:val="0"/>
                  <w:marBottom w:val="0"/>
                  <w:divBdr>
                    <w:top w:val="none" w:sz="0" w:space="0" w:color="auto"/>
                    <w:left w:val="none" w:sz="0" w:space="0" w:color="auto"/>
                    <w:bottom w:val="none" w:sz="0" w:space="0" w:color="auto"/>
                    <w:right w:val="none" w:sz="0" w:space="0" w:color="auto"/>
                  </w:divBdr>
                </w:div>
                <w:div w:id="595139980">
                  <w:marLeft w:val="0"/>
                  <w:marRight w:val="0"/>
                  <w:marTop w:val="0"/>
                  <w:marBottom w:val="0"/>
                  <w:divBdr>
                    <w:top w:val="none" w:sz="0" w:space="0" w:color="auto"/>
                    <w:left w:val="none" w:sz="0" w:space="0" w:color="auto"/>
                    <w:bottom w:val="none" w:sz="0" w:space="0" w:color="auto"/>
                    <w:right w:val="none" w:sz="0" w:space="0" w:color="auto"/>
                  </w:divBdr>
                </w:div>
                <w:div w:id="606041179">
                  <w:marLeft w:val="0"/>
                  <w:marRight w:val="0"/>
                  <w:marTop w:val="0"/>
                  <w:marBottom w:val="0"/>
                  <w:divBdr>
                    <w:top w:val="none" w:sz="0" w:space="0" w:color="auto"/>
                    <w:left w:val="none" w:sz="0" w:space="0" w:color="auto"/>
                    <w:bottom w:val="none" w:sz="0" w:space="0" w:color="auto"/>
                    <w:right w:val="none" w:sz="0" w:space="0" w:color="auto"/>
                  </w:divBdr>
                </w:div>
                <w:div w:id="643777407">
                  <w:marLeft w:val="0"/>
                  <w:marRight w:val="0"/>
                  <w:marTop w:val="0"/>
                  <w:marBottom w:val="0"/>
                  <w:divBdr>
                    <w:top w:val="none" w:sz="0" w:space="0" w:color="auto"/>
                    <w:left w:val="none" w:sz="0" w:space="0" w:color="auto"/>
                    <w:bottom w:val="none" w:sz="0" w:space="0" w:color="auto"/>
                    <w:right w:val="none" w:sz="0" w:space="0" w:color="auto"/>
                  </w:divBdr>
                </w:div>
                <w:div w:id="682056201">
                  <w:marLeft w:val="0"/>
                  <w:marRight w:val="0"/>
                  <w:marTop w:val="0"/>
                  <w:marBottom w:val="0"/>
                  <w:divBdr>
                    <w:top w:val="none" w:sz="0" w:space="0" w:color="auto"/>
                    <w:left w:val="none" w:sz="0" w:space="0" w:color="auto"/>
                    <w:bottom w:val="none" w:sz="0" w:space="0" w:color="auto"/>
                    <w:right w:val="none" w:sz="0" w:space="0" w:color="auto"/>
                  </w:divBdr>
                </w:div>
                <w:div w:id="766340766">
                  <w:marLeft w:val="0"/>
                  <w:marRight w:val="0"/>
                  <w:marTop w:val="0"/>
                  <w:marBottom w:val="0"/>
                  <w:divBdr>
                    <w:top w:val="none" w:sz="0" w:space="0" w:color="auto"/>
                    <w:left w:val="none" w:sz="0" w:space="0" w:color="auto"/>
                    <w:bottom w:val="none" w:sz="0" w:space="0" w:color="auto"/>
                    <w:right w:val="none" w:sz="0" w:space="0" w:color="auto"/>
                  </w:divBdr>
                </w:div>
                <w:div w:id="779031973">
                  <w:marLeft w:val="0"/>
                  <w:marRight w:val="0"/>
                  <w:marTop w:val="0"/>
                  <w:marBottom w:val="0"/>
                  <w:divBdr>
                    <w:top w:val="none" w:sz="0" w:space="0" w:color="auto"/>
                    <w:left w:val="none" w:sz="0" w:space="0" w:color="auto"/>
                    <w:bottom w:val="none" w:sz="0" w:space="0" w:color="auto"/>
                    <w:right w:val="none" w:sz="0" w:space="0" w:color="auto"/>
                  </w:divBdr>
                </w:div>
                <w:div w:id="780958932">
                  <w:marLeft w:val="0"/>
                  <w:marRight w:val="0"/>
                  <w:marTop w:val="0"/>
                  <w:marBottom w:val="0"/>
                  <w:divBdr>
                    <w:top w:val="none" w:sz="0" w:space="0" w:color="auto"/>
                    <w:left w:val="none" w:sz="0" w:space="0" w:color="auto"/>
                    <w:bottom w:val="none" w:sz="0" w:space="0" w:color="auto"/>
                    <w:right w:val="none" w:sz="0" w:space="0" w:color="auto"/>
                  </w:divBdr>
                </w:div>
                <w:div w:id="818571243">
                  <w:marLeft w:val="0"/>
                  <w:marRight w:val="0"/>
                  <w:marTop w:val="0"/>
                  <w:marBottom w:val="0"/>
                  <w:divBdr>
                    <w:top w:val="none" w:sz="0" w:space="0" w:color="auto"/>
                    <w:left w:val="none" w:sz="0" w:space="0" w:color="auto"/>
                    <w:bottom w:val="none" w:sz="0" w:space="0" w:color="auto"/>
                    <w:right w:val="none" w:sz="0" w:space="0" w:color="auto"/>
                  </w:divBdr>
                </w:div>
                <w:div w:id="846136729">
                  <w:marLeft w:val="0"/>
                  <w:marRight w:val="0"/>
                  <w:marTop w:val="0"/>
                  <w:marBottom w:val="0"/>
                  <w:divBdr>
                    <w:top w:val="none" w:sz="0" w:space="0" w:color="auto"/>
                    <w:left w:val="none" w:sz="0" w:space="0" w:color="auto"/>
                    <w:bottom w:val="none" w:sz="0" w:space="0" w:color="auto"/>
                    <w:right w:val="none" w:sz="0" w:space="0" w:color="auto"/>
                  </w:divBdr>
                </w:div>
                <w:div w:id="864363185">
                  <w:marLeft w:val="0"/>
                  <w:marRight w:val="0"/>
                  <w:marTop w:val="0"/>
                  <w:marBottom w:val="0"/>
                  <w:divBdr>
                    <w:top w:val="none" w:sz="0" w:space="0" w:color="auto"/>
                    <w:left w:val="none" w:sz="0" w:space="0" w:color="auto"/>
                    <w:bottom w:val="none" w:sz="0" w:space="0" w:color="auto"/>
                    <w:right w:val="none" w:sz="0" w:space="0" w:color="auto"/>
                  </w:divBdr>
                </w:div>
                <w:div w:id="921833038">
                  <w:marLeft w:val="0"/>
                  <w:marRight w:val="0"/>
                  <w:marTop w:val="0"/>
                  <w:marBottom w:val="0"/>
                  <w:divBdr>
                    <w:top w:val="none" w:sz="0" w:space="0" w:color="auto"/>
                    <w:left w:val="none" w:sz="0" w:space="0" w:color="auto"/>
                    <w:bottom w:val="none" w:sz="0" w:space="0" w:color="auto"/>
                    <w:right w:val="none" w:sz="0" w:space="0" w:color="auto"/>
                  </w:divBdr>
                </w:div>
                <w:div w:id="945427152">
                  <w:marLeft w:val="0"/>
                  <w:marRight w:val="0"/>
                  <w:marTop w:val="0"/>
                  <w:marBottom w:val="0"/>
                  <w:divBdr>
                    <w:top w:val="none" w:sz="0" w:space="0" w:color="auto"/>
                    <w:left w:val="none" w:sz="0" w:space="0" w:color="auto"/>
                    <w:bottom w:val="none" w:sz="0" w:space="0" w:color="auto"/>
                    <w:right w:val="none" w:sz="0" w:space="0" w:color="auto"/>
                  </w:divBdr>
                </w:div>
                <w:div w:id="948198788">
                  <w:marLeft w:val="0"/>
                  <w:marRight w:val="0"/>
                  <w:marTop w:val="0"/>
                  <w:marBottom w:val="0"/>
                  <w:divBdr>
                    <w:top w:val="none" w:sz="0" w:space="0" w:color="auto"/>
                    <w:left w:val="none" w:sz="0" w:space="0" w:color="auto"/>
                    <w:bottom w:val="none" w:sz="0" w:space="0" w:color="auto"/>
                    <w:right w:val="none" w:sz="0" w:space="0" w:color="auto"/>
                  </w:divBdr>
                </w:div>
                <w:div w:id="961419825">
                  <w:marLeft w:val="0"/>
                  <w:marRight w:val="0"/>
                  <w:marTop w:val="0"/>
                  <w:marBottom w:val="0"/>
                  <w:divBdr>
                    <w:top w:val="none" w:sz="0" w:space="0" w:color="auto"/>
                    <w:left w:val="none" w:sz="0" w:space="0" w:color="auto"/>
                    <w:bottom w:val="none" w:sz="0" w:space="0" w:color="auto"/>
                    <w:right w:val="none" w:sz="0" w:space="0" w:color="auto"/>
                  </w:divBdr>
                </w:div>
                <w:div w:id="979846134">
                  <w:marLeft w:val="0"/>
                  <w:marRight w:val="0"/>
                  <w:marTop w:val="0"/>
                  <w:marBottom w:val="0"/>
                  <w:divBdr>
                    <w:top w:val="none" w:sz="0" w:space="0" w:color="auto"/>
                    <w:left w:val="none" w:sz="0" w:space="0" w:color="auto"/>
                    <w:bottom w:val="none" w:sz="0" w:space="0" w:color="auto"/>
                    <w:right w:val="none" w:sz="0" w:space="0" w:color="auto"/>
                  </w:divBdr>
                </w:div>
                <w:div w:id="1006245800">
                  <w:marLeft w:val="0"/>
                  <w:marRight w:val="0"/>
                  <w:marTop w:val="0"/>
                  <w:marBottom w:val="0"/>
                  <w:divBdr>
                    <w:top w:val="none" w:sz="0" w:space="0" w:color="auto"/>
                    <w:left w:val="none" w:sz="0" w:space="0" w:color="auto"/>
                    <w:bottom w:val="none" w:sz="0" w:space="0" w:color="auto"/>
                    <w:right w:val="none" w:sz="0" w:space="0" w:color="auto"/>
                  </w:divBdr>
                </w:div>
                <w:div w:id="1049257634">
                  <w:marLeft w:val="0"/>
                  <w:marRight w:val="0"/>
                  <w:marTop w:val="0"/>
                  <w:marBottom w:val="0"/>
                  <w:divBdr>
                    <w:top w:val="none" w:sz="0" w:space="0" w:color="auto"/>
                    <w:left w:val="none" w:sz="0" w:space="0" w:color="auto"/>
                    <w:bottom w:val="none" w:sz="0" w:space="0" w:color="auto"/>
                    <w:right w:val="none" w:sz="0" w:space="0" w:color="auto"/>
                  </w:divBdr>
                </w:div>
                <w:div w:id="1078208287">
                  <w:marLeft w:val="0"/>
                  <w:marRight w:val="0"/>
                  <w:marTop w:val="0"/>
                  <w:marBottom w:val="0"/>
                  <w:divBdr>
                    <w:top w:val="none" w:sz="0" w:space="0" w:color="auto"/>
                    <w:left w:val="none" w:sz="0" w:space="0" w:color="auto"/>
                    <w:bottom w:val="none" w:sz="0" w:space="0" w:color="auto"/>
                    <w:right w:val="none" w:sz="0" w:space="0" w:color="auto"/>
                  </w:divBdr>
                </w:div>
                <w:div w:id="1082722183">
                  <w:marLeft w:val="0"/>
                  <w:marRight w:val="0"/>
                  <w:marTop w:val="0"/>
                  <w:marBottom w:val="0"/>
                  <w:divBdr>
                    <w:top w:val="none" w:sz="0" w:space="0" w:color="auto"/>
                    <w:left w:val="none" w:sz="0" w:space="0" w:color="auto"/>
                    <w:bottom w:val="none" w:sz="0" w:space="0" w:color="auto"/>
                    <w:right w:val="none" w:sz="0" w:space="0" w:color="auto"/>
                  </w:divBdr>
                </w:div>
                <w:div w:id="1083530723">
                  <w:marLeft w:val="0"/>
                  <w:marRight w:val="0"/>
                  <w:marTop w:val="0"/>
                  <w:marBottom w:val="0"/>
                  <w:divBdr>
                    <w:top w:val="none" w:sz="0" w:space="0" w:color="auto"/>
                    <w:left w:val="none" w:sz="0" w:space="0" w:color="auto"/>
                    <w:bottom w:val="none" w:sz="0" w:space="0" w:color="auto"/>
                    <w:right w:val="none" w:sz="0" w:space="0" w:color="auto"/>
                  </w:divBdr>
                </w:div>
                <w:div w:id="1084692931">
                  <w:marLeft w:val="0"/>
                  <w:marRight w:val="0"/>
                  <w:marTop w:val="0"/>
                  <w:marBottom w:val="0"/>
                  <w:divBdr>
                    <w:top w:val="none" w:sz="0" w:space="0" w:color="auto"/>
                    <w:left w:val="none" w:sz="0" w:space="0" w:color="auto"/>
                    <w:bottom w:val="none" w:sz="0" w:space="0" w:color="auto"/>
                    <w:right w:val="none" w:sz="0" w:space="0" w:color="auto"/>
                  </w:divBdr>
                </w:div>
                <w:div w:id="1092320075">
                  <w:marLeft w:val="0"/>
                  <w:marRight w:val="0"/>
                  <w:marTop w:val="0"/>
                  <w:marBottom w:val="0"/>
                  <w:divBdr>
                    <w:top w:val="none" w:sz="0" w:space="0" w:color="auto"/>
                    <w:left w:val="none" w:sz="0" w:space="0" w:color="auto"/>
                    <w:bottom w:val="none" w:sz="0" w:space="0" w:color="auto"/>
                    <w:right w:val="none" w:sz="0" w:space="0" w:color="auto"/>
                  </w:divBdr>
                </w:div>
                <w:div w:id="1135681939">
                  <w:marLeft w:val="0"/>
                  <w:marRight w:val="0"/>
                  <w:marTop w:val="0"/>
                  <w:marBottom w:val="0"/>
                  <w:divBdr>
                    <w:top w:val="none" w:sz="0" w:space="0" w:color="auto"/>
                    <w:left w:val="none" w:sz="0" w:space="0" w:color="auto"/>
                    <w:bottom w:val="none" w:sz="0" w:space="0" w:color="auto"/>
                    <w:right w:val="none" w:sz="0" w:space="0" w:color="auto"/>
                  </w:divBdr>
                </w:div>
                <w:div w:id="1149521421">
                  <w:marLeft w:val="0"/>
                  <w:marRight w:val="0"/>
                  <w:marTop w:val="0"/>
                  <w:marBottom w:val="0"/>
                  <w:divBdr>
                    <w:top w:val="none" w:sz="0" w:space="0" w:color="auto"/>
                    <w:left w:val="none" w:sz="0" w:space="0" w:color="auto"/>
                    <w:bottom w:val="none" w:sz="0" w:space="0" w:color="auto"/>
                    <w:right w:val="none" w:sz="0" w:space="0" w:color="auto"/>
                  </w:divBdr>
                </w:div>
                <w:div w:id="1150053650">
                  <w:marLeft w:val="0"/>
                  <w:marRight w:val="0"/>
                  <w:marTop w:val="0"/>
                  <w:marBottom w:val="0"/>
                  <w:divBdr>
                    <w:top w:val="none" w:sz="0" w:space="0" w:color="auto"/>
                    <w:left w:val="none" w:sz="0" w:space="0" w:color="auto"/>
                    <w:bottom w:val="none" w:sz="0" w:space="0" w:color="auto"/>
                    <w:right w:val="none" w:sz="0" w:space="0" w:color="auto"/>
                  </w:divBdr>
                </w:div>
                <w:div w:id="1153182554">
                  <w:marLeft w:val="0"/>
                  <w:marRight w:val="0"/>
                  <w:marTop w:val="0"/>
                  <w:marBottom w:val="0"/>
                  <w:divBdr>
                    <w:top w:val="none" w:sz="0" w:space="0" w:color="auto"/>
                    <w:left w:val="none" w:sz="0" w:space="0" w:color="auto"/>
                    <w:bottom w:val="none" w:sz="0" w:space="0" w:color="auto"/>
                    <w:right w:val="none" w:sz="0" w:space="0" w:color="auto"/>
                  </w:divBdr>
                </w:div>
                <w:div w:id="1175614255">
                  <w:marLeft w:val="0"/>
                  <w:marRight w:val="0"/>
                  <w:marTop w:val="0"/>
                  <w:marBottom w:val="0"/>
                  <w:divBdr>
                    <w:top w:val="none" w:sz="0" w:space="0" w:color="auto"/>
                    <w:left w:val="none" w:sz="0" w:space="0" w:color="auto"/>
                    <w:bottom w:val="none" w:sz="0" w:space="0" w:color="auto"/>
                    <w:right w:val="none" w:sz="0" w:space="0" w:color="auto"/>
                  </w:divBdr>
                </w:div>
                <w:div w:id="1209297276">
                  <w:marLeft w:val="0"/>
                  <w:marRight w:val="0"/>
                  <w:marTop w:val="0"/>
                  <w:marBottom w:val="0"/>
                  <w:divBdr>
                    <w:top w:val="none" w:sz="0" w:space="0" w:color="auto"/>
                    <w:left w:val="none" w:sz="0" w:space="0" w:color="auto"/>
                    <w:bottom w:val="none" w:sz="0" w:space="0" w:color="auto"/>
                    <w:right w:val="none" w:sz="0" w:space="0" w:color="auto"/>
                  </w:divBdr>
                </w:div>
                <w:div w:id="1217547851">
                  <w:marLeft w:val="0"/>
                  <w:marRight w:val="0"/>
                  <w:marTop w:val="0"/>
                  <w:marBottom w:val="0"/>
                  <w:divBdr>
                    <w:top w:val="none" w:sz="0" w:space="0" w:color="auto"/>
                    <w:left w:val="none" w:sz="0" w:space="0" w:color="auto"/>
                    <w:bottom w:val="none" w:sz="0" w:space="0" w:color="auto"/>
                    <w:right w:val="none" w:sz="0" w:space="0" w:color="auto"/>
                  </w:divBdr>
                </w:div>
                <w:div w:id="1233349535">
                  <w:marLeft w:val="0"/>
                  <w:marRight w:val="0"/>
                  <w:marTop w:val="0"/>
                  <w:marBottom w:val="0"/>
                  <w:divBdr>
                    <w:top w:val="none" w:sz="0" w:space="0" w:color="auto"/>
                    <w:left w:val="none" w:sz="0" w:space="0" w:color="auto"/>
                    <w:bottom w:val="none" w:sz="0" w:space="0" w:color="auto"/>
                    <w:right w:val="none" w:sz="0" w:space="0" w:color="auto"/>
                  </w:divBdr>
                </w:div>
                <w:div w:id="1249146690">
                  <w:marLeft w:val="0"/>
                  <w:marRight w:val="0"/>
                  <w:marTop w:val="0"/>
                  <w:marBottom w:val="0"/>
                  <w:divBdr>
                    <w:top w:val="none" w:sz="0" w:space="0" w:color="auto"/>
                    <w:left w:val="none" w:sz="0" w:space="0" w:color="auto"/>
                    <w:bottom w:val="none" w:sz="0" w:space="0" w:color="auto"/>
                    <w:right w:val="none" w:sz="0" w:space="0" w:color="auto"/>
                  </w:divBdr>
                </w:div>
                <w:div w:id="1276597419">
                  <w:marLeft w:val="0"/>
                  <w:marRight w:val="0"/>
                  <w:marTop w:val="0"/>
                  <w:marBottom w:val="0"/>
                  <w:divBdr>
                    <w:top w:val="none" w:sz="0" w:space="0" w:color="auto"/>
                    <w:left w:val="none" w:sz="0" w:space="0" w:color="auto"/>
                    <w:bottom w:val="none" w:sz="0" w:space="0" w:color="auto"/>
                    <w:right w:val="none" w:sz="0" w:space="0" w:color="auto"/>
                  </w:divBdr>
                </w:div>
                <w:div w:id="1322001817">
                  <w:marLeft w:val="0"/>
                  <w:marRight w:val="0"/>
                  <w:marTop w:val="0"/>
                  <w:marBottom w:val="0"/>
                  <w:divBdr>
                    <w:top w:val="none" w:sz="0" w:space="0" w:color="auto"/>
                    <w:left w:val="none" w:sz="0" w:space="0" w:color="auto"/>
                    <w:bottom w:val="none" w:sz="0" w:space="0" w:color="auto"/>
                    <w:right w:val="none" w:sz="0" w:space="0" w:color="auto"/>
                  </w:divBdr>
                </w:div>
                <w:div w:id="1362245460">
                  <w:marLeft w:val="0"/>
                  <w:marRight w:val="0"/>
                  <w:marTop w:val="0"/>
                  <w:marBottom w:val="0"/>
                  <w:divBdr>
                    <w:top w:val="none" w:sz="0" w:space="0" w:color="auto"/>
                    <w:left w:val="none" w:sz="0" w:space="0" w:color="auto"/>
                    <w:bottom w:val="none" w:sz="0" w:space="0" w:color="auto"/>
                    <w:right w:val="none" w:sz="0" w:space="0" w:color="auto"/>
                  </w:divBdr>
                </w:div>
                <w:div w:id="1363553913">
                  <w:marLeft w:val="0"/>
                  <w:marRight w:val="0"/>
                  <w:marTop w:val="0"/>
                  <w:marBottom w:val="0"/>
                  <w:divBdr>
                    <w:top w:val="none" w:sz="0" w:space="0" w:color="auto"/>
                    <w:left w:val="none" w:sz="0" w:space="0" w:color="auto"/>
                    <w:bottom w:val="none" w:sz="0" w:space="0" w:color="auto"/>
                    <w:right w:val="none" w:sz="0" w:space="0" w:color="auto"/>
                  </w:divBdr>
                </w:div>
                <w:div w:id="1366442492">
                  <w:marLeft w:val="0"/>
                  <w:marRight w:val="0"/>
                  <w:marTop w:val="0"/>
                  <w:marBottom w:val="0"/>
                  <w:divBdr>
                    <w:top w:val="none" w:sz="0" w:space="0" w:color="auto"/>
                    <w:left w:val="none" w:sz="0" w:space="0" w:color="auto"/>
                    <w:bottom w:val="none" w:sz="0" w:space="0" w:color="auto"/>
                    <w:right w:val="none" w:sz="0" w:space="0" w:color="auto"/>
                  </w:divBdr>
                </w:div>
                <w:div w:id="1375543915">
                  <w:marLeft w:val="0"/>
                  <w:marRight w:val="0"/>
                  <w:marTop w:val="0"/>
                  <w:marBottom w:val="0"/>
                  <w:divBdr>
                    <w:top w:val="none" w:sz="0" w:space="0" w:color="auto"/>
                    <w:left w:val="none" w:sz="0" w:space="0" w:color="auto"/>
                    <w:bottom w:val="none" w:sz="0" w:space="0" w:color="auto"/>
                    <w:right w:val="none" w:sz="0" w:space="0" w:color="auto"/>
                  </w:divBdr>
                </w:div>
                <w:div w:id="1404985550">
                  <w:marLeft w:val="0"/>
                  <w:marRight w:val="0"/>
                  <w:marTop w:val="0"/>
                  <w:marBottom w:val="0"/>
                  <w:divBdr>
                    <w:top w:val="none" w:sz="0" w:space="0" w:color="auto"/>
                    <w:left w:val="none" w:sz="0" w:space="0" w:color="auto"/>
                    <w:bottom w:val="none" w:sz="0" w:space="0" w:color="auto"/>
                    <w:right w:val="none" w:sz="0" w:space="0" w:color="auto"/>
                  </w:divBdr>
                </w:div>
                <w:div w:id="1428388487">
                  <w:marLeft w:val="0"/>
                  <w:marRight w:val="0"/>
                  <w:marTop w:val="0"/>
                  <w:marBottom w:val="0"/>
                  <w:divBdr>
                    <w:top w:val="none" w:sz="0" w:space="0" w:color="auto"/>
                    <w:left w:val="none" w:sz="0" w:space="0" w:color="auto"/>
                    <w:bottom w:val="none" w:sz="0" w:space="0" w:color="auto"/>
                    <w:right w:val="none" w:sz="0" w:space="0" w:color="auto"/>
                  </w:divBdr>
                </w:div>
                <w:div w:id="1451245861">
                  <w:marLeft w:val="0"/>
                  <w:marRight w:val="0"/>
                  <w:marTop w:val="0"/>
                  <w:marBottom w:val="0"/>
                  <w:divBdr>
                    <w:top w:val="none" w:sz="0" w:space="0" w:color="auto"/>
                    <w:left w:val="none" w:sz="0" w:space="0" w:color="auto"/>
                    <w:bottom w:val="none" w:sz="0" w:space="0" w:color="auto"/>
                    <w:right w:val="none" w:sz="0" w:space="0" w:color="auto"/>
                  </w:divBdr>
                </w:div>
                <w:div w:id="1455558838">
                  <w:marLeft w:val="0"/>
                  <w:marRight w:val="0"/>
                  <w:marTop w:val="0"/>
                  <w:marBottom w:val="0"/>
                  <w:divBdr>
                    <w:top w:val="none" w:sz="0" w:space="0" w:color="auto"/>
                    <w:left w:val="none" w:sz="0" w:space="0" w:color="auto"/>
                    <w:bottom w:val="none" w:sz="0" w:space="0" w:color="auto"/>
                    <w:right w:val="none" w:sz="0" w:space="0" w:color="auto"/>
                  </w:divBdr>
                </w:div>
                <w:div w:id="1459949840">
                  <w:marLeft w:val="0"/>
                  <w:marRight w:val="0"/>
                  <w:marTop w:val="0"/>
                  <w:marBottom w:val="0"/>
                  <w:divBdr>
                    <w:top w:val="none" w:sz="0" w:space="0" w:color="auto"/>
                    <w:left w:val="none" w:sz="0" w:space="0" w:color="auto"/>
                    <w:bottom w:val="none" w:sz="0" w:space="0" w:color="auto"/>
                    <w:right w:val="none" w:sz="0" w:space="0" w:color="auto"/>
                  </w:divBdr>
                </w:div>
                <w:div w:id="1465393737">
                  <w:marLeft w:val="0"/>
                  <w:marRight w:val="0"/>
                  <w:marTop w:val="0"/>
                  <w:marBottom w:val="0"/>
                  <w:divBdr>
                    <w:top w:val="none" w:sz="0" w:space="0" w:color="auto"/>
                    <w:left w:val="none" w:sz="0" w:space="0" w:color="auto"/>
                    <w:bottom w:val="none" w:sz="0" w:space="0" w:color="auto"/>
                    <w:right w:val="none" w:sz="0" w:space="0" w:color="auto"/>
                  </w:divBdr>
                </w:div>
                <w:div w:id="1525359961">
                  <w:marLeft w:val="0"/>
                  <w:marRight w:val="0"/>
                  <w:marTop w:val="0"/>
                  <w:marBottom w:val="0"/>
                  <w:divBdr>
                    <w:top w:val="none" w:sz="0" w:space="0" w:color="auto"/>
                    <w:left w:val="none" w:sz="0" w:space="0" w:color="auto"/>
                    <w:bottom w:val="none" w:sz="0" w:space="0" w:color="auto"/>
                    <w:right w:val="none" w:sz="0" w:space="0" w:color="auto"/>
                  </w:divBdr>
                </w:div>
                <w:div w:id="1553425161">
                  <w:marLeft w:val="0"/>
                  <w:marRight w:val="0"/>
                  <w:marTop w:val="0"/>
                  <w:marBottom w:val="0"/>
                  <w:divBdr>
                    <w:top w:val="none" w:sz="0" w:space="0" w:color="auto"/>
                    <w:left w:val="none" w:sz="0" w:space="0" w:color="auto"/>
                    <w:bottom w:val="none" w:sz="0" w:space="0" w:color="auto"/>
                    <w:right w:val="none" w:sz="0" w:space="0" w:color="auto"/>
                  </w:divBdr>
                </w:div>
                <w:div w:id="1573158395">
                  <w:marLeft w:val="0"/>
                  <w:marRight w:val="0"/>
                  <w:marTop w:val="0"/>
                  <w:marBottom w:val="0"/>
                  <w:divBdr>
                    <w:top w:val="none" w:sz="0" w:space="0" w:color="auto"/>
                    <w:left w:val="none" w:sz="0" w:space="0" w:color="auto"/>
                    <w:bottom w:val="none" w:sz="0" w:space="0" w:color="auto"/>
                    <w:right w:val="none" w:sz="0" w:space="0" w:color="auto"/>
                  </w:divBdr>
                </w:div>
                <w:div w:id="1591238460">
                  <w:marLeft w:val="0"/>
                  <w:marRight w:val="0"/>
                  <w:marTop w:val="0"/>
                  <w:marBottom w:val="0"/>
                  <w:divBdr>
                    <w:top w:val="none" w:sz="0" w:space="0" w:color="auto"/>
                    <w:left w:val="none" w:sz="0" w:space="0" w:color="auto"/>
                    <w:bottom w:val="none" w:sz="0" w:space="0" w:color="auto"/>
                    <w:right w:val="none" w:sz="0" w:space="0" w:color="auto"/>
                  </w:divBdr>
                </w:div>
                <w:div w:id="1595475874">
                  <w:marLeft w:val="0"/>
                  <w:marRight w:val="0"/>
                  <w:marTop w:val="0"/>
                  <w:marBottom w:val="0"/>
                  <w:divBdr>
                    <w:top w:val="none" w:sz="0" w:space="0" w:color="auto"/>
                    <w:left w:val="none" w:sz="0" w:space="0" w:color="auto"/>
                    <w:bottom w:val="none" w:sz="0" w:space="0" w:color="auto"/>
                    <w:right w:val="none" w:sz="0" w:space="0" w:color="auto"/>
                  </w:divBdr>
                </w:div>
                <w:div w:id="1626621466">
                  <w:marLeft w:val="0"/>
                  <w:marRight w:val="0"/>
                  <w:marTop w:val="0"/>
                  <w:marBottom w:val="0"/>
                  <w:divBdr>
                    <w:top w:val="none" w:sz="0" w:space="0" w:color="auto"/>
                    <w:left w:val="none" w:sz="0" w:space="0" w:color="auto"/>
                    <w:bottom w:val="none" w:sz="0" w:space="0" w:color="auto"/>
                    <w:right w:val="none" w:sz="0" w:space="0" w:color="auto"/>
                  </w:divBdr>
                </w:div>
                <w:div w:id="1628926357">
                  <w:marLeft w:val="0"/>
                  <w:marRight w:val="0"/>
                  <w:marTop w:val="0"/>
                  <w:marBottom w:val="0"/>
                  <w:divBdr>
                    <w:top w:val="none" w:sz="0" w:space="0" w:color="auto"/>
                    <w:left w:val="none" w:sz="0" w:space="0" w:color="auto"/>
                    <w:bottom w:val="none" w:sz="0" w:space="0" w:color="auto"/>
                    <w:right w:val="none" w:sz="0" w:space="0" w:color="auto"/>
                  </w:divBdr>
                </w:div>
                <w:div w:id="1633899164">
                  <w:marLeft w:val="0"/>
                  <w:marRight w:val="0"/>
                  <w:marTop w:val="0"/>
                  <w:marBottom w:val="0"/>
                  <w:divBdr>
                    <w:top w:val="none" w:sz="0" w:space="0" w:color="auto"/>
                    <w:left w:val="none" w:sz="0" w:space="0" w:color="auto"/>
                    <w:bottom w:val="none" w:sz="0" w:space="0" w:color="auto"/>
                    <w:right w:val="none" w:sz="0" w:space="0" w:color="auto"/>
                  </w:divBdr>
                </w:div>
                <w:div w:id="1648632497">
                  <w:marLeft w:val="0"/>
                  <w:marRight w:val="0"/>
                  <w:marTop w:val="0"/>
                  <w:marBottom w:val="0"/>
                  <w:divBdr>
                    <w:top w:val="none" w:sz="0" w:space="0" w:color="auto"/>
                    <w:left w:val="none" w:sz="0" w:space="0" w:color="auto"/>
                    <w:bottom w:val="none" w:sz="0" w:space="0" w:color="auto"/>
                    <w:right w:val="none" w:sz="0" w:space="0" w:color="auto"/>
                  </w:divBdr>
                </w:div>
                <w:div w:id="1658413312">
                  <w:marLeft w:val="0"/>
                  <w:marRight w:val="0"/>
                  <w:marTop w:val="0"/>
                  <w:marBottom w:val="0"/>
                  <w:divBdr>
                    <w:top w:val="none" w:sz="0" w:space="0" w:color="auto"/>
                    <w:left w:val="none" w:sz="0" w:space="0" w:color="auto"/>
                    <w:bottom w:val="none" w:sz="0" w:space="0" w:color="auto"/>
                    <w:right w:val="none" w:sz="0" w:space="0" w:color="auto"/>
                  </w:divBdr>
                </w:div>
                <w:div w:id="1660572113">
                  <w:marLeft w:val="0"/>
                  <w:marRight w:val="0"/>
                  <w:marTop w:val="0"/>
                  <w:marBottom w:val="0"/>
                  <w:divBdr>
                    <w:top w:val="none" w:sz="0" w:space="0" w:color="auto"/>
                    <w:left w:val="none" w:sz="0" w:space="0" w:color="auto"/>
                    <w:bottom w:val="none" w:sz="0" w:space="0" w:color="auto"/>
                    <w:right w:val="none" w:sz="0" w:space="0" w:color="auto"/>
                  </w:divBdr>
                </w:div>
                <w:div w:id="1680346538">
                  <w:marLeft w:val="0"/>
                  <w:marRight w:val="0"/>
                  <w:marTop w:val="0"/>
                  <w:marBottom w:val="0"/>
                  <w:divBdr>
                    <w:top w:val="none" w:sz="0" w:space="0" w:color="auto"/>
                    <w:left w:val="none" w:sz="0" w:space="0" w:color="auto"/>
                    <w:bottom w:val="none" w:sz="0" w:space="0" w:color="auto"/>
                    <w:right w:val="none" w:sz="0" w:space="0" w:color="auto"/>
                  </w:divBdr>
                </w:div>
                <w:div w:id="1685672521">
                  <w:marLeft w:val="0"/>
                  <w:marRight w:val="0"/>
                  <w:marTop w:val="0"/>
                  <w:marBottom w:val="0"/>
                  <w:divBdr>
                    <w:top w:val="none" w:sz="0" w:space="0" w:color="auto"/>
                    <w:left w:val="none" w:sz="0" w:space="0" w:color="auto"/>
                    <w:bottom w:val="none" w:sz="0" w:space="0" w:color="auto"/>
                    <w:right w:val="none" w:sz="0" w:space="0" w:color="auto"/>
                  </w:divBdr>
                </w:div>
                <w:div w:id="1700736408">
                  <w:marLeft w:val="0"/>
                  <w:marRight w:val="0"/>
                  <w:marTop w:val="0"/>
                  <w:marBottom w:val="0"/>
                  <w:divBdr>
                    <w:top w:val="none" w:sz="0" w:space="0" w:color="auto"/>
                    <w:left w:val="none" w:sz="0" w:space="0" w:color="auto"/>
                    <w:bottom w:val="none" w:sz="0" w:space="0" w:color="auto"/>
                    <w:right w:val="none" w:sz="0" w:space="0" w:color="auto"/>
                  </w:divBdr>
                </w:div>
                <w:div w:id="1726829490">
                  <w:marLeft w:val="0"/>
                  <w:marRight w:val="0"/>
                  <w:marTop w:val="0"/>
                  <w:marBottom w:val="0"/>
                  <w:divBdr>
                    <w:top w:val="none" w:sz="0" w:space="0" w:color="auto"/>
                    <w:left w:val="none" w:sz="0" w:space="0" w:color="auto"/>
                    <w:bottom w:val="none" w:sz="0" w:space="0" w:color="auto"/>
                    <w:right w:val="none" w:sz="0" w:space="0" w:color="auto"/>
                  </w:divBdr>
                </w:div>
                <w:div w:id="1743328912">
                  <w:marLeft w:val="0"/>
                  <w:marRight w:val="0"/>
                  <w:marTop w:val="0"/>
                  <w:marBottom w:val="0"/>
                  <w:divBdr>
                    <w:top w:val="none" w:sz="0" w:space="0" w:color="auto"/>
                    <w:left w:val="none" w:sz="0" w:space="0" w:color="auto"/>
                    <w:bottom w:val="none" w:sz="0" w:space="0" w:color="auto"/>
                    <w:right w:val="none" w:sz="0" w:space="0" w:color="auto"/>
                  </w:divBdr>
                </w:div>
                <w:div w:id="1756895911">
                  <w:marLeft w:val="0"/>
                  <w:marRight w:val="0"/>
                  <w:marTop w:val="0"/>
                  <w:marBottom w:val="0"/>
                  <w:divBdr>
                    <w:top w:val="none" w:sz="0" w:space="0" w:color="auto"/>
                    <w:left w:val="none" w:sz="0" w:space="0" w:color="auto"/>
                    <w:bottom w:val="none" w:sz="0" w:space="0" w:color="auto"/>
                    <w:right w:val="none" w:sz="0" w:space="0" w:color="auto"/>
                  </w:divBdr>
                </w:div>
                <w:div w:id="1782264070">
                  <w:marLeft w:val="0"/>
                  <w:marRight w:val="0"/>
                  <w:marTop w:val="0"/>
                  <w:marBottom w:val="0"/>
                  <w:divBdr>
                    <w:top w:val="none" w:sz="0" w:space="0" w:color="auto"/>
                    <w:left w:val="none" w:sz="0" w:space="0" w:color="auto"/>
                    <w:bottom w:val="none" w:sz="0" w:space="0" w:color="auto"/>
                    <w:right w:val="none" w:sz="0" w:space="0" w:color="auto"/>
                  </w:divBdr>
                </w:div>
                <w:div w:id="1828588497">
                  <w:marLeft w:val="0"/>
                  <w:marRight w:val="0"/>
                  <w:marTop w:val="0"/>
                  <w:marBottom w:val="0"/>
                  <w:divBdr>
                    <w:top w:val="none" w:sz="0" w:space="0" w:color="auto"/>
                    <w:left w:val="none" w:sz="0" w:space="0" w:color="auto"/>
                    <w:bottom w:val="none" w:sz="0" w:space="0" w:color="auto"/>
                    <w:right w:val="none" w:sz="0" w:space="0" w:color="auto"/>
                  </w:divBdr>
                </w:div>
                <w:div w:id="1829593821">
                  <w:marLeft w:val="0"/>
                  <w:marRight w:val="0"/>
                  <w:marTop w:val="0"/>
                  <w:marBottom w:val="0"/>
                  <w:divBdr>
                    <w:top w:val="none" w:sz="0" w:space="0" w:color="auto"/>
                    <w:left w:val="none" w:sz="0" w:space="0" w:color="auto"/>
                    <w:bottom w:val="none" w:sz="0" w:space="0" w:color="auto"/>
                    <w:right w:val="none" w:sz="0" w:space="0" w:color="auto"/>
                  </w:divBdr>
                </w:div>
                <w:div w:id="1887911295">
                  <w:marLeft w:val="0"/>
                  <w:marRight w:val="0"/>
                  <w:marTop w:val="0"/>
                  <w:marBottom w:val="0"/>
                  <w:divBdr>
                    <w:top w:val="none" w:sz="0" w:space="0" w:color="auto"/>
                    <w:left w:val="none" w:sz="0" w:space="0" w:color="auto"/>
                    <w:bottom w:val="none" w:sz="0" w:space="0" w:color="auto"/>
                    <w:right w:val="none" w:sz="0" w:space="0" w:color="auto"/>
                  </w:divBdr>
                </w:div>
                <w:div w:id="1892880528">
                  <w:marLeft w:val="0"/>
                  <w:marRight w:val="0"/>
                  <w:marTop w:val="0"/>
                  <w:marBottom w:val="0"/>
                  <w:divBdr>
                    <w:top w:val="none" w:sz="0" w:space="0" w:color="auto"/>
                    <w:left w:val="none" w:sz="0" w:space="0" w:color="auto"/>
                    <w:bottom w:val="none" w:sz="0" w:space="0" w:color="auto"/>
                    <w:right w:val="none" w:sz="0" w:space="0" w:color="auto"/>
                  </w:divBdr>
                </w:div>
                <w:div w:id="1906522835">
                  <w:marLeft w:val="0"/>
                  <w:marRight w:val="0"/>
                  <w:marTop w:val="0"/>
                  <w:marBottom w:val="0"/>
                  <w:divBdr>
                    <w:top w:val="none" w:sz="0" w:space="0" w:color="auto"/>
                    <w:left w:val="none" w:sz="0" w:space="0" w:color="auto"/>
                    <w:bottom w:val="none" w:sz="0" w:space="0" w:color="auto"/>
                    <w:right w:val="none" w:sz="0" w:space="0" w:color="auto"/>
                  </w:divBdr>
                </w:div>
                <w:div w:id="1942688870">
                  <w:marLeft w:val="0"/>
                  <w:marRight w:val="0"/>
                  <w:marTop w:val="0"/>
                  <w:marBottom w:val="0"/>
                  <w:divBdr>
                    <w:top w:val="none" w:sz="0" w:space="0" w:color="auto"/>
                    <w:left w:val="none" w:sz="0" w:space="0" w:color="auto"/>
                    <w:bottom w:val="none" w:sz="0" w:space="0" w:color="auto"/>
                    <w:right w:val="none" w:sz="0" w:space="0" w:color="auto"/>
                  </w:divBdr>
                </w:div>
                <w:div w:id="1954744983">
                  <w:marLeft w:val="0"/>
                  <w:marRight w:val="0"/>
                  <w:marTop w:val="0"/>
                  <w:marBottom w:val="0"/>
                  <w:divBdr>
                    <w:top w:val="none" w:sz="0" w:space="0" w:color="auto"/>
                    <w:left w:val="none" w:sz="0" w:space="0" w:color="auto"/>
                    <w:bottom w:val="none" w:sz="0" w:space="0" w:color="auto"/>
                    <w:right w:val="none" w:sz="0" w:space="0" w:color="auto"/>
                  </w:divBdr>
                </w:div>
                <w:div w:id="2006467600">
                  <w:marLeft w:val="0"/>
                  <w:marRight w:val="0"/>
                  <w:marTop w:val="0"/>
                  <w:marBottom w:val="0"/>
                  <w:divBdr>
                    <w:top w:val="none" w:sz="0" w:space="0" w:color="auto"/>
                    <w:left w:val="none" w:sz="0" w:space="0" w:color="auto"/>
                    <w:bottom w:val="none" w:sz="0" w:space="0" w:color="auto"/>
                    <w:right w:val="none" w:sz="0" w:space="0" w:color="auto"/>
                  </w:divBdr>
                </w:div>
                <w:div w:id="2046827033">
                  <w:marLeft w:val="0"/>
                  <w:marRight w:val="0"/>
                  <w:marTop w:val="0"/>
                  <w:marBottom w:val="0"/>
                  <w:divBdr>
                    <w:top w:val="none" w:sz="0" w:space="0" w:color="auto"/>
                    <w:left w:val="none" w:sz="0" w:space="0" w:color="auto"/>
                    <w:bottom w:val="none" w:sz="0" w:space="0" w:color="auto"/>
                    <w:right w:val="none" w:sz="0" w:space="0" w:color="auto"/>
                  </w:divBdr>
                </w:div>
                <w:div w:id="2056544668">
                  <w:marLeft w:val="0"/>
                  <w:marRight w:val="0"/>
                  <w:marTop w:val="0"/>
                  <w:marBottom w:val="0"/>
                  <w:divBdr>
                    <w:top w:val="none" w:sz="0" w:space="0" w:color="auto"/>
                    <w:left w:val="none" w:sz="0" w:space="0" w:color="auto"/>
                    <w:bottom w:val="none" w:sz="0" w:space="0" w:color="auto"/>
                    <w:right w:val="none" w:sz="0" w:space="0" w:color="auto"/>
                  </w:divBdr>
                </w:div>
                <w:div w:id="2083284541">
                  <w:marLeft w:val="0"/>
                  <w:marRight w:val="0"/>
                  <w:marTop w:val="0"/>
                  <w:marBottom w:val="0"/>
                  <w:divBdr>
                    <w:top w:val="none" w:sz="0" w:space="0" w:color="auto"/>
                    <w:left w:val="none" w:sz="0" w:space="0" w:color="auto"/>
                    <w:bottom w:val="none" w:sz="0" w:space="0" w:color="auto"/>
                    <w:right w:val="none" w:sz="0" w:space="0" w:color="auto"/>
                  </w:divBdr>
                </w:div>
                <w:div w:id="2128623581">
                  <w:marLeft w:val="0"/>
                  <w:marRight w:val="0"/>
                  <w:marTop w:val="0"/>
                  <w:marBottom w:val="0"/>
                  <w:divBdr>
                    <w:top w:val="none" w:sz="0" w:space="0" w:color="auto"/>
                    <w:left w:val="none" w:sz="0" w:space="0" w:color="auto"/>
                    <w:bottom w:val="none" w:sz="0" w:space="0" w:color="auto"/>
                    <w:right w:val="none" w:sz="0" w:space="0" w:color="auto"/>
                  </w:divBdr>
                </w:div>
                <w:div w:id="212974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19703376">
      <w:bodyDiv w:val="1"/>
      <w:marLeft w:val="0"/>
      <w:marRight w:val="0"/>
      <w:marTop w:val="0"/>
      <w:marBottom w:val="0"/>
      <w:divBdr>
        <w:top w:val="none" w:sz="0" w:space="0" w:color="auto"/>
        <w:left w:val="none" w:sz="0" w:space="0" w:color="auto"/>
        <w:bottom w:val="none" w:sz="0" w:space="0" w:color="auto"/>
        <w:right w:val="none" w:sz="0" w:space="0" w:color="auto"/>
      </w:divBdr>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314602102">
      <w:bodyDiv w:val="1"/>
      <w:marLeft w:val="0"/>
      <w:marRight w:val="0"/>
      <w:marTop w:val="0"/>
      <w:marBottom w:val="0"/>
      <w:divBdr>
        <w:top w:val="none" w:sz="0" w:space="0" w:color="auto"/>
        <w:left w:val="none" w:sz="0" w:space="0" w:color="auto"/>
        <w:bottom w:val="none" w:sz="0" w:space="0" w:color="auto"/>
        <w:right w:val="none" w:sz="0" w:space="0" w:color="auto"/>
      </w:divBdr>
    </w:div>
    <w:div w:id="1356617526">
      <w:bodyDiv w:val="1"/>
      <w:marLeft w:val="0"/>
      <w:marRight w:val="0"/>
      <w:marTop w:val="0"/>
      <w:marBottom w:val="0"/>
      <w:divBdr>
        <w:top w:val="none" w:sz="0" w:space="0" w:color="auto"/>
        <w:left w:val="none" w:sz="0" w:space="0" w:color="auto"/>
        <w:bottom w:val="none" w:sz="0" w:space="0" w:color="auto"/>
        <w:right w:val="none" w:sz="0" w:space="0" w:color="auto"/>
      </w:divBdr>
      <w:divsChild>
        <w:div w:id="1938126645">
          <w:marLeft w:val="720"/>
          <w:marRight w:val="0"/>
          <w:marTop w:val="91"/>
          <w:marBottom w:val="0"/>
          <w:divBdr>
            <w:top w:val="none" w:sz="0" w:space="0" w:color="auto"/>
            <w:left w:val="none" w:sz="0" w:space="0" w:color="auto"/>
            <w:bottom w:val="none" w:sz="0" w:space="0" w:color="auto"/>
            <w:right w:val="none" w:sz="0" w:space="0" w:color="auto"/>
          </w:divBdr>
        </w:div>
      </w:divsChild>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513839198">
      <w:bodyDiv w:val="1"/>
      <w:marLeft w:val="0"/>
      <w:marRight w:val="0"/>
      <w:marTop w:val="0"/>
      <w:marBottom w:val="0"/>
      <w:divBdr>
        <w:top w:val="none" w:sz="0" w:space="0" w:color="auto"/>
        <w:left w:val="none" w:sz="0" w:space="0" w:color="auto"/>
        <w:bottom w:val="none" w:sz="0" w:space="0" w:color="auto"/>
        <w:right w:val="none" w:sz="0" w:space="0" w:color="auto"/>
      </w:divBdr>
      <w:divsChild>
        <w:div w:id="117646100">
          <w:marLeft w:val="720"/>
          <w:marRight w:val="0"/>
          <w:marTop w:val="96"/>
          <w:marBottom w:val="0"/>
          <w:divBdr>
            <w:top w:val="none" w:sz="0" w:space="0" w:color="auto"/>
            <w:left w:val="none" w:sz="0" w:space="0" w:color="auto"/>
            <w:bottom w:val="none" w:sz="0" w:space="0" w:color="auto"/>
            <w:right w:val="none" w:sz="0" w:space="0" w:color="auto"/>
          </w:divBdr>
        </w:div>
      </w:divsChild>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662387750">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1927306203">
      <w:bodyDiv w:val="1"/>
      <w:marLeft w:val="0"/>
      <w:marRight w:val="0"/>
      <w:marTop w:val="0"/>
      <w:marBottom w:val="0"/>
      <w:divBdr>
        <w:top w:val="none" w:sz="0" w:space="0" w:color="auto"/>
        <w:left w:val="none" w:sz="0" w:space="0" w:color="auto"/>
        <w:bottom w:val="none" w:sz="0" w:space="0" w:color="auto"/>
        <w:right w:val="none" w:sz="0" w:space="0" w:color="auto"/>
      </w:divBdr>
      <w:divsChild>
        <w:div w:id="189295388">
          <w:marLeft w:val="0"/>
          <w:marRight w:val="0"/>
          <w:marTop w:val="0"/>
          <w:marBottom w:val="0"/>
          <w:divBdr>
            <w:top w:val="none" w:sz="0" w:space="0" w:color="auto"/>
            <w:left w:val="none" w:sz="0" w:space="0" w:color="auto"/>
            <w:bottom w:val="none" w:sz="0" w:space="0" w:color="auto"/>
            <w:right w:val="none" w:sz="0" w:space="0" w:color="auto"/>
          </w:divBdr>
        </w:div>
        <w:div w:id="792939565">
          <w:marLeft w:val="0"/>
          <w:marRight w:val="0"/>
          <w:marTop w:val="0"/>
          <w:marBottom w:val="0"/>
          <w:divBdr>
            <w:top w:val="none" w:sz="0" w:space="0" w:color="auto"/>
            <w:left w:val="none" w:sz="0" w:space="0" w:color="auto"/>
            <w:bottom w:val="none" w:sz="0" w:space="0" w:color="auto"/>
            <w:right w:val="none" w:sz="0" w:space="0" w:color="auto"/>
          </w:divBdr>
        </w:div>
        <w:div w:id="1017271763">
          <w:marLeft w:val="0"/>
          <w:marRight w:val="0"/>
          <w:marTop w:val="0"/>
          <w:marBottom w:val="0"/>
          <w:divBdr>
            <w:top w:val="none" w:sz="0" w:space="0" w:color="auto"/>
            <w:left w:val="none" w:sz="0" w:space="0" w:color="auto"/>
            <w:bottom w:val="none" w:sz="0" w:space="0" w:color="auto"/>
            <w:right w:val="none" w:sz="0" w:space="0" w:color="auto"/>
          </w:divBdr>
        </w:div>
        <w:div w:id="1033461907">
          <w:marLeft w:val="0"/>
          <w:marRight w:val="0"/>
          <w:marTop w:val="0"/>
          <w:marBottom w:val="0"/>
          <w:divBdr>
            <w:top w:val="none" w:sz="0" w:space="0" w:color="auto"/>
            <w:left w:val="none" w:sz="0" w:space="0" w:color="auto"/>
            <w:bottom w:val="none" w:sz="0" w:space="0" w:color="auto"/>
            <w:right w:val="none" w:sz="0" w:space="0" w:color="auto"/>
          </w:divBdr>
        </w:div>
      </w:divsChild>
    </w:div>
    <w:div w:id="2016225851">
      <w:bodyDiv w:val="1"/>
      <w:marLeft w:val="0"/>
      <w:marRight w:val="0"/>
      <w:marTop w:val="0"/>
      <w:marBottom w:val="0"/>
      <w:divBdr>
        <w:top w:val="none" w:sz="0" w:space="0" w:color="auto"/>
        <w:left w:val="none" w:sz="0" w:space="0" w:color="auto"/>
        <w:bottom w:val="none" w:sz="0" w:space="0" w:color="auto"/>
        <w:right w:val="none" w:sz="0" w:space="0" w:color="auto"/>
      </w:divBdr>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 w:id="2089842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linicaltrials.gov/study/NCT06095102" TargetMode="External"/><Relationship Id="rId18" Type="http://schemas.openxmlformats.org/officeDocument/2006/relationships/hyperlink" Target="mailto:cdavis@lifesciadvisors.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clinicaltrials.gov/study/NCT06095115" TargetMode="External"/><Relationship Id="rId17" Type="http://schemas.openxmlformats.org/officeDocument/2006/relationships/hyperlink" Target="https://cts.businesswire.com/ct/CT?id=smartlink&amp;url=http%3A%2F%2Fwww.protagonist-inc.com%2F&amp;esheet=54217662&amp;newsitemid=20250303474433&amp;lan=en-US&amp;anchor=www.protagonist-inc.com&amp;index=4&amp;md5=5521bb97bcd82e219cbbae557f6aa3d7" TargetMode="External"/><Relationship Id="rId2" Type="http://schemas.openxmlformats.org/officeDocument/2006/relationships/customXml" Target="../customXml/item2.xml"/><Relationship Id="rId16" Type="http://schemas.openxmlformats.org/officeDocument/2006/relationships/hyperlink" Target="https://clinicaltrials.gov/study/NCT06807424?cond=Psoriatic%20Arthritis&amp;term=iconic&amp;rank=1"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clinicaltrials.gov/study/NCT06220604" TargetMode="External"/><Relationship Id="rId23" Type="http://schemas.microsoft.com/office/2019/05/relationships/documenttasks" Target="documenttasks/documenttasks1.xml"/><Relationship Id="rId10" Type="http://schemas.openxmlformats.org/officeDocument/2006/relationships/endnotes" Target="endnotes.xml"/><Relationship Id="rId19" Type="http://schemas.openxmlformats.org/officeDocument/2006/relationships/hyperlink" Target="mailto:mvirginiaamann@ententeinc.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linicaltrials.gov/study/NCT06143878?term=jnj-77242113&amp;rank=10" TargetMode="External"/><Relationship Id="rId22" Type="http://schemas.openxmlformats.org/officeDocument/2006/relationships/theme" Target="theme/theme1.xml"/></Relationships>
</file>

<file path=word/_rels/endnotes.xml.rels><?xml version="1.0" encoding="UTF-8" standalone="yes"?>
<Relationships xmlns="http://schemas.openxmlformats.org/package/2006/relationships"><Relationship Id="rId2" Type="http://schemas.openxmlformats.org/officeDocument/2006/relationships/hyperlink" Target="https://www.psoriasis.org/high-impact-sites/" TargetMode="External"/><Relationship Id="rId1" Type="http://schemas.openxmlformats.org/officeDocument/2006/relationships/hyperlink" Target="https://www.everydayhealth.com/psoriasis/living-with/how-the-pasi-index-works" TargetMode="External"/></Relationships>
</file>

<file path=word/documenttasks/documenttasks1.xml><?xml version="1.0" encoding="utf-8"?>
<t:Tasks xmlns:t="http://schemas.microsoft.com/office/tasks/2019/documenttasks" xmlns:oel="http://schemas.microsoft.com/office/2019/extlst">
  <t:Task id="{D575FF75-7672-45DF-A350-72A9AA88892E}">
    <t:Anchor>
      <t:Comment id="683072919"/>
    </t:Anchor>
    <t:History>
      <t:Event id="{1D1A854A-1640-472C-B9F5-30771FBC4F8F}" time="2023-09-21T23:55:11.316Z">
        <t:Attribution userId="S::bkimmel@its.jnj.com::6ccd2c35-6fe6-4314-8847-41419c20651c" userProvider="AD" userName="Kimmel, Bridget [JRDUS]"/>
        <t:Anchor>
          <t:Comment id="1978299918"/>
        </t:Anchor>
        <t:Create/>
      </t:Event>
      <t:Event id="{E955C722-0465-4579-8725-5D95E4D77871}" time="2023-09-21T23:55:11.316Z">
        <t:Attribution userId="S::bkimmel@its.jnj.com::6ccd2c35-6fe6-4314-8847-41419c20651c" userProvider="AD" userName="Kimmel, Bridget [JRDUS]"/>
        <t:Anchor>
          <t:Comment id="1978299918"/>
        </t:Anchor>
        <t:Assign userId="S::DGitart1@its.jnj.com::2388879e-74b8-4f46-8d56-9a29e1f20231" userProvider="AD" userName="Gitarts, Dimitry [JRDUS]"/>
      </t:Event>
      <t:Event id="{5604C9B5-CE60-471C-B419-3C5AE4E6262C}" time="2023-09-21T23:55:11.316Z">
        <t:Attribution userId="S::bkimmel@its.jnj.com::6ccd2c35-6fe6-4314-8847-41419c20651c" userProvider="AD" userName="Kimmel, Bridget [JRDUS]"/>
        <t:Anchor>
          <t:Comment id="1978299918"/>
        </t:Anchor>
        <t:SetTitle title="@Gitarts, Dimitry [JRDUS] updated all mentions to Janssen and adjusted first mention."/>
      </t:Event>
    </t:History>
  </t:Task>
  <t:Task id="{6E587AFF-A861-4146-BBA2-E07BD629828D}">
    <t:Anchor>
      <t:Comment id="683520895"/>
    </t:Anchor>
    <t:History>
      <t:Event id="{180FD2BF-AE0B-42E4-85D5-6A293F19C9BC}" time="2023-09-27T03:20:19.121Z">
        <t:Attribution userId="S::bkimmel@its.jnj.com::6ccd2c35-6fe6-4314-8847-41419c20651c" userProvider="AD" userName="Kimmel, Bridget [JRDUS]"/>
        <t:Anchor>
          <t:Comment id="374601904"/>
        </t:Anchor>
        <t:Create/>
      </t:Event>
      <t:Event id="{C68BFF9A-0AAB-4D11-A91C-E911FB960A03}" time="2023-09-27T03:20:19.121Z">
        <t:Attribution userId="S::bkimmel@its.jnj.com::6ccd2c35-6fe6-4314-8847-41419c20651c" userProvider="AD" userName="Kimmel, Bridget [JRDUS]"/>
        <t:Anchor>
          <t:Comment id="374601904"/>
        </t:Anchor>
        <t:Assign userId="S::PNewbol1@ITS.JNJ.com::59bd0a7f-05e3-4c07-ab84-0f812b23e8f0" userProvider="AD" userName="Newbold, Paul [JRDUS]"/>
      </t:Event>
      <t:Event id="{4860A369-0CFF-4608-B439-04A695AF875E}" time="2023-09-27T03:20:19.121Z">
        <t:Attribution userId="S::bkimmel@its.jnj.com::6ccd2c35-6fe6-4314-8847-41419c20651c" userProvider="AD" userName="Kimmel, Bridget [JRDUS]"/>
        <t:Anchor>
          <t:Comment id="374601904"/>
        </t:Anchor>
        <t:SetTitle title="@Newbold, Paul [JRDUS] we do not want to mention either, but PTGX wants to not only mention the head-to-head studies, but their first draft had the deucra name in the headline; and they wanted to include the dose. We are just providing negotiations …"/>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C2E3111CA0D8E419FCBACF4C8530E3F" ma:contentTypeVersion="16" ma:contentTypeDescription="Create a new document." ma:contentTypeScope="" ma:versionID="0e5b44680d9b5b5596f56d036bec1c3d">
  <xsd:schema xmlns:xsd="http://www.w3.org/2001/XMLSchema" xmlns:xs="http://www.w3.org/2001/XMLSchema" xmlns:p="http://schemas.microsoft.com/office/2006/metadata/properties" xmlns:ns2="6b4e8219-c4da-41a7-b43a-ffd15ed788c0" xmlns:ns3="da5419d6-24fa-4fb2-b603-fb015d6facf2" targetNamespace="http://schemas.microsoft.com/office/2006/metadata/properties" ma:root="true" ma:fieldsID="d160cedf95c6c0b4eeabba561b0232a8" ns2:_="" ns3:_="">
    <xsd:import namespace="6b4e8219-c4da-41a7-b43a-ffd15ed788c0"/>
    <xsd:import namespace="da5419d6-24fa-4fb2-b603-fb015d6facf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4e8219-c4da-41a7-b43a-ffd15ed788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5419d6-24fa-4fb2-b603-fb015d6facf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cb51c4f-25eb-44e0-8c4d-aca8e77aee19}" ma:internalName="TaxCatchAll" ma:showField="CatchAllData" ma:web="da5419d6-24fa-4fb2-b603-fb015d6fac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a5419d6-24fa-4fb2-b603-fb015d6facf2" xsi:nil="true"/>
    <lcf76f155ced4ddcb4097134ff3c332f xmlns="6b4e8219-c4da-41a7-b43a-ffd15ed788c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customXml/itemProps2.xml><?xml version="1.0" encoding="utf-8"?>
<ds:datastoreItem xmlns:ds="http://schemas.openxmlformats.org/officeDocument/2006/customXml" ds:itemID="{5876AC4E-B77E-43C5-8BD1-0B0F952A9F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4e8219-c4da-41a7-b43a-ffd15ed788c0"/>
    <ds:schemaRef ds:uri="da5419d6-24fa-4fb2-b603-fb015d6fa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950CF9-6708-43E6-B951-FED539E709FE}">
  <ds:schemaRefs>
    <ds:schemaRef ds:uri="http://schemas.microsoft.com/sharepoint/v3/contenttype/forms"/>
  </ds:schemaRefs>
</ds:datastoreItem>
</file>

<file path=customXml/itemProps4.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 ds:uri="da5419d6-24fa-4fb2-b603-fb015d6facf2"/>
    <ds:schemaRef ds:uri="6b4e8219-c4da-41a7-b43a-ffd15ed788c0"/>
  </ds:schemaRefs>
</ds:datastoreItem>
</file>

<file path=docMetadata/LabelInfo.xml><?xml version="1.0" encoding="utf-8"?>
<clbl:labelList xmlns:clbl="http://schemas.microsoft.com/office/2020/mipLabelMetadata">
  <clbl:label id="{0a85929b-232e-42d6-98ae-ef1aa01cbfa4}"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Template>
  <TotalTime>45</TotalTime>
  <Pages>1</Pages>
  <Words>2226</Words>
  <Characters>12694</Characters>
  <Application>Microsoft Office Word</Application>
  <DocSecurity>0</DocSecurity>
  <Lines>105</Lines>
  <Paragraphs>29</Paragraphs>
  <ScaleCrop>false</ScaleCrop>
  <Company/>
  <LinksUpToDate>false</LinksUpToDate>
  <CharactersWithSpaces>14891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Barnes</dc:creator>
  <cp:keywords/>
  <dc:description/>
  <cp:lastModifiedBy>Matt Gosling</cp:lastModifiedBy>
  <cp:revision>26</cp:revision>
  <cp:lastPrinted>2023-08-01T21:22:00Z</cp:lastPrinted>
  <dcterms:created xsi:type="dcterms:W3CDTF">2025-03-08T01:24:00Z</dcterms:created>
  <dcterms:modified xsi:type="dcterms:W3CDTF">2025-03-08T03:23:00Z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0x010100BC2E3111CA0D8E419FCBACF4C8530E3F</vt:lpwstr>
  </property>
  <property fmtid="{D5CDD505-2E9C-101B-9397-08002B2CF9AE}" pid="10" name="MSIP_Label_0a85929b-232e-42d6-98ae-ef1aa01cbfa4_Enabled">
    <vt:lpwstr>true</vt:lpwstr>
  </property>
  <property fmtid="{D5CDD505-2E9C-101B-9397-08002B2CF9AE}" pid="11" name="MSIP_Label_0a85929b-232e-42d6-98ae-ef1aa01cbfa4_SetDate">
    <vt:lpwstr>2023-09-22T15:10:52Z</vt:lpwstr>
  </property>
  <property fmtid="{D5CDD505-2E9C-101B-9397-08002B2CF9AE}" pid="12" name="MSIP_Label_0a85929b-232e-42d6-98ae-ef1aa01cbfa4_Method">
    <vt:lpwstr>Standard</vt:lpwstr>
  </property>
  <property fmtid="{D5CDD505-2E9C-101B-9397-08002B2CF9AE}" pid="13" name="MSIP_Label_0a85929b-232e-42d6-98ae-ef1aa01cbfa4_Name">
    <vt:lpwstr>Not Sensitive</vt:lpwstr>
  </property>
  <property fmtid="{D5CDD505-2E9C-101B-9397-08002B2CF9AE}" pid="14" name="MSIP_Label_0a85929b-232e-42d6-98ae-ef1aa01cbfa4_SiteId">
    <vt:lpwstr>3ac94b33-9135-4821-9502-eafda6592a35</vt:lpwstr>
  </property>
  <property fmtid="{D5CDD505-2E9C-101B-9397-08002B2CF9AE}" pid="15" name="MSIP_Label_0a85929b-232e-42d6-98ae-ef1aa01cbfa4_ActionId">
    <vt:lpwstr>9f2cb3fa-f348-4f01-bbe7-b2a84b533a4a</vt:lpwstr>
  </property>
  <property fmtid="{D5CDD505-2E9C-101B-9397-08002B2CF9AE}" pid="16" name="MSIP_Label_0a85929b-232e-42d6-98ae-ef1aa01cbfa4_ContentBits">
    <vt:lpwstr>0</vt:lpwstr>
  </property>
  <property fmtid="{D5CDD505-2E9C-101B-9397-08002B2CF9AE}" pid="17" name="MediaServiceImageTags">
    <vt:lpwstr/>
  </property>
</Properties>
</file>