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0000001" w14:textId="77777777" w:rsidR="00DB7AF1" w:rsidRPr="001122A8" w:rsidRDefault="00F33858" w:rsidP="00E812C8">
      <w:pPr>
        <w:spacing w:after="300"/>
        <w:jc w:val="center"/>
        <w:rPr>
          <w:b/>
          <w:sz w:val="38"/>
          <w:szCs w:val="38"/>
        </w:rPr>
      </w:pPr>
      <w:r>
        <w:rPr>
          <w:b/>
          <w:sz w:val="38"/>
          <w:szCs w:val="38"/>
          <w:highlight w:val="white"/>
        </w:rPr>
        <w:t xml:space="preserve">United </w:t>
      </w:r>
      <w:r w:rsidRPr="001122A8">
        <w:rPr>
          <w:b/>
          <w:sz w:val="38"/>
          <w:szCs w:val="38"/>
        </w:rPr>
        <w:t>Energy Corp Provides a Shareholder Update</w:t>
      </w:r>
    </w:p>
    <w:p w14:paraId="2C9EE035" w14:textId="2F97EE1E" w:rsidR="000F3ED9" w:rsidRPr="001122A8" w:rsidRDefault="000F3ED9">
      <w:pPr>
        <w:spacing w:after="300"/>
        <w:rPr>
          <w:sz w:val="20"/>
          <w:szCs w:val="20"/>
        </w:rPr>
      </w:pPr>
      <w:r w:rsidRPr="001122A8">
        <w:rPr>
          <w:sz w:val="20"/>
          <w:szCs w:val="20"/>
        </w:rPr>
        <w:t>Texas, November 1</w:t>
      </w:r>
      <w:r w:rsidR="00A60D44">
        <w:rPr>
          <w:sz w:val="20"/>
          <w:szCs w:val="20"/>
        </w:rPr>
        <w:t>8</w:t>
      </w:r>
      <w:r w:rsidR="00F33858" w:rsidRPr="001122A8">
        <w:rPr>
          <w:sz w:val="20"/>
          <w:szCs w:val="20"/>
        </w:rPr>
        <w:t xml:space="preserve">, 2019 (GLOBE NEWSWIRE) – </w:t>
      </w:r>
      <w:r w:rsidR="007E00F9" w:rsidRPr="001122A8">
        <w:rPr>
          <w:sz w:val="20"/>
          <w:szCs w:val="20"/>
        </w:rPr>
        <w:t>During the week of 11/11/2019, Securities Transfer Corporation (STC) of Dallas was selected and agreements executed to serve as the company’s t</w:t>
      </w:r>
      <w:r w:rsidRPr="001122A8">
        <w:rPr>
          <w:sz w:val="20"/>
          <w:szCs w:val="20"/>
        </w:rPr>
        <w:t xml:space="preserve">ransfer </w:t>
      </w:r>
      <w:r w:rsidR="007E00F9" w:rsidRPr="001122A8">
        <w:rPr>
          <w:sz w:val="20"/>
          <w:szCs w:val="20"/>
        </w:rPr>
        <w:t>a</w:t>
      </w:r>
      <w:r w:rsidRPr="001122A8">
        <w:rPr>
          <w:sz w:val="20"/>
          <w:szCs w:val="20"/>
        </w:rPr>
        <w:t>gent</w:t>
      </w:r>
      <w:r w:rsidR="007E00F9" w:rsidRPr="001122A8">
        <w:rPr>
          <w:sz w:val="20"/>
          <w:szCs w:val="20"/>
        </w:rPr>
        <w:t>. Following STC’s filing of the Notice of Assumption with DTC, the company will file a name and ticker symbol change with FINRA.</w:t>
      </w:r>
    </w:p>
    <w:p w14:paraId="27401571" w14:textId="4C33439D" w:rsidR="000F3ED9" w:rsidRPr="001122A8" w:rsidRDefault="007E00F9">
      <w:pPr>
        <w:spacing w:after="300"/>
        <w:rPr>
          <w:sz w:val="20"/>
          <w:szCs w:val="20"/>
        </w:rPr>
      </w:pPr>
      <w:r w:rsidRPr="001122A8">
        <w:rPr>
          <w:sz w:val="20"/>
          <w:szCs w:val="20"/>
        </w:rPr>
        <w:t>The company is nearing completion of PCAOB Audit and anticipates th</w:t>
      </w:r>
      <w:r w:rsidR="000F3ED9" w:rsidRPr="001122A8">
        <w:rPr>
          <w:sz w:val="20"/>
          <w:szCs w:val="20"/>
        </w:rPr>
        <w:t xml:space="preserve">is will bring immediate value to our shareholders and transparency to the </w:t>
      </w:r>
      <w:r w:rsidRPr="001122A8">
        <w:rPr>
          <w:sz w:val="20"/>
          <w:szCs w:val="20"/>
        </w:rPr>
        <w:t xml:space="preserve">company’s current position in the </w:t>
      </w:r>
      <w:r w:rsidR="000F3ED9" w:rsidRPr="001122A8">
        <w:rPr>
          <w:sz w:val="20"/>
          <w:szCs w:val="20"/>
        </w:rPr>
        <w:t xml:space="preserve">marketplace.  </w:t>
      </w:r>
    </w:p>
    <w:p w14:paraId="00000004" w14:textId="3822A29C" w:rsidR="00DB7AF1" w:rsidRPr="001122A8" w:rsidRDefault="00F33858">
      <w:pPr>
        <w:spacing w:after="300"/>
        <w:rPr>
          <w:sz w:val="20"/>
          <w:szCs w:val="20"/>
        </w:rPr>
      </w:pPr>
      <w:r w:rsidRPr="001122A8">
        <w:rPr>
          <w:sz w:val="20"/>
          <w:szCs w:val="20"/>
        </w:rPr>
        <w:t>“</w:t>
      </w:r>
      <w:r w:rsidR="000F3ED9" w:rsidRPr="001122A8">
        <w:rPr>
          <w:sz w:val="20"/>
          <w:szCs w:val="20"/>
        </w:rPr>
        <w:t xml:space="preserve">The acquisition of </w:t>
      </w:r>
      <w:proofErr w:type="spellStart"/>
      <w:r w:rsidR="000F3ED9" w:rsidRPr="001122A8">
        <w:rPr>
          <w:sz w:val="20"/>
          <w:szCs w:val="20"/>
        </w:rPr>
        <w:t>Rigworx</w:t>
      </w:r>
      <w:proofErr w:type="spellEnd"/>
      <w:r w:rsidR="000F3ED9" w:rsidRPr="001122A8">
        <w:rPr>
          <w:sz w:val="20"/>
          <w:szCs w:val="20"/>
        </w:rPr>
        <w:t xml:space="preserve"> </w:t>
      </w:r>
      <w:r w:rsidR="00A60D44">
        <w:rPr>
          <w:sz w:val="20"/>
          <w:szCs w:val="20"/>
        </w:rPr>
        <w:t>has been a</w:t>
      </w:r>
      <w:r w:rsidR="000F3ED9" w:rsidRPr="001122A8">
        <w:rPr>
          <w:sz w:val="20"/>
          <w:szCs w:val="20"/>
        </w:rPr>
        <w:t xml:space="preserve"> process</w:t>
      </w:r>
      <w:r w:rsidR="001122A8" w:rsidRPr="001122A8">
        <w:rPr>
          <w:sz w:val="20"/>
          <w:szCs w:val="20"/>
        </w:rPr>
        <w:t>. W</w:t>
      </w:r>
      <w:r w:rsidR="000F3ED9" w:rsidRPr="001122A8">
        <w:rPr>
          <w:sz w:val="20"/>
          <w:szCs w:val="20"/>
        </w:rPr>
        <w:t>hile diligent, we</w:t>
      </w:r>
      <w:r w:rsidR="00A60D44">
        <w:rPr>
          <w:sz w:val="20"/>
          <w:szCs w:val="20"/>
        </w:rPr>
        <w:t xml:space="preserve"> are always</w:t>
      </w:r>
      <w:r w:rsidR="000F3ED9" w:rsidRPr="001122A8">
        <w:rPr>
          <w:sz w:val="20"/>
          <w:szCs w:val="20"/>
        </w:rPr>
        <w:t xml:space="preserve"> methodical and detail oriented in the execution of these early movements to ensure the company is appropriately positioned to execute</w:t>
      </w:r>
      <w:r w:rsidR="00A60D44">
        <w:rPr>
          <w:sz w:val="20"/>
          <w:szCs w:val="20"/>
        </w:rPr>
        <w:t xml:space="preserve"> on</w:t>
      </w:r>
      <w:r w:rsidR="000F3ED9" w:rsidRPr="001122A8">
        <w:rPr>
          <w:sz w:val="20"/>
          <w:szCs w:val="20"/>
        </w:rPr>
        <w:t xml:space="preserve"> </w:t>
      </w:r>
      <w:r w:rsidR="00A60D44">
        <w:rPr>
          <w:sz w:val="20"/>
          <w:szCs w:val="20"/>
        </w:rPr>
        <w:t>our</w:t>
      </w:r>
      <w:r w:rsidR="000F3ED9" w:rsidRPr="001122A8">
        <w:rPr>
          <w:sz w:val="20"/>
          <w:szCs w:val="20"/>
        </w:rPr>
        <w:t xml:space="preserve"> plans for 2020</w:t>
      </w:r>
      <w:r w:rsidRPr="001122A8">
        <w:rPr>
          <w:sz w:val="20"/>
          <w:szCs w:val="20"/>
        </w:rPr>
        <w:t>.” Stated Sam Smith, CEO of United Energy Co</w:t>
      </w:r>
      <w:r w:rsidR="001122A8" w:rsidRPr="001122A8">
        <w:rPr>
          <w:sz w:val="20"/>
          <w:szCs w:val="20"/>
        </w:rPr>
        <w:t>r</w:t>
      </w:r>
      <w:r w:rsidRPr="001122A8">
        <w:rPr>
          <w:sz w:val="20"/>
          <w:szCs w:val="20"/>
        </w:rPr>
        <w:t>p. “</w:t>
      </w:r>
      <w:r w:rsidR="000F3ED9" w:rsidRPr="001122A8">
        <w:rPr>
          <w:sz w:val="20"/>
          <w:szCs w:val="20"/>
        </w:rPr>
        <w:t xml:space="preserve">Given the election year, </w:t>
      </w:r>
      <w:r w:rsidR="001122A8" w:rsidRPr="001122A8">
        <w:rPr>
          <w:sz w:val="20"/>
          <w:szCs w:val="20"/>
        </w:rPr>
        <w:t xml:space="preserve">industry </w:t>
      </w:r>
      <w:r w:rsidR="000F3ED9" w:rsidRPr="001122A8">
        <w:rPr>
          <w:sz w:val="20"/>
          <w:szCs w:val="20"/>
        </w:rPr>
        <w:t xml:space="preserve">illiquidity </w:t>
      </w:r>
      <w:r w:rsidR="001122A8" w:rsidRPr="001122A8">
        <w:rPr>
          <w:sz w:val="20"/>
          <w:szCs w:val="20"/>
        </w:rPr>
        <w:t>and the movement within the industry</w:t>
      </w:r>
      <w:bookmarkStart w:id="0" w:name="_GoBack"/>
      <w:bookmarkEnd w:id="0"/>
      <w:r w:rsidR="000F3ED9" w:rsidRPr="001122A8">
        <w:rPr>
          <w:sz w:val="20"/>
          <w:szCs w:val="20"/>
        </w:rPr>
        <w:t xml:space="preserve"> </w:t>
      </w:r>
      <w:r w:rsidR="001122A8" w:rsidRPr="001122A8">
        <w:rPr>
          <w:sz w:val="20"/>
          <w:szCs w:val="20"/>
        </w:rPr>
        <w:t xml:space="preserve">away from shale and </w:t>
      </w:r>
      <w:r w:rsidR="000F3ED9" w:rsidRPr="001122A8">
        <w:rPr>
          <w:sz w:val="20"/>
          <w:szCs w:val="20"/>
        </w:rPr>
        <w:t>to</w:t>
      </w:r>
      <w:r w:rsidR="001122A8" w:rsidRPr="001122A8">
        <w:rPr>
          <w:sz w:val="20"/>
          <w:szCs w:val="20"/>
        </w:rPr>
        <w:t>ward</w:t>
      </w:r>
      <w:r w:rsidR="000F3ED9" w:rsidRPr="001122A8">
        <w:rPr>
          <w:sz w:val="20"/>
          <w:szCs w:val="20"/>
        </w:rPr>
        <w:t xml:space="preserve"> traditional production, </w:t>
      </w:r>
      <w:r w:rsidRPr="001122A8">
        <w:rPr>
          <w:sz w:val="20"/>
          <w:szCs w:val="20"/>
        </w:rPr>
        <w:t xml:space="preserve">management </w:t>
      </w:r>
      <w:r w:rsidR="007E00F9" w:rsidRPr="001122A8">
        <w:rPr>
          <w:sz w:val="20"/>
          <w:szCs w:val="20"/>
        </w:rPr>
        <w:t>believes the Oil &amp; Gas market</w:t>
      </w:r>
      <w:r w:rsidR="00762262" w:rsidRPr="001122A8">
        <w:rPr>
          <w:sz w:val="20"/>
          <w:szCs w:val="20"/>
        </w:rPr>
        <w:t xml:space="preserve"> opportunity over the next 12-18 months is substantial for the swift and </w:t>
      </w:r>
      <w:r w:rsidR="007E00F9" w:rsidRPr="001122A8">
        <w:rPr>
          <w:sz w:val="20"/>
          <w:szCs w:val="20"/>
        </w:rPr>
        <w:t>well-orchestrated.</w:t>
      </w:r>
      <w:r w:rsidRPr="001122A8">
        <w:rPr>
          <w:sz w:val="20"/>
          <w:szCs w:val="20"/>
        </w:rPr>
        <w:t xml:space="preserve">” Sam Smith continued </w:t>
      </w:r>
    </w:p>
    <w:p w14:paraId="2B1C79F6" w14:textId="18837D39" w:rsidR="00E812C8" w:rsidRPr="00E812C8" w:rsidRDefault="00E812C8" w:rsidP="00E812C8">
      <w:pPr>
        <w:rPr>
          <w:rFonts w:ascii="Times New Roman" w:eastAsia="Times New Roman" w:hAnsi="Times New Roman" w:cs="Times New Roman"/>
          <w:color w:val="000000" w:themeColor="text1"/>
          <w:sz w:val="20"/>
          <w:szCs w:val="20"/>
          <w:lang w:val="en-US"/>
        </w:rPr>
      </w:pPr>
      <w:r w:rsidRPr="001122A8">
        <w:rPr>
          <w:rFonts w:eastAsia="Times New Roman"/>
          <w:b/>
          <w:bCs/>
          <w:color w:val="000000" w:themeColor="text1"/>
          <w:sz w:val="20"/>
          <w:szCs w:val="20"/>
          <w:shd w:val="clear" w:color="auto" w:fill="FFFFFF"/>
          <w:lang w:val="en-US"/>
        </w:rPr>
        <w:t xml:space="preserve">About </w:t>
      </w:r>
      <w:proofErr w:type="spellStart"/>
      <w:r w:rsidRPr="001122A8">
        <w:rPr>
          <w:rFonts w:eastAsia="Times New Roman"/>
          <w:b/>
          <w:bCs/>
          <w:color w:val="000000" w:themeColor="text1"/>
          <w:sz w:val="20"/>
          <w:szCs w:val="20"/>
          <w:shd w:val="clear" w:color="auto" w:fill="FFFFFF"/>
          <w:lang w:val="en-US"/>
        </w:rPr>
        <w:t>Rigworx</w:t>
      </w:r>
      <w:proofErr w:type="spellEnd"/>
      <w:r w:rsidRPr="001122A8">
        <w:rPr>
          <w:rFonts w:eastAsia="Times New Roman"/>
          <w:b/>
          <w:bCs/>
          <w:color w:val="000000" w:themeColor="text1"/>
          <w:sz w:val="20"/>
          <w:szCs w:val="20"/>
          <w:shd w:val="clear" w:color="auto" w:fill="FFFFFF"/>
          <w:lang w:val="en-US"/>
        </w:rPr>
        <w:t>, Inc.</w:t>
      </w:r>
      <w:r w:rsidRPr="00E812C8">
        <w:rPr>
          <w:rFonts w:eastAsia="Times New Roman"/>
          <w:b/>
          <w:bCs/>
          <w:color w:val="000000" w:themeColor="text1"/>
          <w:sz w:val="20"/>
          <w:szCs w:val="20"/>
          <w:shd w:val="clear" w:color="auto" w:fill="FFFFFF"/>
          <w:lang w:val="en-US"/>
        </w:rPr>
        <w:br/>
      </w:r>
      <w:proofErr w:type="spellStart"/>
      <w:r w:rsidRPr="00E812C8">
        <w:rPr>
          <w:rFonts w:eastAsia="Times New Roman"/>
          <w:color w:val="000000" w:themeColor="text1"/>
          <w:sz w:val="20"/>
          <w:szCs w:val="20"/>
          <w:shd w:val="clear" w:color="auto" w:fill="FFFFFF"/>
          <w:lang w:val="en-US"/>
        </w:rPr>
        <w:t>Rigworx</w:t>
      </w:r>
      <w:proofErr w:type="spellEnd"/>
      <w:r w:rsidRPr="00E812C8">
        <w:rPr>
          <w:rFonts w:eastAsia="Times New Roman"/>
          <w:color w:val="000000" w:themeColor="text1"/>
          <w:sz w:val="20"/>
          <w:szCs w:val="20"/>
          <w:shd w:val="clear" w:color="auto" w:fill="FFFFFF"/>
          <w:lang w:val="en-US"/>
        </w:rPr>
        <w:t xml:space="preserve"> Inc. is a fully integrated, vertical E&amp;P Company with holdings and operating authority in the midsouth. It is the intention of </w:t>
      </w:r>
      <w:proofErr w:type="spellStart"/>
      <w:r w:rsidRPr="00E812C8">
        <w:rPr>
          <w:rFonts w:eastAsia="Times New Roman"/>
          <w:color w:val="000000" w:themeColor="text1"/>
          <w:sz w:val="20"/>
          <w:szCs w:val="20"/>
          <w:shd w:val="clear" w:color="auto" w:fill="FFFFFF"/>
          <w:lang w:val="en-US"/>
        </w:rPr>
        <w:t>Rigworx</w:t>
      </w:r>
      <w:proofErr w:type="spellEnd"/>
      <w:r w:rsidRPr="00E812C8">
        <w:rPr>
          <w:rFonts w:eastAsia="Times New Roman"/>
          <w:color w:val="000000" w:themeColor="text1"/>
          <w:sz w:val="20"/>
          <w:szCs w:val="20"/>
          <w:shd w:val="clear" w:color="auto" w:fill="FFFFFF"/>
          <w:lang w:val="en-US"/>
        </w:rPr>
        <w:t xml:space="preserve"> Inc to grow its lease and mineral holdings through improved production and additional acquisitions.</w:t>
      </w:r>
      <w:r w:rsidRPr="00E812C8">
        <w:rPr>
          <w:rFonts w:eastAsia="Times New Roman"/>
          <w:color w:val="000000" w:themeColor="text1"/>
          <w:sz w:val="20"/>
          <w:szCs w:val="20"/>
          <w:lang w:val="en-US"/>
        </w:rPr>
        <w:t xml:space="preserve"> </w:t>
      </w:r>
      <w:proofErr w:type="spellStart"/>
      <w:r w:rsidRPr="00E812C8">
        <w:rPr>
          <w:rFonts w:eastAsia="Times New Roman"/>
          <w:color w:val="000000" w:themeColor="text1"/>
          <w:sz w:val="20"/>
          <w:szCs w:val="20"/>
          <w:shd w:val="clear" w:color="auto" w:fill="FFFFFF"/>
          <w:lang w:val="en-US"/>
        </w:rPr>
        <w:t>Rigworx</w:t>
      </w:r>
      <w:proofErr w:type="spellEnd"/>
      <w:r w:rsidRPr="00E812C8">
        <w:rPr>
          <w:rFonts w:eastAsia="Times New Roman"/>
          <w:color w:val="000000" w:themeColor="text1"/>
          <w:sz w:val="20"/>
          <w:szCs w:val="20"/>
          <w:shd w:val="clear" w:color="auto" w:fill="FFFFFF"/>
          <w:lang w:val="en-US"/>
        </w:rPr>
        <w:t xml:space="preserve"> produces hydrocarbons from its existing inventory of holdings. The primary focus is oil and, in some cases, complimented by natural gas, condensate and other items.</w:t>
      </w:r>
      <w:r w:rsidRPr="00E812C8">
        <w:rPr>
          <w:rFonts w:ascii="Times New Roman" w:eastAsia="Times New Roman" w:hAnsi="Times New Roman" w:cs="Times New Roman"/>
          <w:color w:val="000000" w:themeColor="text1"/>
          <w:sz w:val="20"/>
          <w:szCs w:val="20"/>
          <w:lang w:val="en-US"/>
        </w:rPr>
        <w:t xml:space="preserve"> </w:t>
      </w:r>
      <w:r w:rsidRPr="00E812C8">
        <w:rPr>
          <w:rFonts w:eastAsia="Times New Roman"/>
          <w:color w:val="000000" w:themeColor="text1"/>
          <w:sz w:val="20"/>
          <w:szCs w:val="20"/>
          <w:shd w:val="clear" w:color="auto" w:fill="FFFFFF"/>
          <w:lang w:val="en-US"/>
        </w:rPr>
        <w:t>For more information, please visit </w:t>
      </w:r>
      <w:r w:rsidRPr="00E812C8">
        <w:rPr>
          <w:rFonts w:eastAsia="Times New Roman"/>
          <w:b/>
          <w:bCs/>
          <w:color w:val="000000" w:themeColor="text1"/>
          <w:sz w:val="20"/>
          <w:szCs w:val="20"/>
          <w:u w:val="single"/>
          <w:shd w:val="clear" w:color="auto" w:fill="FFFFFF"/>
          <w:lang w:val="en-US"/>
        </w:rPr>
        <w:t>www.rigworxinc.com</w:t>
      </w:r>
      <w:r w:rsidRPr="00E812C8">
        <w:rPr>
          <w:rFonts w:eastAsia="Times New Roman"/>
          <w:color w:val="000000" w:themeColor="text1"/>
          <w:sz w:val="20"/>
          <w:szCs w:val="20"/>
          <w:shd w:val="clear" w:color="auto" w:fill="FFFFFF"/>
          <w:lang w:val="en-US"/>
        </w:rPr>
        <w:t>. </w:t>
      </w:r>
    </w:p>
    <w:p w14:paraId="2E3EC2E0" w14:textId="77777777" w:rsidR="00E812C8" w:rsidRDefault="00E812C8">
      <w:pPr>
        <w:spacing w:line="392" w:lineRule="auto"/>
        <w:rPr>
          <w:bCs/>
          <w:iCs/>
          <w:color w:val="000000" w:themeColor="text1"/>
          <w:sz w:val="20"/>
          <w:szCs w:val="20"/>
          <w:highlight w:val="white"/>
        </w:rPr>
      </w:pPr>
    </w:p>
    <w:p w14:paraId="00000006" w14:textId="731CADA7" w:rsidR="00DB7AF1" w:rsidRDefault="00F33858">
      <w:pPr>
        <w:spacing w:line="392" w:lineRule="auto"/>
        <w:rPr>
          <w:sz w:val="24"/>
          <w:szCs w:val="24"/>
          <w:highlight w:val="white"/>
        </w:rPr>
      </w:pPr>
      <w:r>
        <w:rPr>
          <w:b/>
          <w:i/>
          <w:sz w:val="24"/>
          <w:szCs w:val="24"/>
          <w:highlight w:val="white"/>
        </w:rPr>
        <w:t>Note to Investors</w:t>
      </w:r>
      <w:r>
        <w:rPr>
          <w:sz w:val="24"/>
          <w:szCs w:val="24"/>
          <w:highlight w:val="white"/>
        </w:rPr>
        <w:t xml:space="preserve"> </w:t>
      </w:r>
    </w:p>
    <w:p w14:paraId="00000007" w14:textId="77777777" w:rsidR="00DB7AF1" w:rsidRDefault="00F33858">
      <w:pPr>
        <w:spacing w:line="392" w:lineRule="auto"/>
        <w:rPr>
          <w:i/>
          <w:sz w:val="24"/>
          <w:szCs w:val="24"/>
          <w:highlight w:val="white"/>
        </w:rPr>
      </w:pPr>
      <w:r>
        <w:rPr>
          <w:i/>
          <w:sz w:val="24"/>
          <w:szCs w:val="24"/>
          <w:highlight w:val="white"/>
        </w:rPr>
        <w:t>This press release is for informational purposes. This press release contains certain forward-looking statements based on our current expectations, forecasts and assumptions that involve risks and uncertainties. This release does not constitute an offer to sell or a solicitation of offers to buy any securities of any entity. Forward-looking statements in this release are based on information available to us as of the date hereof. Our actual results may differ materially from those stated or implied in such forward-looking statements due to risks and uncertainties associated with our business. Forward-looking statements include statements regarding our expectations, beliefs, intentions or strategies regarding the future and can be identified by forward-looking words such as "anticipate," "believe," "could," "estimate," "expect," "intend," "may," "should," and "would" or similar words. We assume no obligation to update the information included in this press release, whether as a result of new information, future events or otherwise."</w:t>
      </w:r>
    </w:p>
    <w:p w14:paraId="00000008" w14:textId="77777777" w:rsidR="00DB7AF1" w:rsidRDefault="00F33858">
      <w:pPr>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Contact United Energy Corp.:</w:t>
      </w:r>
    </w:p>
    <w:p w14:paraId="00000009" w14:textId="77777777" w:rsidR="00DB7AF1" w:rsidRDefault="00F33858">
      <w:pPr>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Sam Smith</w:t>
      </w:r>
    </w:p>
    <w:p w14:paraId="0000000A" w14:textId="77777777" w:rsidR="00DB7AF1" w:rsidRDefault="00F33858">
      <w:pPr>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Founder &amp; CEO</w:t>
      </w:r>
    </w:p>
    <w:p w14:paraId="0000000B" w14:textId="77777777" w:rsidR="00DB7AF1" w:rsidRDefault="00F33858">
      <w:pPr>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(214) 802-6777</w:t>
      </w:r>
    </w:p>
    <w:p w14:paraId="0000000C" w14:textId="77777777" w:rsidR="00DB7AF1" w:rsidRDefault="00F33858">
      <w:pPr>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info@rigworxinc.com</w:t>
      </w:r>
    </w:p>
    <w:p w14:paraId="0000000D" w14:textId="77777777" w:rsidR="00DB7AF1" w:rsidRDefault="00F33858">
      <w:r>
        <w:t xml:space="preserve"> </w:t>
      </w:r>
    </w:p>
    <w:p w14:paraId="0000000E" w14:textId="77777777" w:rsidR="00DB7AF1" w:rsidRDefault="00DB7AF1"/>
    <w:sectPr w:rsidR="00DB7AF1">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192D99" w14:textId="77777777" w:rsidR="005F28D2" w:rsidRDefault="005F28D2" w:rsidP="00E812C8">
      <w:pPr>
        <w:spacing w:line="240" w:lineRule="auto"/>
      </w:pPr>
      <w:r>
        <w:separator/>
      </w:r>
    </w:p>
  </w:endnote>
  <w:endnote w:type="continuationSeparator" w:id="0">
    <w:p w14:paraId="3E72C31B" w14:textId="77777777" w:rsidR="005F28D2" w:rsidRDefault="005F28D2" w:rsidP="00E812C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DEC4A9" w14:textId="77777777" w:rsidR="00E812C8" w:rsidRDefault="00E812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24B029" w14:textId="77777777" w:rsidR="00E812C8" w:rsidRDefault="00E812C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0D87C8" w14:textId="77777777" w:rsidR="00E812C8" w:rsidRDefault="00E812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3C86AA" w14:textId="77777777" w:rsidR="005F28D2" w:rsidRDefault="005F28D2" w:rsidP="00E812C8">
      <w:pPr>
        <w:spacing w:line="240" w:lineRule="auto"/>
      </w:pPr>
      <w:r>
        <w:separator/>
      </w:r>
    </w:p>
  </w:footnote>
  <w:footnote w:type="continuationSeparator" w:id="0">
    <w:p w14:paraId="510EC52D" w14:textId="77777777" w:rsidR="005F28D2" w:rsidRDefault="005F28D2" w:rsidP="00E812C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075327" w14:textId="77777777" w:rsidR="00E812C8" w:rsidRDefault="00E812C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9DCD1F" w14:textId="77777777" w:rsidR="00E812C8" w:rsidRDefault="00E812C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0498D" w14:textId="77777777" w:rsidR="00E812C8" w:rsidRDefault="00E812C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AF1"/>
    <w:rsid w:val="000F3ED9"/>
    <w:rsid w:val="001122A8"/>
    <w:rsid w:val="001B492B"/>
    <w:rsid w:val="005F28D2"/>
    <w:rsid w:val="006540B6"/>
    <w:rsid w:val="00762262"/>
    <w:rsid w:val="007E00F9"/>
    <w:rsid w:val="009301A1"/>
    <w:rsid w:val="00A60D44"/>
    <w:rsid w:val="00DB7AF1"/>
    <w:rsid w:val="00E812C8"/>
    <w:rsid w:val="00F338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44335A"/>
  <w15:docId w15:val="{04C49E51-587F-8C42-93A7-9826487F5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E812C8"/>
    <w:pPr>
      <w:tabs>
        <w:tab w:val="center" w:pos="4680"/>
        <w:tab w:val="right" w:pos="9360"/>
      </w:tabs>
      <w:spacing w:line="240" w:lineRule="auto"/>
    </w:pPr>
  </w:style>
  <w:style w:type="character" w:customStyle="1" w:styleId="HeaderChar">
    <w:name w:val="Header Char"/>
    <w:basedOn w:val="DefaultParagraphFont"/>
    <w:link w:val="Header"/>
    <w:uiPriority w:val="99"/>
    <w:rsid w:val="00E812C8"/>
  </w:style>
  <w:style w:type="paragraph" w:styleId="Footer">
    <w:name w:val="footer"/>
    <w:basedOn w:val="Normal"/>
    <w:link w:val="FooterChar"/>
    <w:uiPriority w:val="99"/>
    <w:unhideWhenUsed/>
    <w:rsid w:val="00E812C8"/>
    <w:pPr>
      <w:tabs>
        <w:tab w:val="center" w:pos="4680"/>
        <w:tab w:val="right" w:pos="9360"/>
      </w:tabs>
      <w:spacing w:line="240" w:lineRule="auto"/>
    </w:pPr>
  </w:style>
  <w:style w:type="character" w:customStyle="1" w:styleId="FooterChar">
    <w:name w:val="Footer Char"/>
    <w:basedOn w:val="DefaultParagraphFont"/>
    <w:link w:val="Footer"/>
    <w:uiPriority w:val="99"/>
    <w:rsid w:val="00E812C8"/>
  </w:style>
  <w:style w:type="character" w:styleId="Strong">
    <w:name w:val="Strong"/>
    <w:basedOn w:val="DefaultParagraphFont"/>
    <w:uiPriority w:val="22"/>
    <w:qFormat/>
    <w:rsid w:val="00E812C8"/>
    <w:rPr>
      <w:b/>
      <w:bCs/>
    </w:rPr>
  </w:style>
  <w:style w:type="character" w:styleId="Hyperlink">
    <w:name w:val="Hyperlink"/>
    <w:basedOn w:val="DefaultParagraphFont"/>
    <w:uiPriority w:val="99"/>
    <w:unhideWhenUsed/>
    <w:rsid w:val="00E812C8"/>
    <w:rPr>
      <w:color w:val="0000FF"/>
      <w:u w:val="single"/>
    </w:rPr>
  </w:style>
  <w:style w:type="character" w:customStyle="1" w:styleId="UnresolvedMention1">
    <w:name w:val="Unresolved Mention1"/>
    <w:basedOn w:val="DefaultParagraphFont"/>
    <w:uiPriority w:val="99"/>
    <w:semiHidden/>
    <w:unhideWhenUsed/>
    <w:rsid w:val="00E812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9506110">
      <w:bodyDiv w:val="1"/>
      <w:marLeft w:val="0"/>
      <w:marRight w:val="0"/>
      <w:marTop w:val="0"/>
      <w:marBottom w:val="0"/>
      <w:divBdr>
        <w:top w:val="none" w:sz="0" w:space="0" w:color="auto"/>
        <w:left w:val="none" w:sz="0" w:space="0" w:color="auto"/>
        <w:bottom w:val="none" w:sz="0" w:space="0" w:color="auto"/>
        <w:right w:val="none" w:sz="0" w:space="0" w:color="auto"/>
      </w:divBdr>
    </w:div>
    <w:div w:id="830289086">
      <w:bodyDiv w:val="1"/>
      <w:marLeft w:val="0"/>
      <w:marRight w:val="0"/>
      <w:marTop w:val="0"/>
      <w:marBottom w:val="0"/>
      <w:divBdr>
        <w:top w:val="none" w:sz="0" w:space="0" w:color="auto"/>
        <w:left w:val="none" w:sz="0" w:space="0" w:color="auto"/>
        <w:bottom w:val="none" w:sz="0" w:space="0" w:color="auto"/>
        <w:right w:val="none" w:sz="0" w:space="0" w:color="auto"/>
      </w:divBdr>
    </w:div>
    <w:div w:id="10580149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416</Words>
  <Characters>2373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Joe Zelker</cp:lastModifiedBy>
  <cp:revision>3</cp:revision>
  <dcterms:created xsi:type="dcterms:W3CDTF">2019-11-14T21:46:00Z</dcterms:created>
  <dcterms:modified xsi:type="dcterms:W3CDTF">2019-11-18T00:49:00Z</dcterms:modified>
</cp:coreProperties>
</file>