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335B" w:rsidRDefault="0016335B" w:rsidP="00BE0F41">
      <w:pPr>
        <w:jc w:val="both"/>
        <w:rPr>
          <w:rFonts w:asciiTheme="minorHAnsi" w:hAnsiTheme="minorHAnsi"/>
          <w:sz w:val="22"/>
          <w:szCs w:val="22"/>
        </w:rPr>
      </w:pPr>
    </w:p>
    <w:p w:rsidR="00A8792F" w:rsidRPr="00487077" w:rsidRDefault="00A8792F" w:rsidP="00BE0F41">
      <w:pPr>
        <w:jc w:val="both"/>
        <w:rPr>
          <w:rFonts w:asciiTheme="minorHAnsi" w:hAnsiTheme="minorHAnsi"/>
          <w:sz w:val="22"/>
          <w:szCs w:val="22"/>
        </w:rPr>
      </w:pPr>
    </w:p>
    <w:p w:rsidR="005D0FAB" w:rsidRDefault="005D0FAB" w:rsidP="00BE0F41">
      <w:pPr>
        <w:ind w:left="2160" w:firstLine="720"/>
        <w:jc w:val="both"/>
        <w:rPr>
          <w:rFonts w:asciiTheme="minorHAnsi" w:hAnsiTheme="minorHAnsi"/>
          <w:sz w:val="22"/>
          <w:szCs w:val="22"/>
        </w:rPr>
      </w:pPr>
      <w:r>
        <w:rPr>
          <w:rFonts w:asciiTheme="minorHAnsi" w:hAnsiTheme="minorHAnsi"/>
          <w:noProof/>
          <w:sz w:val="22"/>
          <w:szCs w:val="22"/>
        </w:rPr>
        <w:drawing>
          <wp:inline distT="0" distB="0" distL="0" distR="0" wp14:anchorId="2A8DECEA" wp14:editId="21C69E75">
            <wp:extent cx="2355850" cy="647700"/>
            <wp:effectExtent l="0" t="0" r="6350" b="12700"/>
            <wp:docPr id="2" name="Picture 2" descr="../../../../../../../Desktop/Screen%20Shot%202018-01-06%20at%206.56.5">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20Shot%202018-01-06%20at%206.56.5"/>
                    <pic:cNvPicPr>
                      <a:picLocks noChangeAspect="1" noChangeArrowheads="1"/>
                    </pic:cNvPicPr>
                  </pic:nvPicPr>
                  <pic:blipFill rotWithShape="1">
                    <a:blip r:embed="rId6">
                      <a:extLst>
                        <a:ext uri="{28A0092B-C50C-407E-A947-70E740481C1C}">
                          <a14:useLocalDpi xmlns:a14="http://schemas.microsoft.com/office/drawing/2010/main" val="0"/>
                        </a:ext>
                      </a:extLst>
                    </a:blip>
                    <a:srcRect l="8409" t="13514" r="7272" b="17568"/>
                    <a:stretch/>
                  </pic:blipFill>
                  <pic:spPr bwMode="auto">
                    <a:xfrm>
                      <a:off x="0" y="0"/>
                      <a:ext cx="2355850" cy="647700"/>
                    </a:xfrm>
                    <a:prstGeom prst="rect">
                      <a:avLst/>
                    </a:prstGeom>
                    <a:noFill/>
                    <a:ln>
                      <a:noFill/>
                    </a:ln>
                    <a:extLst>
                      <a:ext uri="{53640926-AAD7-44D8-BBD7-CCE9431645EC}">
                        <a14:shadowObscured xmlns:a14="http://schemas.microsoft.com/office/drawing/2010/main"/>
                      </a:ext>
                    </a:extLst>
                  </pic:spPr>
                </pic:pic>
              </a:graphicData>
            </a:graphic>
          </wp:inline>
        </w:drawing>
      </w:r>
    </w:p>
    <w:p w:rsidR="005D0FAB" w:rsidRDefault="005D0FAB" w:rsidP="00BE0F41">
      <w:pPr>
        <w:ind w:firstLine="720"/>
        <w:jc w:val="both"/>
        <w:rPr>
          <w:rFonts w:asciiTheme="minorHAnsi" w:hAnsiTheme="minorHAnsi"/>
          <w:sz w:val="22"/>
          <w:szCs w:val="22"/>
        </w:rPr>
      </w:pPr>
    </w:p>
    <w:p w:rsidR="00412563" w:rsidRDefault="00F3214A" w:rsidP="00412563">
      <w:pPr>
        <w:jc w:val="both"/>
        <w:rPr>
          <w:rFonts w:asciiTheme="minorHAnsi" w:hAnsiTheme="minorHAnsi"/>
          <w:sz w:val="22"/>
          <w:szCs w:val="22"/>
        </w:rPr>
      </w:pPr>
      <w:r>
        <w:rPr>
          <w:rFonts w:asciiTheme="minorHAnsi" w:hAnsiTheme="minorHAnsi"/>
          <w:sz w:val="22"/>
          <w:szCs w:val="22"/>
        </w:rPr>
        <w:t>DigiCor is</w:t>
      </w:r>
      <w:r w:rsidR="00412563">
        <w:rPr>
          <w:rFonts w:asciiTheme="minorHAnsi" w:hAnsiTheme="minorHAnsi"/>
          <w:sz w:val="22"/>
          <w:szCs w:val="22"/>
        </w:rPr>
        <w:t xml:space="preserve"> excited to announce the launch of its two institutiona</w:t>
      </w:r>
      <w:r w:rsidR="000A3152">
        <w:rPr>
          <w:rFonts w:asciiTheme="minorHAnsi" w:hAnsiTheme="minorHAnsi"/>
          <w:sz w:val="22"/>
          <w:szCs w:val="22"/>
        </w:rPr>
        <w:t>l-grade digital assets passive F</w:t>
      </w:r>
      <w:r w:rsidR="00412563">
        <w:rPr>
          <w:rFonts w:asciiTheme="minorHAnsi" w:hAnsiTheme="minorHAnsi"/>
          <w:sz w:val="22"/>
          <w:szCs w:val="22"/>
        </w:rPr>
        <w:t xml:space="preserve">unds: the </w:t>
      </w:r>
      <w:hyperlink r:id="rId7" w:anchor="/indexes/digicor90" w:history="1">
        <w:r w:rsidR="00412563" w:rsidRPr="005B1091">
          <w:rPr>
            <w:rStyle w:val="Hyperlink"/>
            <w:rFonts w:asciiTheme="minorHAnsi" w:hAnsiTheme="minorHAnsi"/>
            <w:sz w:val="22"/>
            <w:szCs w:val="22"/>
          </w:rPr>
          <w:t>DigiCor90</w:t>
        </w:r>
      </w:hyperlink>
      <w:r w:rsidR="00412563" w:rsidRPr="00AC70B7">
        <w:rPr>
          <w:rFonts w:asciiTheme="minorHAnsi" w:hAnsiTheme="minorHAnsi"/>
          <w:sz w:val="22"/>
          <w:szCs w:val="22"/>
        </w:rPr>
        <w:t xml:space="preserve">, </w:t>
      </w:r>
      <w:r w:rsidR="00412563">
        <w:rPr>
          <w:rFonts w:asciiTheme="minorHAnsi" w:hAnsiTheme="minorHAnsi"/>
          <w:sz w:val="22"/>
          <w:szCs w:val="22"/>
        </w:rPr>
        <w:t xml:space="preserve">which tracks </w:t>
      </w:r>
      <w:r w:rsidR="00412563" w:rsidRPr="00AC70B7">
        <w:rPr>
          <w:rFonts w:asciiTheme="minorHAnsi" w:hAnsiTheme="minorHAnsi"/>
          <w:sz w:val="22"/>
          <w:szCs w:val="22"/>
        </w:rPr>
        <w:t xml:space="preserve">a market-cap weighted index, and the </w:t>
      </w:r>
      <w:hyperlink r:id="rId8" w:anchor="/indexes/digicorew" w:history="1">
        <w:r w:rsidR="00412563" w:rsidRPr="005B1091">
          <w:rPr>
            <w:rStyle w:val="Hyperlink"/>
            <w:rFonts w:asciiTheme="minorHAnsi" w:hAnsiTheme="minorHAnsi"/>
            <w:sz w:val="22"/>
            <w:szCs w:val="22"/>
          </w:rPr>
          <w:t>DigiCorEW</w:t>
        </w:r>
      </w:hyperlink>
      <w:r w:rsidR="00412563" w:rsidRPr="00AC70B7">
        <w:rPr>
          <w:rFonts w:asciiTheme="minorHAnsi" w:hAnsiTheme="minorHAnsi"/>
          <w:sz w:val="22"/>
          <w:szCs w:val="22"/>
        </w:rPr>
        <w:t>, an equal-we</w:t>
      </w:r>
      <w:r w:rsidR="00412563">
        <w:rPr>
          <w:rFonts w:asciiTheme="minorHAnsi" w:hAnsiTheme="minorHAnsi"/>
          <w:sz w:val="22"/>
          <w:szCs w:val="22"/>
        </w:rPr>
        <w:t xml:space="preserve">ighted version of the </w:t>
      </w:r>
      <w:hyperlink r:id="rId9" w:anchor="/indexes/digicor90" w:history="1">
        <w:r w:rsidR="00412563" w:rsidRPr="005B1091">
          <w:rPr>
            <w:rStyle w:val="Hyperlink"/>
            <w:rFonts w:asciiTheme="minorHAnsi" w:hAnsiTheme="minorHAnsi"/>
            <w:sz w:val="22"/>
            <w:szCs w:val="22"/>
          </w:rPr>
          <w:t>DigiCor90</w:t>
        </w:r>
      </w:hyperlink>
      <w:r w:rsidR="000A3152">
        <w:rPr>
          <w:rFonts w:asciiTheme="minorHAnsi" w:hAnsiTheme="minorHAnsi"/>
          <w:sz w:val="22"/>
          <w:szCs w:val="22"/>
        </w:rPr>
        <w:t xml:space="preserve">. Both index </w:t>
      </w:r>
      <w:bookmarkStart w:id="0" w:name="_GoBack"/>
      <w:r w:rsidR="000A3152">
        <w:rPr>
          <w:rFonts w:asciiTheme="minorHAnsi" w:hAnsiTheme="minorHAnsi"/>
          <w:sz w:val="22"/>
          <w:szCs w:val="22"/>
        </w:rPr>
        <w:t>F</w:t>
      </w:r>
      <w:r w:rsidR="00412563">
        <w:rPr>
          <w:rFonts w:asciiTheme="minorHAnsi" w:hAnsiTheme="minorHAnsi"/>
          <w:sz w:val="22"/>
          <w:szCs w:val="22"/>
        </w:rPr>
        <w:t>und</w:t>
      </w:r>
      <w:bookmarkEnd w:id="0"/>
      <w:r w:rsidR="00412563">
        <w:rPr>
          <w:rFonts w:asciiTheme="minorHAnsi" w:hAnsiTheme="minorHAnsi"/>
          <w:sz w:val="22"/>
          <w:szCs w:val="22"/>
        </w:rPr>
        <w:t>s are built to meet the highest fiduciary, security, and compliance standards. For instance, 100% of the assets are held in cold storage vault with a qualified custodian and have management fees comparable to traditional high-risk index funds (e.g. 0.5% for DigiCor90 vs 0.69% for the i</w:t>
      </w:r>
      <w:r w:rsidR="00412563" w:rsidRPr="000F3601">
        <w:rPr>
          <w:rFonts w:asciiTheme="minorHAnsi" w:hAnsiTheme="minorHAnsi"/>
          <w:sz w:val="22"/>
          <w:szCs w:val="22"/>
        </w:rPr>
        <w:t>Shares MSCI Emerging Markets ETF</w:t>
      </w:r>
      <w:r w:rsidR="00412563">
        <w:rPr>
          <w:rFonts w:asciiTheme="minorHAnsi" w:hAnsiTheme="minorHAnsi"/>
          <w:sz w:val="22"/>
          <w:szCs w:val="22"/>
        </w:rPr>
        <w:t xml:space="preserve">). </w:t>
      </w:r>
    </w:p>
    <w:p w:rsidR="006C4870" w:rsidRDefault="000C5DE4" w:rsidP="002F7405">
      <w:pPr>
        <w:jc w:val="both"/>
        <w:rPr>
          <w:rFonts w:asciiTheme="minorHAnsi" w:hAnsiTheme="minorHAnsi"/>
          <w:sz w:val="22"/>
          <w:szCs w:val="22"/>
        </w:rPr>
      </w:pPr>
      <w:r>
        <w:rPr>
          <w:rFonts w:asciiTheme="minorHAnsi" w:hAnsiTheme="minorHAnsi"/>
          <w:noProof/>
          <w:sz w:val="22"/>
          <w:szCs w:val="22"/>
        </w:rPr>
        <w:drawing>
          <wp:anchor distT="0" distB="0" distL="114300" distR="114300" simplePos="0" relativeHeight="251658240" behindDoc="1" locked="0" layoutInCell="1" allowOverlap="1" wp14:anchorId="42B52B36" wp14:editId="57E5DF4B">
            <wp:simplePos x="0" y="0"/>
            <wp:positionH relativeFrom="column">
              <wp:posOffset>2263775</wp:posOffset>
            </wp:positionH>
            <wp:positionV relativeFrom="paragraph">
              <wp:posOffset>187960</wp:posOffset>
            </wp:positionV>
            <wp:extent cx="4355465" cy="2364740"/>
            <wp:effectExtent l="0" t="0" r="635" b="0"/>
            <wp:wrapTight wrapText="bothSides">
              <wp:wrapPolygon edited="0">
                <wp:start x="0" y="0"/>
                <wp:lineTo x="0" y="21461"/>
                <wp:lineTo x="21540" y="21461"/>
                <wp:lineTo x="2154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8-02-25 at 8.22.00 PM.png"/>
                    <pic:cNvPicPr/>
                  </pic:nvPicPr>
                  <pic:blipFill>
                    <a:blip r:embed="rId10">
                      <a:extLst>
                        <a:ext uri="{28A0092B-C50C-407E-A947-70E740481C1C}">
                          <a14:useLocalDpi xmlns:a14="http://schemas.microsoft.com/office/drawing/2010/main" val="0"/>
                        </a:ext>
                      </a:extLst>
                    </a:blip>
                    <a:stretch>
                      <a:fillRect/>
                    </a:stretch>
                  </pic:blipFill>
                  <pic:spPr>
                    <a:xfrm>
                      <a:off x="0" y="0"/>
                      <a:ext cx="4355465" cy="2364740"/>
                    </a:xfrm>
                    <a:prstGeom prst="rect">
                      <a:avLst/>
                    </a:prstGeom>
                  </pic:spPr>
                </pic:pic>
              </a:graphicData>
            </a:graphic>
            <wp14:sizeRelH relativeFrom="page">
              <wp14:pctWidth>0</wp14:pctWidth>
            </wp14:sizeRelH>
            <wp14:sizeRelV relativeFrom="page">
              <wp14:pctHeight>0</wp14:pctHeight>
            </wp14:sizeRelV>
          </wp:anchor>
        </w:drawing>
      </w:r>
    </w:p>
    <w:p w:rsidR="006E1930" w:rsidRDefault="002A5F2A" w:rsidP="00BE0F41">
      <w:pPr>
        <w:jc w:val="both"/>
        <w:rPr>
          <w:rFonts w:asciiTheme="minorHAnsi" w:hAnsiTheme="minorHAnsi"/>
          <w:sz w:val="22"/>
          <w:szCs w:val="22"/>
        </w:rPr>
      </w:pPr>
      <w:r w:rsidRPr="002A5F2A">
        <w:rPr>
          <w:rFonts w:asciiTheme="minorHAnsi" w:hAnsiTheme="minorHAnsi"/>
          <w:noProof/>
          <w:sz w:val="22"/>
          <w:szCs w:val="22"/>
        </w:rPr>
        <mc:AlternateContent>
          <mc:Choice Requires="wps">
            <w:drawing>
              <wp:anchor distT="0" distB="0" distL="114300" distR="114300" simplePos="0" relativeHeight="251660288" behindDoc="1" locked="0" layoutInCell="1" allowOverlap="1" wp14:anchorId="0134F8F7" wp14:editId="02E75671">
                <wp:simplePos x="0" y="0"/>
                <wp:positionH relativeFrom="column">
                  <wp:posOffset>2232025</wp:posOffset>
                </wp:positionH>
                <wp:positionV relativeFrom="paragraph">
                  <wp:posOffset>2419985</wp:posOffset>
                </wp:positionV>
                <wp:extent cx="4421505" cy="895350"/>
                <wp:effectExtent l="0" t="0" r="0" b="0"/>
                <wp:wrapTight wrapText="bothSides">
                  <wp:wrapPolygon edited="0">
                    <wp:start x="0" y="0"/>
                    <wp:lineTo x="0" y="21600"/>
                    <wp:lineTo x="21600" y="21600"/>
                    <wp:lineTo x="21600" y="0"/>
                  </wp:wrapPolygon>
                </wp:wrapTight>
                <wp:docPr id="3" name="Rectangle 2"/>
                <wp:cNvGraphicFramePr/>
                <a:graphic xmlns:a="http://schemas.openxmlformats.org/drawingml/2006/main">
                  <a:graphicData uri="http://schemas.microsoft.com/office/word/2010/wordprocessingShape">
                    <wps:wsp>
                      <wps:cNvSpPr/>
                      <wps:spPr>
                        <a:xfrm>
                          <a:off x="0" y="0"/>
                          <a:ext cx="4421505" cy="895350"/>
                        </a:xfrm>
                        <a:prstGeom prst="rect">
                          <a:avLst/>
                        </a:prstGeom>
                      </wps:spPr>
                      <wps:txbx>
                        <w:txbxContent>
                          <w:p w:rsidR="002A5F2A" w:rsidRPr="002A5F2A" w:rsidRDefault="002A5F2A" w:rsidP="002A5F2A">
                            <w:pPr>
                              <w:pStyle w:val="NormalWeb"/>
                              <w:spacing w:before="0" w:beforeAutospacing="0" w:after="0" w:afterAutospacing="0"/>
                              <w:rPr>
                                <w:rFonts w:ascii="Calibri" w:hAnsi="Calibri" w:cs="Calibri"/>
                                <w:sz w:val="10"/>
                                <w:szCs w:val="10"/>
                              </w:rPr>
                            </w:pPr>
                            <w:r w:rsidRPr="002A5F2A">
                              <w:rPr>
                                <w:rFonts w:ascii="Calibri" w:eastAsia="Arial" w:hAnsi="Calibri" w:cs="Calibri"/>
                                <w:color w:val="000000"/>
                                <w:sz w:val="10"/>
                                <w:szCs w:val="10"/>
                              </w:rPr>
                              <w:t>BACKTESTED/HYPOTHETICAL PERFORMANCE</w:t>
                            </w:r>
                          </w:p>
                          <w:p w:rsidR="002A5F2A" w:rsidRPr="002A5F2A" w:rsidRDefault="002A5F2A" w:rsidP="002A5F2A">
                            <w:pPr>
                              <w:pStyle w:val="NormalWeb"/>
                              <w:spacing w:before="0" w:beforeAutospacing="0" w:after="0" w:afterAutospacing="0"/>
                              <w:rPr>
                                <w:rFonts w:ascii="Calibri" w:hAnsi="Calibri" w:cs="Calibri"/>
                                <w:sz w:val="10"/>
                                <w:szCs w:val="10"/>
                              </w:rPr>
                            </w:pPr>
                            <w:r w:rsidRPr="002A5F2A">
                              <w:rPr>
                                <w:rFonts w:ascii="Calibri" w:eastAsia="Arial" w:hAnsi="Calibri" w:cs="Calibri"/>
                                <w:color w:val="000000"/>
                                <w:sz w:val="10"/>
                                <w:szCs w:val="10"/>
                              </w:rPr>
                              <w:t> </w:t>
                            </w:r>
                          </w:p>
                          <w:p w:rsidR="002A5F2A" w:rsidRPr="002A5F2A" w:rsidRDefault="002A5F2A" w:rsidP="002A5F2A">
                            <w:pPr>
                              <w:pStyle w:val="NormalWeb"/>
                              <w:spacing w:before="0" w:beforeAutospacing="0" w:after="0" w:afterAutospacing="0"/>
                              <w:rPr>
                                <w:rFonts w:ascii="Calibri" w:hAnsi="Calibri" w:cs="Calibri"/>
                                <w:sz w:val="10"/>
                                <w:szCs w:val="10"/>
                              </w:rPr>
                            </w:pPr>
                            <w:r w:rsidRPr="002A5F2A">
                              <w:rPr>
                                <w:rFonts w:ascii="Calibri" w:eastAsia="Arial" w:hAnsi="Calibri" w:cs="Calibri"/>
                                <w:color w:val="000000"/>
                                <w:sz w:val="10"/>
                                <w:szCs w:val="10"/>
                              </w:rPr>
                              <w:t xml:space="preserve">The performance results presented herein are back-tested based on hypothetical performance testing. Back-tested performance does not reflect trading in actual accounts and is provided for informational purposes only to indicate historical performance had the Funds indexes strategy been implemented over the relevant time period. These performance results have inherent limitations as to their relevance and use. One of the limitations is that they are prepared with the benefit of hindsight. In addition, back-tested investing does not involve financial risk, and no hypothetical trading record can completely account for the impact of financial risk in actual trading/investing. Any and all of these factors mean that no representation is being made that the Funds will achieve performance similar to that shown.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0134F8F7" id="Rectangle 2" o:spid="_x0000_s1026" style="position:absolute;left:0;text-align:left;margin-left:175.75pt;margin-top:190.55pt;width:348.15pt;height:7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" filled="f" stroked="f">
                <v:textbox>
                  <w:txbxContent>
                    <w:p w:rsidR="002A5F2A" w:rsidRPr="002A5F2A" w:rsidRDefault="002A5F2A" w:rsidP="002A5F2A">
                      <w:pPr>
                        <w:pStyle w:val="NormalWeb"/>
                        <w:spacing w:before="0" w:beforeAutospacing="0" w:after="0" w:afterAutospacing="0"/>
                        <w:rPr>
                          <w:rFonts w:ascii="Calibri" w:hAnsi="Calibri" w:cs="Calibri"/>
                          <w:sz w:val="10"/>
                          <w:szCs w:val="10"/>
                        </w:rPr>
                      </w:pPr>
                      <w:r w:rsidRPr="002A5F2A">
                        <w:rPr>
                          <w:rFonts w:ascii="Calibri" w:eastAsia="Arial" w:hAnsi="Calibri" w:cs="Calibri"/>
                          <w:color w:val="000000"/>
                          <w:sz w:val="10"/>
                          <w:szCs w:val="10"/>
                        </w:rPr>
                        <w:t>BACKTESTED/HYPOTHETICAL PERFORMANCE</w:t>
                      </w:r>
                    </w:p>
                    <w:p w:rsidR="002A5F2A" w:rsidRPr="002A5F2A" w:rsidRDefault="002A5F2A" w:rsidP="002A5F2A">
                      <w:pPr>
                        <w:pStyle w:val="NormalWeb"/>
                        <w:spacing w:before="0" w:beforeAutospacing="0" w:after="0" w:afterAutospacing="0"/>
                        <w:rPr>
                          <w:rFonts w:ascii="Calibri" w:hAnsi="Calibri" w:cs="Calibri"/>
                          <w:sz w:val="10"/>
                          <w:szCs w:val="10"/>
                        </w:rPr>
                      </w:pPr>
                      <w:r w:rsidRPr="002A5F2A">
                        <w:rPr>
                          <w:rFonts w:ascii="Calibri" w:eastAsia="Arial" w:hAnsi="Calibri" w:cs="Calibri"/>
                          <w:color w:val="000000"/>
                          <w:sz w:val="10"/>
                          <w:szCs w:val="10"/>
                        </w:rPr>
                        <w:t> </w:t>
                      </w:r>
                    </w:p>
                    <w:p w:rsidR="002A5F2A" w:rsidRPr="002A5F2A" w:rsidRDefault="002A5F2A" w:rsidP="002A5F2A">
                      <w:pPr>
                        <w:pStyle w:val="NormalWeb"/>
                        <w:spacing w:before="0" w:beforeAutospacing="0" w:after="0" w:afterAutospacing="0"/>
                        <w:rPr>
                          <w:rFonts w:ascii="Calibri" w:hAnsi="Calibri" w:cs="Calibri"/>
                          <w:sz w:val="10"/>
                          <w:szCs w:val="10"/>
                        </w:rPr>
                      </w:pPr>
                      <w:r w:rsidRPr="002A5F2A">
                        <w:rPr>
                          <w:rFonts w:ascii="Calibri" w:eastAsia="Arial" w:hAnsi="Calibri" w:cs="Calibri"/>
                          <w:color w:val="000000"/>
                          <w:sz w:val="10"/>
                          <w:szCs w:val="10"/>
                        </w:rPr>
                        <w:t xml:space="preserve">The performance results presented herein are back-tested based on hypothetical performance testing. Back-tested performance does not reflect trading in actual accounts and is provided for informational purposes only to indicate historical performance had the Funds indexes strategy been implemented over the relevant time period. These performance results have inherent limitations as to their relevance and use. One of the limitations is that they are prepared with the benefit of hindsight. In addition, back-tested investing does not involve financial risk, and no hypothetical trading record can completely account for the impact of financial risk in actual trading/investing. Any and all of these factors mean that no representation is being made that the Funds will achieve performance similar to that shown. </w:t>
                      </w:r>
                    </w:p>
                  </w:txbxContent>
                </v:textbox>
                <w10:wrap type="tight"/>
              </v:rect>
            </w:pict>
          </mc:Fallback>
        </mc:AlternateContent>
      </w:r>
      <w:r w:rsidR="00F573E0">
        <w:rPr>
          <w:rFonts w:asciiTheme="minorHAnsi" w:hAnsiTheme="minorHAnsi"/>
          <w:sz w:val="22"/>
          <w:szCs w:val="22"/>
        </w:rPr>
        <w:t xml:space="preserve">According to </w:t>
      </w:r>
      <w:proofErr w:type="spellStart"/>
      <w:r w:rsidR="00F573E0">
        <w:rPr>
          <w:rFonts w:asciiTheme="minorHAnsi" w:hAnsiTheme="minorHAnsi"/>
          <w:sz w:val="22"/>
          <w:szCs w:val="22"/>
        </w:rPr>
        <w:t>CoinMarketCap</w:t>
      </w:r>
      <w:proofErr w:type="spellEnd"/>
      <w:r w:rsidR="00F573E0">
        <w:rPr>
          <w:rFonts w:asciiTheme="minorHAnsi" w:hAnsiTheme="minorHAnsi"/>
          <w:sz w:val="22"/>
          <w:szCs w:val="22"/>
        </w:rPr>
        <w:t xml:space="preserve">, the </w:t>
      </w:r>
      <w:r w:rsidR="009561F6">
        <w:rPr>
          <w:rFonts w:asciiTheme="minorHAnsi" w:hAnsiTheme="minorHAnsi"/>
          <w:sz w:val="22"/>
          <w:szCs w:val="22"/>
        </w:rPr>
        <w:t>d</w:t>
      </w:r>
      <w:r w:rsidR="001957CE">
        <w:rPr>
          <w:rFonts w:asciiTheme="minorHAnsi" w:hAnsiTheme="minorHAnsi"/>
          <w:sz w:val="22"/>
          <w:szCs w:val="22"/>
        </w:rPr>
        <w:t>igital</w:t>
      </w:r>
      <w:r w:rsidR="00AC12DD">
        <w:rPr>
          <w:rFonts w:asciiTheme="minorHAnsi" w:hAnsiTheme="minorHAnsi"/>
          <w:sz w:val="22"/>
          <w:szCs w:val="22"/>
        </w:rPr>
        <w:t xml:space="preserve"> </w:t>
      </w:r>
      <w:r w:rsidR="001957CE">
        <w:rPr>
          <w:rFonts w:asciiTheme="minorHAnsi" w:hAnsiTheme="minorHAnsi"/>
          <w:sz w:val="22"/>
          <w:szCs w:val="22"/>
        </w:rPr>
        <w:t xml:space="preserve">assets </w:t>
      </w:r>
      <w:r w:rsidR="00F56477">
        <w:rPr>
          <w:rFonts w:asciiTheme="minorHAnsi" w:hAnsiTheme="minorHAnsi"/>
          <w:sz w:val="22"/>
          <w:szCs w:val="22"/>
        </w:rPr>
        <w:t xml:space="preserve">market </w:t>
      </w:r>
      <w:r w:rsidR="006D375F">
        <w:rPr>
          <w:rFonts w:asciiTheme="minorHAnsi" w:hAnsiTheme="minorHAnsi"/>
          <w:sz w:val="22"/>
          <w:szCs w:val="22"/>
        </w:rPr>
        <w:t>expanded</w:t>
      </w:r>
      <w:r w:rsidR="00F56477">
        <w:rPr>
          <w:rFonts w:asciiTheme="minorHAnsi" w:hAnsiTheme="minorHAnsi"/>
          <w:sz w:val="22"/>
          <w:szCs w:val="22"/>
        </w:rPr>
        <w:t xml:space="preserve"> by </w:t>
      </w:r>
      <w:r w:rsidR="00F573E0">
        <w:rPr>
          <w:rFonts w:asciiTheme="minorHAnsi" w:hAnsiTheme="minorHAnsi"/>
          <w:sz w:val="22"/>
          <w:szCs w:val="22"/>
        </w:rPr>
        <w:t xml:space="preserve">over 30x </w:t>
      </w:r>
      <w:r w:rsidR="007773FB">
        <w:rPr>
          <w:rFonts w:asciiTheme="minorHAnsi" w:hAnsiTheme="minorHAnsi"/>
          <w:sz w:val="22"/>
          <w:szCs w:val="22"/>
        </w:rPr>
        <w:t xml:space="preserve">in </w:t>
      </w:r>
      <w:r w:rsidR="007773FB" w:rsidRPr="002A5F2A">
        <w:rPr>
          <w:rFonts w:asciiTheme="minorHAnsi" w:hAnsiTheme="minorHAnsi"/>
          <w:sz w:val="22"/>
          <w:szCs w:val="22"/>
        </w:rPr>
        <w:t xml:space="preserve">2017 </w:t>
      </w:r>
      <w:r w:rsidR="006D375F" w:rsidRPr="002A5F2A">
        <w:rPr>
          <w:rFonts w:asciiTheme="minorHAnsi" w:hAnsiTheme="minorHAnsi"/>
          <w:sz w:val="22"/>
          <w:szCs w:val="22"/>
        </w:rPr>
        <w:t>and</w:t>
      </w:r>
      <w:r w:rsidR="00FD1366" w:rsidRPr="002A5F2A">
        <w:rPr>
          <w:rFonts w:asciiTheme="minorHAnsi" w:hAnsiTheme="minorHAnsi"/>
          <w:sz w:val="22"/>
          <w:szCs w:val="22"/>
        </w:rPr>
        <w:t xml:space="preserve"> added </w:t>
      </w:r>
      <w:r w:rsidR="00F573E0" w:rsidRPr="002A5F2A">
        <w:rPr>
          <w:rFonts w:asciiTheme="minorHAnsi" w:hAnsiTheme="minorHAnsi"/>
          <w:sz w:val="22"/>
          <w:szCs w:val="22"/>
        </w:rPr>
        <w:t xml:space="preserve">as many as </w:t>
      </w:r>
      <w:r w:rsidR="00FD1366" w:rsidRPr="002A5F2A">
        <w:rPr>
          <w:rFonts w:asciiTheme="minorHAnsi" w:hAnsiTheme="minorHAnsi"/>
          <w:sz w:val="22"/>
          <w:szCs w:val="22"/>
        </w:rPr>
        <w:t>300 new cryptocurrencies</w:t>
      </w:r>
      <w:r w:rsidR="00501DD2" w:rsidRPr="002A5F2A">
        <w:rPr>
          <w:rFonts w:asciiTheme="minorHAnsi" w:hAnsiTheme="minorHAnsi"/>
          <w:sz w:val="22"/>
          <w:szCs w:val="22"/>
        </w:rPr>
        <w:t>.</w:t>
      </w:r>
      <w:r w:rsidR="000B48ED" w:rsidRPr="002A5F2A">
        <w:rPr>
          <w:rFonts w:asciiTheme="minorHAnsi" w:hAnsiTheme="minorHAnsi"/>
          <w:sz w:val="22"/>
          <w:szCs w:val="22"/>
        </w:rPr>
        <w:t xml:space="preserve"> </w:t>
      </w:r>
      <w:r w:rsidR="00AC12DD" w:rsidRPr="002A5F2A">
        <w:rPr>
          <w:rFonts w:asciiTheme="minorHAnsi" w:hAnsiTheme="minorHAnsi"/>
          <w:sz w:val="22"/>
          <w:szCs w:val="22"/>
        </w:rPr>
        <w:t xml:space="preserve">Investors understand </w:t>
      </w:r>
      <w:r w:rsidR="004D43F2" w:rsidRPr="002A5F2A">
        <w:rPr>
          <w:rFonts w:asciiTheme="minorHAnsi" w:hAnsiTheme="minorHAnsi"/>
          <w:sz w:val="22"/>
          <w:szCs w:val="22"/>
        </w:rPr>
        <w:t xml:space="preserve">the </w:t>
      </w:r>
      <w:r w:rsidR="00AE15EA" w:rsidRPr="002A5F2A">
        <w:rPr>
          <w:rFonts w:asciiTheme="minorHAnsi" w:hAnsiTheme="minorHAnsi"/>
          <w:sz w:val="22"/>
          <w:szCs w:val="22"/>
        </w:rPr>
        <w:t xml:space="preserve">large </w:t>
      </w:r>
      <w:r w:rsidR="004D43F2" w:rsidRPr="002A5F2A">
        <w:rPr>
          <w:rFonts w:asciiTheme="minorHAnsi" w:hAnsiTheme="minorHAnsi"/>
          <w:sz w:val="22"/>
          <w:szCs w:val="22"/>
        </w:rPr>
        <w:t xml:space="preserve">disruptive potential from blockchain technology </w:t>
      </w:r>
      <w:r w:rsidR="00AE15EA" w:rsidRPr="002A5F2A">
        <w:rPr>
          <w:rFonts w:asciiTheme="minorHAnsi" w:hAnsiTheme="minorHAnsi"/>
          <w:sz w:val="22"/>
          <w:szCs w:val="22"/>
        </w:rPr>
        <w:t>and how it could translate into higher prices</w:t>
      </w:r>
      <w:r w:rsidR="00653339" w:rsidRPr="002A5F2A">
        <w:rPr>
          <w:rFonts w:asciiTheme="minorHAnsi" w:hAnsiTheme="minorHAnsi"/>
          <w:sz w:val="22"/>
          <w:szCs w:val="22"/>
        </w:rPr>
        <w:t xml:space="preserve"> </w:t>
      </w:r>
      <w:r w:rsidR="00C70533">
        <w:rPr>
          <w:rFonts w:asciiTheme="minorHAnsi" w:hAnsiTheme="minorHAnsi"/>
          <w:sz w:val="22"/>
          <w:szCs w:val="22"/>
        </w:rPr>
        <w:t xml:space="preserve">for digital assets </w:t>
      </w:r>
      <w:r w:rsidR="00653339" w:rsidRPr="002A5F2A">
        <w:rPr>
          <w:rFonts w:asciiTheme="minorHAnsi" w:hAnsiTheme="minorHAnsi"/>
          <w:sz w:val="22"/>
          <w:szCs w:val="22"/>
        </w:rPr>
        <w:t>in the long run</w:t>
      </w:r>
      <w:r w:rsidR="00AE15EA" w:rsidRPr="002A5F2A">
        <w:rPr>
          <w:rFonts w:asciiTheme="minorHAnsi" w:hAnsiTheme="minorHAnsi"/>
          <w:sz w:val="22"/>
          <w:szCs w:val="22"/>
        </w:rPr>
        <w:t xml:space="preserve">. However, accessing </w:t>
      </w:r>
      <w:r w:rsidR="009A041D" w:rsidRPr="002A5F2A">
        <w:rPr>
          <w:rFonts w:asciiTheme="minorHAnsi" w:hAnsiTheme="minorHAnsi"/>
          <w:sz w:val="22"/>
          <w:szCs w:val="22"/>
        </w:rPr>
        <w:t xml:space="preserve">this investment opportunity </w:t>
      </w:r>
      <w:r w:rsidR="00F573E0" w:rsidRPr="002A5F2A">
        <w:rPr>
          <w:rFonts w:asciiTheme="minorHAnsi" w:hAnsiTheme="minorHAnsi"/>
          <w:sz w:val="22"/>
          <w:szCs w:val="22"/>
        </w:rPr>
        <w:t xml:space="preserve">remains </w:t>
      </w:r>
      <w:r w:rsidR="00D9155F" w:rsidRPr="002A5F2A">
        <w:rPr>
          <w:rFonts w:asciiTheme="minorHAnsi" w:hAnsiTheme="minorHAnsi"/>
          <w:sz w:val="22"/>
          <w:szCs w:val="22"/>
        </w:rPr>
        <w:t xml:space="preserve">difficult, </w:t>
      </w:r>
      <w:r w:rsidR="00F06C29" w:rsidRPr="002A5F2A">
        <w:rPr>
          <w:rFonts w:asciiTheme="minorHAnsi" w:hAnsiTheme="minorHAnsi"/>
          <w:sz w:val="22"/>
          <w:szCs w:val="22"/>
        </w:rPr>
        <w:t>risky</w:t>
      </w:r>
      <w:r w:rsidR="00D9155F" w:rsidRPr="002A5F2A">
        <w:rPr>
          <w:rFonts w:asciiTheme="minorHAnsi" w:hAnsiTheme="minorHAnsi"/>
          <w:sz w:val="22"/>
          <w:szCs w:val="22"/>
        </w:rPr>
        <w:t>, and expensive.</w:t>
      </w:r>
      <w:r w:rsidR="00E4527C" w:rsidRPr="002A5F2A">
        <w:rPr>
          <w:rFonts w:asciiTheme="minorHAnsi" w:hAnsiTheme="minorHAnsi"/>
          <w:sz w:val="22"/>
          <w:szCs w:val="22"/>
        </w:rPr>
        <w:t xml:space="preserve"> </w:t>
      </w:r>
      <w:r w:rsidR="008504CB" w:rsidRPr="002A5F2A">
        <w:rPr>
          <w:rFonts w:asciiTheme="minorHAnsi" w:hAnsiTheme="minorHAnsi"/>
          <w:sz w:val="22"/>
          <w:szCs w:val="22"/>
        </w:rPr>
        <w:t>Those willing to invest despite</w:t>
      </w:r>
      <w:r w:rsidR="008504CB">
        <w:rPr>
          <w:rFonts w:asciiTheme="minorHAnsi" w:hAnsiTheme="minorHAnsi"/>
          <w:sz w:val="22"/>
          <w:szCs w:val="22"/>
        </w:rPr>
        <w:t xml:space="preserve"> these challenges have</w:t>
      </w:r>
      <w:r w:rsidR="0045370F">
        <w:rPr>
          <w:rFonts w:asciiTheme="minorHAnsi" w:hAnsiTheme="minorHAnsi"/>
          <w:sz w:val="22"/>
          <w:szCs w:val="22"/>
        </w:rPr>
        <w:t xml:space="preserve"> to manage multiple cryptocurrency </w:t>
      </w:r>
      <w:r>
        <w:rPr>
          <w:rFonts w:asciiTheme="minorHAnsi" w:hAnsiTheme="minorHAnsi"/>
          <w:sz w:val="22"/>
          <w:szCs w:val="22"/>
        </w:rPr>
        <w:t>wallets</w:t>
      </w:r>
      <w:r w:rsidR="007773FB">
        <w:rPr>
          <w:rFonts w:asciiTheme="minorHAnsi" w:hAnsiTheme="minorHAnsi"/>
          <w:sz w:val="22"/>
          <w:szCs w:val="22"/>
        </w:rPr>
        <w:t xml:space="preserve">, </w:t>
      </w:r>
      <w:r w:rsidR="00330C1E">
        <w:rPr>
          <w:rFonts w:asciiTheme="minorHAnsi" w:hAnsiTheme="minorHAnsi"/>
          <w:sz w:val="22"/>
          <w:szCs w:val="22"/>
        </w:rPr>
        <w:t>keep</w:t>
      </w:r>
      <w:r w:rsidR="0045370F">
        <w:rPr>
          <w:rFonts w:asciiTheme="minorHAnsi" w:hAnsiTheme="minorHAnsi"/>
          <w:sz w:val="22"/>
          <w:szCs w:val="22"/>
        </w:rPr>
        <w:t xml:space="preserve"> their coins </w:t>
      </w:r>
      <w:r w:rsidR="005E72F0">
        <w:rPr>
          <w:rFonts w:asciiTheme="minorHAnsi" w:hAnsiTheme="minorHAnsi"/>
          <w:sz w:val="22"/>
          <w:szCs w:val="22"/>
        </w:rPr>
        <w:t>secure</w:t>
      </w:r>
      <w:r w:rsidR="0045370F">
        <w:rPr>
          <w:rFonts w:asciiTheme="minorHAnsi" w:hAnsiTheme="minorHAnsi"/>
          <w:sz w:val="22"/>
          <w:szCs w:val="22"/>
        </w:rPr>
        <w:t xml:space="preserve">, </w:t>
      </w:r>
      <w:r w:rsidR="00BE0F41">
        <w:rPr>
          <w:rFonts w:asciiTheme="minorHAnsi" w:hAnsiTheme="minorHAnsi"/>
          <w:sz w:val="22"/>
          <w:szCs w:val="22"/>
        </w:rPr>
        <w:t>find liquidity in a fragmented market, and deal with high trading fees</w:t>
      </w:r>
      <w:r w:rsidR="0045370F">
        <w:rPr>
          <w:rFonts w:asciiTheme="minorHAnsi" w:hAnsiTheme="minorHAnsi"/>
          <w:sz w:val="22"/>
          <w:szCs w:val="22"/>
        </w:rPr>
        <w:t>.</w:t>
      </w:r>
      <w:r w:rsidR="004644DC">
        <w:rPr>
          <w:rFonts w:asciiTheme="minorHAnsi" w:hAnsiTheme="minorHAnsi"/>
          <w:sz w:val="22"/>
          <w:szCs w:val="22"/>
        </w:rPr>
        <w:t xml:space="preserve"> </w:t>
      </w:r>
      <w:r w:rsidR="00330C1E" w:rsidRPr="00330C1E">
        <w:rPr>
          <w:rFonts w:asciiTheme="minorHAnsi" w:hAnsiTheme="minorHAnsi"/>
          <w:sz w:val="22"/>
          <w:szCs w:val="22"/>
        </w:rPr>
        <w:t>Critically, for most investors the expertise required to perform due diligence is technologically comple</w:t>
      </w:r>
      <w:r w:rsidR="00330C1E">
        <w:rPr>
          <w:rFonts w:asciiTheme="minorHAnsi" w:hAnsiTheme="minorHAnsi"/>
          <w:sz w:val="22"/>
          <w:szCs w:val="22"/>
        </w:rPr>
        <w:t>x, expensive, and time consuming</w:t>
      </w:r>
      <w:r w:rsidR="002F7BEB">
        <w:rPr>
          <w:rFonts w:asciiTheme="minorHAnsi" w:hAnsiTheme="minorHAnsi"/>
          <w:sz w:val="22"/>
          <w:szCs w:val="22"/>
        </w:rPr>
        <w:t>.</w:t>
      </w:r>
    </w:p>
    <w:p w:rsidR="006E1930" w:rsidRDefault="006E1930" w:rsidP="002F7405">
      <w:pPr>
        <w:jc w:val="both"/>
        <w:rPr>
          <w:rFonts w:asciiTheme="minorHAnsi" w:hAnsiTheme="minorHAnsi"/>
          <w:sz w:val="22"/>
          <w:szCs w:val="22"/>
        </w:rPr>
      </w:pPr>
    </w:p>
    <w:p w:rsidR="00412563" w:rsidRDefault="00412563" w:rsidP="00412563">
      <w:pPr>
        <w:jc w:val="both"/>
        <w:rPr>
          <w:rFonts w:asciiTheme="minorHAnsi" w:hAnsiTheme="minorHAnsi"/>
          <w:sz w:val="22"/>
          <w:szCs w:val="22"/>
        </w:rPr>
      </w:pPr>
      <w:r>
        <w:rPr>
          <w:rFonts w:asciiTheme="minorHAnsi" w:hAnsiTheme="minorHAnsi"/>
          <w:sz w:val="22"/>
          <w:szCs w:val="22"/>
        </w:rPr>
        <w:t>DigiCor addresses these problems by providing two simple, se</w:t>
      </w:r>
      <w:r w:rsidR="000A3152">
        <w:rPr>
          <w:rFonts w:asciiTheme="minorHAnsi" w:hAnsiTheme="minorHAnsi"/>
          <w:sz w:val="22"/>
          <w:szCs w:val="22"/>
        </w:rPr>
        <w:t>cure, and cost-efficient index F</w:t>
      </w:r>
      <w:r>
        <w:rPr>
          <w:rFonts w:asciiTheme="minorHAnsi" w:hAnsiTheme="minorHAnsi"/>
          <w:sz w:val="22"/>
          <w:szCs w:val="22"/>
        </w:rPr>
        <w:t xml:space="preserve">unds that facilitate diversified broad market exposure to digital assets without the need of complex due diligence. The investment vehicles are built with risk management in mind and all holdings are deposited with a qualified custodian in </w:t>
      </w:r>
      <w:r w:rsidRPr="00487077">
        <w:rPr>
          <w:rFonts w:asciiTheme="minorHAnsi" w:hAnsiTheme="minorHAnsi"/>
          <w:sz w:val="22"/>
          <w:szCs w:val="22"/>
        </w:rPr>
        <w:t>cold storage</w:t>
      </w:r>
      <w:r>
        <w:rPr>
          <w:rFonts w:asciiTheme="minorHAnsi" w:hAnsiTheme="minorHAnsi"/>
          <w:sz w:val="22"/>
          <w:szCs w:val="22"/>
        </w:rPr>
        <w:t xml:space="preserve"> vaults, and subject to yearly audits. In addition, all investors receive monthly performance updates and the necessary tax documentation at the end of the year</w:t>
      </w:r>
      <w:r w:rsidRPr="00487077">
        <w:rPr>
          <w:rFonts w:asciiTheme="minorHAnsi" w:hAnsiTheme="minorHAnsi"/>
          <w:sz w:val="22"/>
          <w:szCs w:val="22"/>
        </w:rPr>
        <w:t>.</w:t>
      </w:r>
      <w:r w:rsidR="000A3152">
        <w:rPr>
          <w:rFonts w:asciiTheme="minorHAnsi" w:hAnsiTheme="minorHAnsi"/>
          <w:sz w:val="22"/>
          <w:szCs w:val="22"/>
        </w:rPr>
        <w:t xml:space="preserve"> The F</w:t>
      </w:r>
      <w:r>
        <w:rPr>
          <w:rFonts w:asciiTheme="minorHAnsi" w:hAnsiTheme="minorHAnsi"/>
          <w:sz w:val="22"/>
          <w:szCs w:val="22"/>
        </w:rPr>
        <w:t>unds provide monthly liquidity at low management fees between 0.5% and 0.6%</w:t>
      </w:r>
      <w:r>
        <w:rPr>
          <w:rFonts w:asciiTheme="minorHAnsi" w:hAnsiTheme="minorHAnsi" w:cs="Calibri"/>
          <w:color w:val="000000"/>
          <w:sz w:val="22"/>
          <w:szCs w:val="22"/>
        </w:rPr>
        <w:t>, which decrease with larger investment amounts</w:t>
      </w:r>
      <w:r w:rsidRPr="00B14B8D">
        <w:rPr>
          <w:rFonts w:asciiTheme="minorHAnsi" w:hAnsiTheme="minorHAnsi"/>
          <w:sz w:val="22"/>
          <w:szCs w:val="22"/>
        </w:rPr>
        <w:t>.</w:t>
      </w:r>
      <w:r>
        <w:rPr>
          <w:rFonts w:asciiTheme="minorHAnsi" w:hAnsiTheme="minorHAnsi"/>
          <w:sz w:val="22"/>
          <w:szCs w:val="22"/>
        </w:rPr>
        <w:t xml:space="preserve"> Furthermore, in their ambition to create the highest quality indexes in the digital assets space, the company is in the process of implementing the IOSCO principles for financial benchmarks.</w:t>
      </w:r>
    </w:p>
    <w:p w:rsidR="007732EF" w:rsidRDefault="007732EF" w:rsidP="002F7405">
      <w:pPr>
        <w:jc w:val="both"/>
        <w:rPr>
          <w:rFonts w:asciiTheme="minorHAnsi" w:hAnsiTheme="minorHAnsi"/>
          <w:sz w:val="22"/>
          <w:szCs w:val="22"/>
        </w:rPr>
      </w:pPr>
    </w:p>
    <w:p w:rsidR="00330C1E" w:rsidRDefault="00412563" w:rsidP="00143493">
      <w:pPr>
        <w:jc w:val="both"/>
        <w:rPr>
          <w:rFonts w:asciiTheme="minorHAnsi" w:hAnsiTheme="minorHAnsi"/>
          <w:sz w:val="22"/>
          <w:szCs w:val="22"/>
        </w:rPr>
      </w:pPr>
      <w:r>
        <w:rPr>
          <w:rFonts w:asciiTheme="minorHAnsi" w:hAnsiTheme="minorHAnsi"/>
          <w:sz w:val="22"/>
          <w:szCs w:val="22"/>
        </w:rPr>
        <w:t>The</w:t>
      </w:r>
      <w:r w:rsidR="007732EF">
        <w:rPr>
          <w:rFonts w:asciiTheme="minorHAnsi" w:hAnsiTheme="minorHAnsi"/>
          <w:sz w:val="22"/>
          <w:szCs w:val="22"/>
        </w:rPr>
        <w:t xml:space="preserve"> team </w:t>
      </w:r>
      <w:r w:rsidR="0049026D">
        <w:rPr>
          <w:rFonts w:asciiTheme="minorHAnsi" w:hAnsiTheme="minorHAnsi"/>
          <w:sz w:val="22"/>
          <w:szCs w:val="22"/>
        </w:rPr>
        <w:t>is made up of</w:t>
      </w:r>
      <w:r w:rsidR="00330C1E">
        <w:rPr>
          <w:rFonts w:asciiTheme="minorHAnsi" w:hAnsiTheme="minorHAnsi"/>
          <w:sz w:val="22"/>
          <w:szCs w:val="22"/>
        </w:rPr>
        <w:t>:</w:t>
      </w:r>
    </w:p>
    <w:p w:rsidR="00A841A6" w:rsidRPr="00A841A6" w:rsidRDefault="00A841A6" w:rsidP="00A841A6">
      <w:pPr>
        <w:pStyle w:val="ListParagraph"/>
        <w:numPr>
          <w:ilvl w:val="0"/>
          <w:numId w:val="2"/>
        </w:numPr>
        <w:rPr>
          <w:sz w:val="22"/>
          <w:szCs w:val="22"/>
        </w:rPr>
      </w:pPr>
      <w:r w:rsidRPr="00A841A6">
        <w:rPr>
          <w:b/>
          <w:sz w:val="22"/>
          <w:szCs w:val="22"/>
        </w:rPr>
        <w:lastRenderedPageBreak/>
        <w:t xml:space="preserve">Matias Antonio, CEO: </w:t>
      </w:r>
      <w:r w:rsidRPr="00A841A6">
        <w:rPr>
          <w:sz w:val="22"/>
          <w:szCs w:val="22"/>
        </w:rPr>
        <w:t>is a mathematician and macroeconomist with 7 years of experience in buy-side investing and macroeconomic policy. Matias has been involved in the development and deployment of tactical and strategic asset allocation models to manage $25bn in AUM and the successful reconstruction and management of a $2bn emerging market equities portfolio at the World Bank Pension Fund. In addition, Matias has been engaged in the construction and deployment of various World Bank and International Monetary Fund macroeconomic stabilization programs.</w:t>
      </w:r>
    </w:p>
    <w:p w:rsidR="00A841A6" w:rsidRPr="00A841A6" w:rsidRDefault="00A841A6" w:rsidP="00A841A6">
      <w:pPr>
        <w:pStyle w:val="ListParagraph"/>
        <w:numPr>
          <w:ilvl w:val="0"/>
          <w:numId w:val="2"/>
        </w:numPr>
        <w:rPr>
          <w:sz w:val="22"/>
          <w:szCs w:val="22"/>
        </w:rPr>
      </w:pPr>
      <w:r w:rsidRPr="00A841A6">
        <w:rPr>
          <w:b/>
          <w:sz w:val="22"/>
          <w:szCs w:val="22"/>
        </w:rPr>
        <w:t xml:space="preserve">Kamran </w:t>
      </w:r>
      <w:proofErr w:type="spellStart"/>
      <w:r w:rsidRPr="00A841A6">
        <w:rPr>
          <w:b/>
          <w:sz w:val="22"/>
          <w:szCs w:val="22"/>
        </w:rPr>
        <w:t>Jiwani</w:t>
      </w:r>
      <w:proofErr w:type="spellEnd"/>
      <w:r w:rsidRPr="00A841A6">
        <w:rPr>
          <w:b/>
          <w:sz w:val="22"/>
          <w:szCs w:val="22"/>
        </w:rPr>
        <w:t>, CTO:</w:t>
      </w:r>
      <w:r w:rsidRPr="00A841A6">
        <w:rPr>
          <w:sz w:val="22"/>
          <w:szCs w:val="22"/>
        </w:rPr>
        <w:t xml:space="preserve"> has over 12 years of experience in enterprise-grade software development in a wide-range of areas including finance and human resources. During his career, Kamran has been involved as a software developer and technical lead in numerous implementation, conversion and upgrade projects. He has worked for corporate clients such as The Depository Trust &amp; Clearing Corporation, the World Bank, Citigroup, Aetna, Blue Cross Blue Shield and the Navy Federal. Additionally, Kamran has extensive knowledge of numerous open source and proprietary technologies and his skill set includes: machine learning tools (including predictive analysis, supervised, and unsupervised learning algorithms), big data, full stack development, and PeopleSoft.</w:t>
      </w:r>
    </w:p>
    <w:p w:rsidR="00A841A6" w:rsidRPr="00A841A6" w:rsidRDefault="00A841A6" w:rsidP="00A841A6">
      <w:pPr>
        <w:pStyle w:val="ListParagraph"/>
        <w:numPr>
          <w:ilvl w:val="0"/>
          <w:numId w:val="2"/>
        </w:numPr>
        <w:rPr>
          <w:sz w:val="22"/>
          <w:szCs w:val="22"/>
        </w:rPr>
      </w:pPr>
      <w:r w:rsidRPr="00A841A6">
        <w:rPr>
          <w:b/>
          <w:sz w:val="22"/>
          <w:szCs w:val="22"/>
        </w:rPr>
        <w:t>Solomon Stavis, CFO:</w:t>
      </w:r>
      <w:r w:rsidRPr="00A841A6">
        <w:rPr>
          <w:sz w:val="22"/>
          <w:szCs w:val="22"/>
        </w:rPr>
        <w:t xml:space="preserve"> has 8 years of experience in international trade, financial regulation, and macroeconomic policy. At the International Finance Corporation, Solomon assessed the export and import markets of country economies and developed reform initiatives based on good international practices. Prior to the IFC, Solomon worked at World Bank where he engaged in policy dialogue with local authorities to harmonize financial sector regulations across ASEAN countries.</w:t>
      </w:r>
    </w:p>
    <w:p w:rsidR="00A841A6" w:rsidRDefault="00A841A6" w:rsidP="00143493">
      <w:pPr>
        <w:jc w:val="both"/>
        <w:rPr>
          <w:rFonts w:asciiTheme="minorHAnsi" w:hAnsiTheme="minorHAnsi"/>
          <w:sz w:val="22"/>
          <w:szCs w:val="22"/>
        </w:rPr>
      </w:pPr>
    </w:p>
    <w:p w:rsidR="004D43F2" w:rsidRDefault="00412563" w:rsidP="00143493">
      <w:pPr>
        <w:jc w:val="both"/>
        <w:rPr>
          <w:rFonts w:asciiTheme="minorHAnsi" w:hAnsiTheme="minorHAnsi"/>
          <w:sz w:val="22"/>
          <w:szCs w:val="22"/>
        </w:rPr>
      </w:pPr>
      <w:r>
        <w:rPr>
          <w:rFonts w:asciiTheme="minorHAnsi" w:hAnsiTheme="minorHAnsi"/>
          <w:sz w:val="22"/>
          <w:szCs w:val="22"/>
        </w:rPr>
        <w:t>Their</w:t>
      </w:r>
      <w:r w:rsidR="007B1B4D">
        <w:rPr>
          <w:rFonts w:asciiTheme="minorHAnsi" w:hAnsiTheme="minorHAnsi"/>
          <w:sz w:val="22"/>
          <w:szCs w:val="22"/>
        </w:rPr>
        <w:t xml:space="preserve"> combined knowledge enables them</w:t>
      </w:r>
      <w:r w:rsidR="00767296" w:rsidRPr="002A5F2A">
        <w:rPr>
          <w:rFonts w:asciiTheme="minorHAnsi" w:hAnsiTheme="minorHAnsi"/>
          <w:sz w:val="22"/>
          <w:szCs w:val="22"/>
        </w:rPr>
        <w:t xml:space="preserve"> to understand the technology behind blockchain and build product</w:t>
      </w:r>
      <w:r w:rsidR="002A5F2A" w:rsidRPr="002A5F2A">
        <w:rPr>
          <w:rFonts w:asciiTheme="minorHAnsi" w:hAnsiTheme="minorHAnsi"/>
          <w:sz w:val="22"/>
          <w:szCs w:val="22"/>
        </w:rPr>
        <w:t>s</w:t>
      </w:r>
      <w:r w:rsidR="00767296" w:rsidRPr="002A5F2A">
        <w:rPr>
          <w:rFonts w:asciiTheme="minorHAnsi" w:hAnsiTheme="minorHAnsi"/>
          <w:sz w:val="22"/>
          <w:szCs w:val="22"/>
        </w:rPr>
        <w:t xml:space="preserve"> which meets the needs of </w:t>
      </w:r>
      <w:r w:rsidR="002A5F2A" w:rsidRPr="002A5F2A">
        <w:rPr>
          <w:rFonts w:asciiTheme="minorHAnsi" w:hAnsiTheme="minorHAnsi"/>
          <w:sz w:val="22"/>
          <w:szCs w:val="22"/>
        </w:rPr>
        <w:t>the most sophisticated asset allocators</w:t>
      </w:r>
      <w:r w:rsidR="00D4139D" w:rsidRPr="002A5F2A">
        <w:rPr>
          <w:rFonts w:asciiTheme="minorHAnsi" w:hAnsiTheme="minorHAnsi"/>
          <w:sz w:val="22"/>
          <w:szCs w:val="22"/>
        </w:rPr>
        <w:t>.</w:t>
      </w:r>
    </w:p>
    <w:p w:rsidR="004F59EF" w:rsidRDefault="004F59EF" w:rsidP="004F59EF">
      <w:pPr>
        <w:jc w:val="both"/>
        <w:rPr>
          <w:rFonts w:asciiTheme="minorHAnsi" w:hAnsiTheme="minorHAnsi"/>
          <w:sz w:val="22"/>
          <w:szCs w:val="22"/>
        </w:rPr>
      </w:pPr>
    </w:p>
    <w:p w:rsidR="004F59EF" w:rsidRDefault="004F59EF" w:rsidP="004F59EF">
      <w:pPr>
        <w:jc w:val="both"/>
        <w:rPr>
          <w:rFonts w:asciiTheme="minorHAnsi" w:hAnsiTheme="minorHAnsi"/>
          <w:sz w:val="22"/>
          <w:szCs w:val="22"/>
        </w:rPr>
      </w:pPr>
      <w:r>
        <w:rPr>
          <w:rFonts w:asciiTheme="minorHAnsi" w:hAnsiTheme="minorHAnsi"/>
          <w:sz w:val="22"/>
          <w:szCs w:val="22"/>
        </w:rPr>
        <w:t>In addition, a</w:t>
      </w:r>
      <w:r w:rsidRPr="00D4139D">
        <w:rPr>
          <w:rFonts w:asciiTheme="minorHAnsi" w:hAnsiTheme="minorHAnsi"/>
          <w:sz w:val="22"/>
          <w:szCs w:val="22"/>
        </w:rPr>
        <w:t xml:space="preserve">s of March 1st, Marc </w:t>
      </w:r>
      <w:proofErr w:type="spellStart"/>
      <w:r w:rsidRPr="00D4139D">
        <w:rPr>
          <w:rFonts w:asciiTheme="minorHAnsi" w:hAnsiTheme="minorHAnsi"/>
          <w:sz w:val="22"/>
          <w:szCs w:val="22"/>
        </w:rPr>
        <w:t>Tabah</w:t>
      </w:r>
      <w:proofErr w:type="spellEnd"/>
      <w:r w:rsidRPr="00D4139D">
        <w:rPr>
          <w:rFonts w:asciiTheme="minorHAnsi" w:hAnsiTheme="minorHAnsi"/>
          <w:sz w:val="22"/>
          <w:szCs w:val="22"/>
        </w:rPr>
        <w:t xml:space="preserve"> will join the advisory board of DigiCor. As </w:t>
      </w:r>
      <w:r w:rsidR="00412563">
        <w:rPr>
          <w:rFonts w:asciiTheme="minorHAnsi" w:hAnsiTheme="minorHAnsi"/>
          <w:sz w:val="22"/>
          <w:szCs w:val="22"/>
        </w:rPr>
        <w:t>the company’s</w:t>
      </w:r>
      <w:r w:rsidRPr="00D4139D">
        <w:rPr>
          <w:rFonts w:asciiTheme="minorHAnsi" w:hAnsiTheme="minorHAnsi"/>
          <w:sz w:val="22"/>
          <w:szCs w:val="22"/>
        </w:rPr>
        <w:t xml:space="preserve"> first advisor, Marc brings over 30 years of experience at three of the most prestigious firms in the financial services industry: Lazard, Credit Suisse and Morgan Stanley. His experiences in distribution, client relationship management and capital raising will</w:t>
      </w:r>
      <w:r>
        <w:rPr>
          <w:rFonts w:asciiTheme="minorHAnsi" w:hAnsiTheme="minorHAnsi"/>
          <w:sz w:val="22"/>
          <w:szCs w:val="22"/>
        </w:rPr>
        <w:t xml:space="preserve"> be particularly valuable to us. </w:t>
      </w:r>
    </w:p>
    <w:p w:rsidR="004F59EF" w:rsidRPr="00F3214A" w:rsidRDefault="004F59EF" w:rsidP="00681F52">
      <w:pPr>
        <w:jc w:val="both"/>
        <w:rPr>
          <w:rFonts w:asciiTheme="minorHAnsi" w:hAnsiTheme="minorHAnsi" w:cstheme="minorHAnsi"/>
          <w:sz w:val="22"/>
          <w:szCs w:val="22"/>
        </w:rPr>
      </w:pPr>
    </w:p>
    <w:p w:rsidR="00412563" w:rsidRPr="00F3214A" w:rsidRDefault="00412563" w:rsidP="00412563">
      <w:pPr>
        <w:jc w:val="both"/>
        <w:rPr>
          <w:rFonts w:asciiTheme="minorHAnsi" w:hAnsiTheme="minorHAnsi" w:cstheme="minorHAnsi"/>
          <w:sz w:val="22"/>
          <w:szCs w:val="22"/>
        </w:rPr>
      </w:pPr>
      <w:r w:rsidRPr="00F3214A">
        <w:rPr>
          <w:rFonts w:asciiTheme="minorHAnsi" w:hAnsiTheme="minorHAnsi" w:cstheme="minorHAnsi"/>
          <w:sz w:val="22"/>
          <w:szCs w:val="22"/>
        </w:rPr>
        <w:t>DigiCor is base</w:t>
      </w:r>
      <w:r w:rsidR="00F3214A">
        <w:rPr>
          <w:rFonts w:asciiTheme="minorHAnsi" w:hAnsiTheme="minorHAnsi" w:cstheme="minorHAnsi"/>
          <w:sz w:val="22"/>
          <w:szCs w:val="22"/>
        </w:rPr>
        <w:t>d in Washington, D.C., and its</w:t>
      </w:r>
      <w:r w:rsidRPr="00F3214A">
        <w:rPr>
          <w:rFonts w:asciiTheme="minorHAnsi" w:hAnsiTheme="minorHAnsi" w:cstheme="minorHAnsi"/>
          <w:sz w:val="22"/>
          <w:szCs w:val="22"/>
        </w:rPr>
        <w:t xml:space="preserve"> goal is to provide institutional-grade products that investors can use to understand and gain exposure to digital assets, and the company’s products reflect this objective.</w:t>
      </w:r>
    </w:p>
    <w:p w:rsidR="00412563" w:rsidRPr="00F3214A" w:rsidRDefault="00412563" w:rsidP="00412563">
      <w:pPr>
        <w:jc w:val="both"/>
        <w:rPr>
          <w:rFonts w:asciiTheme="minorHAnsi" w:hAnsiTheme="minorHAnsi" w:cstheme="minorHAnsi"/>
          <w:sz w:val="22"/>
          <w:szCs w:val="22"/>
        </w:rPr>
      </w:pPr>
    </w:p>
    <w:p w:rsidR="00F3214A" w:rsidRPr="00F3214A" w:rsidRDefault="00F3214A" w:rsidP="00F3214A">
      <w:pPr>
        <w:jc w:val="both"/>
        <w:rPr>
          <w:rFonts w:asciiTheme="minorHAnsi" w:hAnsiTheme="minorHAnsi" w:cstheme="minorHAnsi"/>
          <w:sz w:val="22"/>
          <w:szCs w:val="22"/>
        </w:rPr>
      </w:pPr>
      <w:r w:rsidRPr="00F3214A">
        <w:rPr>
          <w:rFonts w:asciiTheme="minorHAnsi" w:hAnsiTheme="minorHAnsi" w:cstheme="minorHAnsi"/>
          <w:sz w:val="22"/>
          <w:szCs w:val="22"/>
        </w:rPr>
        <w:t xml:space="preserve">To learn about the work of DigiCor, the team and products, please visit </w:t>
      </w:r>
      <w:hyperlink r:id="rId11" w:anchor="/Welcome" w:history="1">
        <w:r w:rsidRPr="00F3214A">
          <w:rPr>
            <w:rStyle w:val="Hyperlink"/>
            <w:rFonts w:asciiTheme="minorHAnsi" w:hAnsiTheme="minorHAnsi" w:cstheme="minorHAnsi"/>
            <w:sz w:val="22"/>
            <w:szCs w:val="22"/>
          </w:rPr>
          <w:t>DigiC</w:t>
        </w:r>
        <w:r w:rsidRPr="00F3214A">
          <w:rPr>
            <w:rStyle w:val="Hyperlink"/>
            <w:rFonts w:asciiTheme="minorHAnsi" w:hAnsiTheme="minorHAnsi" w:cstheme="minorHAnsi"/>
            <w:sz w:val="22"/>
            <w:szCs w:val="22"/>
          </w:rPr>
          <w:t>o</w:t>
        </w:r>
        <w:r w:rsidRPr="00F3214A">
          <w:rPr>
            <w:rStyle w:val="Hyperlink"/>
            <w:rFonts w:asciiTheme="minorHAnsi" w:hAnsiTheme="minorHAnsi" w:cstheme="minorHAnsi"/>
            <w:sz w:val="22"/>
            <w:szCs w:val="22"/>
          </w:rPr>
          <w:t>r.io</w:t>
        </w:r>
      </w:hyperlink>
      <w:r w:rsidRPr="00F3214A">
        <w:rPr>
          <w:rFonts w:asciiTheme="minorHAnsi" w:hAnsiTheme="minorHAnsi" w:cstheme="minorHAnsi"/>
          <w:sz w:val="22"/>
          <w:szCs w:val="22"/>
        </w:rPr>
        <w:t xml:space="preserve"> or send an </w:t>
      </w:r>
      <w:r w:rsidRPr="00F3214A">
        <w:rPr>
          <w:rFonts w:asciiTheme="minorHAnsi" w:hAnsiTheme="minorHAnsi" w:cstheme="minorHAnsi"/>
          <w:sz w:val="22"/>
          <w:szCs w:val="22"/>
        </w:rPr>
        <w:t xml:space="preserve">email to </w:t>
      </w:r>
      <w:hyperlink r:id="rId12" w:history="1">
        <w:r w:rsidRPr="00F3214A">
          <w:rPr>
            <w:rStyle w:val="Hyperlink"/>
            <w:rFonts w:asciiTheme="minorHAnsi" w:hAnsiTheme="minorHAnsi" w:cstheme="minorHAnsi"/>
            <w:sz w:val="22"/>
            <w:szCs w:val="22"/>
          </w:rPr>
          <w:t>hello@DigiCor.io</w:t>
        </w:r>
      </w:hyperlink>
      <w:r w:rsidRPr="00F3214A">
        <w:rPr>
          <w:rFonts w:asciiTheme="minorHAnsi" w:hAnsiTheme="minorHAnsi" w:cstheme="minorHAnsi"/>
          <w:sz w:val="22"/>
          <w:szCs w:val="22"/>
        </w:rPr>
        <w:t>.</w:t>
      </w:r>
    </w:p>
    <w:p w:rsidR="00F3214A" w:rsidRPr="00487077" w:rsidRDefault="00F3214A" w:rsidP="00F3214A">
      <w:pPr>
        <w:jc w:val="both"/>
        <w:rPr>
          <w:rFonts w:asciiTheme="minorHAnsi" w:hAnsiTheme="minorHAnsi"/>
          <w:sz w:val="22"/>
          <w:szCs w:val="22"/>
        </w:rPr>
      </w:pPr>
    </w:p>
    <w:p w:rsidR="00852E23" w:rsidRPr="00487077" w:rsidRDefault="00852E23" w:rsidP="00F3214A">
      <w:pPr>
        <w:jc w:val="both"/>
        <w:rPr>
          <w:rFonts w:asciiTheme="minorHAnsi" w:hAnsiTheme="minorHAnsi"/>
          <w:sz w:val="22"/>
          <w:szCs w:val="22"/>
        </w:rPr>
      </w:pPr>
    </w:p>
    <w:sectPr w:rsidR="00852E23" w:rsidRPr="00487077" w:rsidSect="00D020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133168"/>
    <w:multiLevelType w:val="hybridMultilevel"/>
    <w:tmpl w:val="2E5A8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C07640"/>
    <w:multiLevelType w:val="hybridMultilevel"/>
    <w:tmpl w:val="0550167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967"/>
    <w:rsid w:val="00000EC4"/>
    <w:rsid w:val="00010E04"/>
    <w:rsid w:val="00034295"/>
    <w:rsid w:val="00041B05"/>
    <w:rsid w:val="0004594B"/>
    <w:rsid w:val="00047ABC"/>
    <w:rsid w:val="00075967"/>
    <w:rsid w:val="00094AD0"/>
    <w:rsid w:val="000A3152"/>
    <w:rsid w:val="000B48ED"/>
    <w:rsid w:val="000C5DE4"/>
    <w:rsid w:val="000C7C4A"/>
    <w:rsid w:val="000E6E85"/>
    <w:rsid w:val="000E7FAC"/>
    <w:rsid w:val="000F3601"/>
    <w:rsid w:val="000F680F"/>
    <w:rsid w:val="00105489"/>
    <w:rsid w:val="00115362"/>
    <w:rsid w:val="00120DD1"/>
    <w:rsid w:val="00123F20"/>
    <w:rsid w:val="0013736D"/>
    <w:rsid w:val="00140F9B"/>
    <w:rsid w:val="00143493"/>
    <w:rsid w:val="00144ADC"/>
    <w:rsid w:val="00154FC2"/>
    <w:rsid w:val="001606C4"/>
    <w:rsid w:val="0016335B"/>
    <w:rsid w:val="001833DB"/>
    <w:rsid w:val="001957CE"/>
    <w:rsid w:val="001A1E28"/>
    <w:rsid w:val="001A2864"/>
    <w:rsid w:val="001A4587"/>
    <w:rsid w:val="001A7BB7"/>
    <w:rsid w:val="001B3DDF"/>
    <w:rsid w:val="001E3B97"/>
    <w:rsid w:val="001E5404"/>
    <w:rsid w:val="001E7230"/>
    <w:rsid w:val="001F26E3"/>
    <w:rsid w:val="001F27E3"/>
    <w:rsid w:val="002077B9"/>
    <w:rsid w:val="00216E32"/>
    <w:rsid w:val="00217BA2"/>
    <w:rsid w:val="002318A4"/>
    <w:rsid w:val="002320B6"/>
    <w:rsid w:val="002401C0"/>
    <w:rsid w:val="00244E15"/>
    <w:rsid w:val="002779B4"/>
    <w:rsid w:val="002809C7"/>
    <w:rsid w:val="00283486"/>
    <w:rsid w:val="00294144"/>
    <w:rsid w:val="00294597"/>
    <w:rsid w:val="002A5F2A"/>
    <w:rsid w:val="002D5935"/>
    <w:rsid w:val="002D64C7"/>
    <w:rsid w:val="002E1AD0"/>
    <w:rsid w:val="002E665A"/>
    <w:rsid w:val="002F08A5"/>
    <w:rsid w:val="002F7405"/>
    <w:rsid w:val="002F7BEB"/>
    <w:rsid w:val="00306B0B"/>
    <w:rsid w:val="003072DD"/>
    <w:rsid w:val="00330C1E"/>
    <w:rsid w:val="0034336C"/>
    <w:rsid w:val="0035091A"/>
    <w:rsid w:val="00362605"/>
    <w:rsid w:val="0037764C"/>
    <w:rsid w:val="0038047A"/>
    <w:rsid w:val="003827EF"/>
    <w:rsid w:val="003A4607"/>
    <w:rsid w:val="003E5C0D"/>
    <w:rsid w:val="003F4540"/>
    <w:rsid w:val="0040217B"/>
    <w:rsid w:val="00405163"/>
    <w:rsid w:val="00412563"/>
    <w:rsid w:val="00430392"/>
    <w:rsid w:val="0044125F"/>
    <w:rsid w:val="004447E5"/>
    <w:rsid w:val="0045370F"/>
    <w:rsid w:val="00460E37"/>
    <w:rsid w:val="004643B4"/>
    <w:rsid w:val="004644DC"/>
    <w:rsid w:val="00477B53"/>
    <w:rsid w:val="00485940"/>
    <w:rsid w:val="00487077"/>
    <w:rsid w:val="0049026D"/>
    <w:rsid w:val="004C3FA5"/>
    <w:rsid w:val="004C53CC"/>
    <w:rsid w:val="004D11FC"/>
    <w:rsid w:val="004D43F2"/>
    <w:rsid w:val="004F4831"/>
    <w:rsid w:val="004F51A2"/>
    <w:rsid w:val="004F59EF"/>
    <w:rsid w:val="004F7DA7"/>
    <w:rsid w:val="00501DD2"/>
    <w:rsid w:val="00504D54"/>
    <w:rsid w:val="005229E9"/>
    <w:rsid w:val="00523AAA"/>
    <w:rsid w:val="005334D2"/>
    <w:rsid w:val="00541F58"/>
    <w:rsid w:val="00543FEE"/>
    <w:rsid w:val="00544D85"/>
    <w:rsid w:val="00550793"/>
    <w:rsid w:val="005554F8"/>
    <w:rsid w:val="00566F6A"/>
    <w:rsid w:val="00592551"/>
    <w:rsid w:val="005B0323"/>
    <w:rsid w:val="005B1091"/>
    <w:rsid w:val="005B65DE"/>
    <w:rsid w:val="005C0D9B"/>
    <w:rsid w:val="005D0FAB"/>
    <w:rsid w:val="005E72F0"/>
    <w:rsid w:val="00600CEE"/>
    <w:rsid w:val="006072AF"/>
    <w:rsid w:val="006148A6"/>
    <w:rsid w:val="006276EA"/>
    <w:rsid w:val="00640BEF"/>
    <w:rsid w:val="00653339"/>
    <w:rsid w:val="006615F9"/>
    <w:rsid w:val="00670F76"/>
    <w:rsid w:val="00671BB6"/>
    <w:rsid w:val="0067461F"/>
    <w:rsid w:val="00676B64"/>
    <w:rsid w:val="00681F52"/>
    <w:rsid w:val="00682348"/>
    <w:rsid w:val="006929D9"/>
    <w:rsid w:val="006A1508"/>
    <w:rsid w:val="006A2CC7"/>
    <w:rsid w:val="006C02A6"/>
    <w:rsid w:val="006C4870"/>
    <w:rsid w:val="006C5DEF"/>
    <w:rsid w:val="006D3461"/>
    <w:rsid w:val="006D375F"/>
    <w:rsid w:val="006E0A75"/>
    <w:rsid w:val="006E1930"/>
    <w:rsid w:val="00701CDF"/>
    <w:rsid w:val="0071019A"/>
    <w:rsid w:val="0071022C"/>
    <w:rsid w:val="007103EC"/>
    <w:rsid w:val="0072691D"/>
    <w:rsid w:val="0073266E"/>
    <w:rsid w:val="00735501"/>
    <w:rsid w:val="007355BF"/>
    <w:rsid w:val="0075012E"/>
    <w:rsid w:val="00753241"/>
    <w:rsid w:val="00766CC3"/>
    <w:rsid w:val="00767296"/>
    <w:rsid w:val="007732EF"/>
    <w:rsid w:val="007773FB"/>
    <w:rsid w:val="007B1B4D"/>
    <w:rsid w:val="007B215B"/>
    <w:rsid w:val="007D11A2"/>
    <w:rsid w:val="00807D55"/>
    <w:rsid w:val="008231DD"/>
    <w:rsid w:val="00824655"/>
    <w:rsid w:val="00832921"/>
    <w:rsid w:val="0083761B"/>
    <w:rsid w:val="00840630"/>
    <w:rsid w:val="008504CB"/>
    <w:rsid w:val="008504F9"/>
    <w:rsid w:val="00852E23"/>
    <w:rsid w:val="008626F1"/>
    <w:rsid w:val="0088341C"/>
    <w:rsid w:val="00884C58"/>
    <w:rsid w:val="00890D2E"/>
    <w:rsid w:val="008A4100"/>
    <w:rsid w:val="008C2B4E"/>
    <w:rsid w:val="008C5D5B"/>
    <w:rsid w:val="008C6AD7"/>
    <w:rsid w:val="008C7FB0"/>
    <w:rsid w:val="008D57FB"/>
    <w:rsid w:val="008E7259"/>
    <w:rsid w:val="009010C4"/>
    <w:rsid w:val="00915588"/>
    <w:rsid w:val="0091657E"/>
    <w:rsid w:val="009561F6"/>
    <w:rsid w:val="00962E61"/>
    <w:rsid w:val="00983567"/>
    <w:rsid w:val="00997475"/>
    <w:rsid w:val="009A041D"/>
    <w:rsid w:val="009A41AF"/>
    <w:rsid w:val="009E4FC2"/>
    <w:rsid w:val="00A05343"/>
    <w:rsid w:val="00A177CF"/>
    <w:rsid w:val="00A25AE5"/>
    <w:rsid w:val="00A2669C"/>
    <w:rsid w:val="00A30F24"/>
    <w:rsid w:val="00A32634"/>
    <w:rsid w:val="00A46EAA"/>
    <w:rsid w:val="00A55E2E"/>
    <w:rsid w:val="00A669C9"/>
    <w:rsid w:val="00A67A22"/>
    <w:rsid w:val="00A7670D"/>
    <w:rsid w:val="00A841A6"/>
    <w:rsid w:val="00A8792F"/>
    <w:rsid w:val="00A9182E"/>
    <w:rsid w:val="00AB4A4B"/>
    <w:rsid w:val="00AC12DD"/>
    <w:rsid w:val="00AC585A"/>
    <w:rsid w:val="00AC70B7"/>
    <w:rsid w:val="00AE0B42"/>
    <w:rsid w:val="00AE15EA"/>
    <w:rsid w:val="00AF36C7"/>
    <w:rsid w:val="00AF6AF2"/>
    <w:rsid w:val="00B14B8D"/>
    <w:rsid w:val="00B155B8"/>
    <w:rsid w:val="00B31A0B"/>
    <w:rsid w:val="00B33795"/>
    <w:rsid w:val="00B44B9A"/>
    <w:rsid w:val="00B61AA0"/>
    <w:rsid w:val="00B61DE0"/>
    <w:rsid w:val="00B74DD2"/>
    <w:rsid w:val="00B800DA"/>
    <w:rsid w:val="00B85153"/>
    <w:rsid w:val="00B864C6"/>
    <w:rsid w:val="00B9471D"/>
    <w:rsid w:val="00BB3A65"/>
    <w:rsid w:val="00BB3B1F"/>
    <w:rsid w:val="00BC1D39"/>
    <w:rsid w:val="00BD6D84"/>
    <w:rsid w:val="00BE0F41"/>
    <w:rsid w:val="00C70533"/>
    <w:rsid w:val="00C92938"/>
    <w:rsid w:val="00C92C19"/>
    <w:rsid w:val="00CA2344"/>
    <w:rsid w:val="00CB5F17"/>
    <w:rsid w:val="00CC2B28"/>
    <w:rsid w:val="00CC60E5"/>
    <w:rsid w:val="00CD2152"/>
    <w:rsid w:val="00CE4265"/>
    <w:rsid w:val="00CE4BEB"/>
    <w:rsid w:val="00CF11AD"/>
    <w:rsid w:val="00CF61EE"/>
    <w:rsid w:val="00CF66D8"/>
    <w:rsid w:val="00D02066"/>
    <w:rsid w:val="00D176E5"/>
    <w:rsid w:val="00D321E9"/>
    <w:rsid w:val="00D40720"/>
    <w:rsid w:val="00D4139D"/>
    <w:rsid w:val="00D421A8"/>
    <w:rsid w:val="00D63FB1"/>
    <w:rsid w:val="00D679F2"/>
    <w:rsid w:val="00D732E4"/>
    <w:rsid w:val="00D81E3A"/>
    <w:rsid w:val="00D9155F"/>
    <w:rsid w:val="00DA0AF3"/>
    <w:rsid w:val="00DA381E"/>
    <w:rsid w:val="00DA6066"/>
    <w:rsid w:val="00DB025F"/>
    <w:rsid w:val="00DB4801"/>
    <w:rsid w:val="00DB5E64"/>
    <w:rsid w:val="00DB6A0F"/>
    <w:rsid w:val="00DC5E2A"/>
    <w:rsid w:val="00DC6DC5"/>
    <w:rsid w:val="00DD2832"/>
    <w:rsid w:val="00E35121"/>
    <w:rsid w:val="00E4527C"/>
    <w:rsid w:val="00E46FEE"/>
    <w:rsid w:val="00E50E95"/>
    <w:rsid w:val="00E51E5C"/>
    <w:rsid w:val="00E52265"/>
    <w:rsid w:val="00E643D5"/>
    <w:rsid w:val="00EA7070"/>
    <w:rsid w:val="00EB1D43"/>
    <w:rsid w:val="00EB7449"/>
    <w:rsid w:val="00EE61D0"/>
    <w:rsid w:val="00EF6B1E"/>
    <w:rsid w:val="00F03642"/>
    <w:rsid w:val="00F03904"/>
    <w:rsid w:val="00F06C29"/>
    <w:rsid w:val="00F07BB1"/>
    <w:rsid w:val="00F220CD"/>
    <w:rsid w:val="00F3214A"/>
    <w:rsid w:val="00F5056C"/>
    <w:rsid w:val="00F56477"/>
    <w:rsid w:val="00F573E0"/>
    <w:rsid w:val="00F63D75"/>
    <w:rsid w:val="00F64023"/>
    <w:rsid w:val="00F75D7C"/>
    <w:rsid w:val="00F8409F"/>
    <w:rsid w:val="00FB6B3F"/>
    <w:rsid w:val="00FC0C16"/>
    <w:rsid w:val="00FC47AF"/>
    <w:rsid w:val="00FD1366"/>
    <w:rsid w:val="00FD21C0"/>
    <w:rsid w:val="00FD2C55"/>
    <w:rsid w:val="00FD31F7"/>
    <w:rsid w:val="00FE461A"/>
    <w:rsid w:val="00FE4CCA"/>
    <w:rsid w:val="00FE50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D3CD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A2864"/>
    <w:rPr>
      <w:rFonts w:ascii="Times New Roman" w:hAnsi="Times New Roman" w:cs="Times New Roman"/>
    </w:rPr>
  </w:style>
  <w:style w:type="paragraph" w:styleId="Heading2">
    <w:name w:val="heading 2"/>
    <w:basedOn w:val="Normal"/>
    <w:link w:val="Heading2Char"/>
    <w:uiPriority w:val="9"/>
    <w:qFormat/>
    <w:rsid w:val="00094AD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5967"/>
    <w:pPr>
      <w:ind w:left="720"/>
      <w:contextualSpacing/>
    </w:pPr>
    <w:rPr>
      <w:rFonts w:asciiTheme="minorHAnsi" w:hAnsiTheme="minorHAnsi" w:cstheme="minorBidi"/>
    </w:rPr>
  </w:style>
  <w:style w:type="character" w:styleId="Strong">
    <w:name w:val="Strong"/>
    <w:basedOn w:val="DefaultParagraphFont"/>
    <w:uiPriority w:val="22"/>
    <w:qFormat/>
    <w:rsid w:val="00144ADC"/>
    <w:rPr>
      <w:b/>
      <w:bCs/>
    </w:rPr>
  </w:style>
  <w:style w:type="paragraph" w:customStyle="1" w:styleId="p1">
    <w:name w:val="p1"/>
    <w:basedOn w:val="Normal"/>
    <w:rsid w:val="00915588"/>
    <w:rPr>
      <w:rFonts w:ascii="Helvetica" w:hAnsi="Helvetica"/>
      <w:sz w:val="18"/>
      <w:szCs w:val="18"/>
    </w:rPr>
  </w:style>
  <w:style w:type="character" w:customStyle="1" w:styleId="apple-converted-space">
    <w:name w:val="apple-converted-space"/>
    <w:basedOn w:val="DefaultParagraphFont"/>
    <w:rsid w:val="00915588"/>
  </w:style>
  <w:style w:type="character" w:styleId="Hyperlink">
    <w:name w:val="Hyperlink"/>
    <w:basedOn w:val="DefaultParagraphFont"/>
    <w:uiPriority w:val="99"/>
    <w:unhideWhenUsed/>
    <w:rsid w:val="002779B4"/>
    <w:rPr>
      <w:color w:val="0563C1" w:themeColor="hyperlink"/>
      <w:u w:val="single"/>
    </w:rPr>
  </w:style>
  <w:style w:type="character" w:customStyle="1" w:styleId="Heading2Char">
    <w:name w:val="Heading 2 Char"/>
    <w:basedOn w:val="DefaultParagraphFont"/>
    <w:link w:val="Heading2"/>
    <w:uiPriority w:val="9"/>
    <w:rsid w:val="00094AD0"/>
    <w:rPr>
      <w:rFonts w:ascii="Times New Roman" w:hAnsi="Times New Roman" w:cs="Times New Roman"/>
      <w:b/>
      <w:bCs/>
      <w:sz w:val="36"/>
      <w:szCs w:val="36"/>
    </w:rPr>
  </w:style>
  <w:style w:type="character" w:styleId="Emphasis">
    <w:name w:val="Emphasis"/>
    <w:basedOn w:val="DefaultParagraphFont"/>
    <w:uiPriority w:val="20"/>
    <w:qFormat/>
    <w:rsid w:val="001A2864"/>
    <w:rPr>
      <w:i/>
      <w:iCs/>
    </w:rPr>
  </w:style>
  <w:style w:type="character" w:styleId="FollowedHyperlink">
    <w:name w:val="FollowedHyperlink"/>
    <w:basedOn w:val="DefaultParagraphFont"/>
    <w:uiPriority w:val="99"/>
    <w:semiHidden/>
    <w:unhideWhenUsed/>
    <w:rsid w:val="0040217B"/>
    <w:rPr>
      <w:color w:val="954F72" w:themeColor="followedHyperlink"/>
      <w:u w:val="single"/>
    </w:rPr>
  </w:style>
  <w:style w:type="paragraph" w:styleId="BalloonText">
    <w:name w:val="Balloon Text"/>
    <w:basedOn w:val="Normal"/>
    <w:link w:val="BalloonTextChar"/>
    <w:uiPriority w:val="99"/>
    <w:semiHidden/>
    <w:unhideWhenUsed/>
    <w:rsid w:val="006929D9"/>
    <w:rPr>
      <w:sz w:val="18"/>
      <w:szCs w:val="18"/>
    </w:rPr>
  </w:style>
  <w:style w:type="character" w:customStyle="1" w:styleId="BalloonTextChar">
    <w:name w:val="Balloon Text Char"/>
    <w:basedOn w:val="DefaultParagraphFont"/>
    <w:link w:val="BalloonText"/>
    <w:uiPriority w:val="99"/>
    <w:semiHidden/>
    <w:rsid w:val="006929D9"/>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6D375F"/>
    <w:rPr>
      <w:sz w:val="16"/>
      <w:szCs w:val="16"/>
    </w:rPr>
  </w:style>
  <w:style w:type="paragraph" w:styleId="CommentText">
    <w:name w:val="annotation text"/>
    <w:basedOn w:val="Normal"/>
    <w:link w:val="CommentTextChar"/>
    <w:uiPriority w:val="99"/>
    <w:semiHidden/>
    <w:unhideWhenUsed/>
    <w:rsid w:val="006D375F"/>
    <w:rPr>
      <w:sz w:val="20"/>
      <w:szCs w:val="20"/>
    </w:rPr>
  </w:style>
  <w:style w:type="character" w:customStyle="1" w:styleId="CommentTextChar">
    <w:name w:val="Comment Text Char"/>
    <w:basedOn w:val="DefaultParagraphFont"/>
    <w:link w:val="CommentText"/>
    <w:uiPriority w:val="99"/>
    <w:semiHidden/>
    <w:rsid w:val="006D375F"/>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D375F"/>
    <w:rPr>
      <w:b/>
      <w:bCs/>
    </w:rPr>
  </w:style>
  <w:style w:type="character" w:customStyle="1" w:styleId="CommentSubjectChar">
    <w:name w:val="Comment Subject Char"/>
    <w:basedOn w:val="CommentTextChar"/>
    <w:link w:val="CommentSubject"/>
    <w:uiPriority w:val="99"/>
    <w:semiHidden/>
    <w:rsid w:val="006D375F"/>
    <w:rPr>
      <w:rFonts w:ascii="Times New Roman" w:hAnsi="Times New Roman" w:cs="Times New Roman"/>
      <w:b/>
      <w:bCs/>
      <w:sz w:val="20"/>
      <w:szCs w:val="20"/>
    </w:rPr>
  </w:style>
  <w:style w:type="paragraph" w:styleId="NormalWeb">
    <w:name w:val="Normal (Web)"/>
    <w:basedOn w:val="Normal"/>
    <w:uiPriority w:val="99"/>
    <w:semiHidden/>
    <w:unhideWhenUsed/>
    <w:rsid w:val="002A5F2A"/>
    <w:pPr>
      <w:spacing w:before="100" w:beforeAutospacing="1" w:after="100" w:afterAutospacing="1"/>
    </w:pPr>
    <w:rPr>
      <w:rFonts w:eastAsiaTheme="minorEastAsia"/>
    </w:rPr>
  </w:style>
  <w:style w:type="character" w:styleId="UnresolvedMention">
    <w:name w:val="Unresolved Mention"/>
    <w:basedOn w:val="DefaultParagraphFont"/>
    <w:uiPriority w:val="99"/>
    <w:rsid w:val="00F3214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286183">
      <w:bodyDiv w:val="1"/>
      <w:marLeft w:val="0"/>
      <w:marRight w:val="0"/>
      <w:marTop w:val="0"/>
      <w:marBottom w:val="0"/>
      <w:divBdr>
        <w:top w:val="none" w:sz="0" w:space="0" w:color="auto"/>
        <w:left w:val="none" w:sz="0" w:space="0" w:color="auto"/>
        <w:bottom w:val="none" w:sz="0" w:space="0" w:color="auto"/>
        <w:right w:val="none" w:sz="0" w:space="0" w:color="auto"/>
      </w:divBdr>
    </w:div>
    <w:div w:id="102041816">
      <w:bodyDiv w:val="1"/>
      <w:marLeft w:val="0"/>
      <w:marRight w:val="0"/>
      <w:marTop w:val="0"/>
      <w:marBottom w:val="0"/>
      <w:divBdr>
        <w:top w:val="none" w:sz="0" w:space="0" w:color="auto"/>
        <w:left w:val="none" w:sz="0" w:space="0" w:color="auto"/>
        <w:bottom w:val="none" w:sz="0" w:space="0" w:color="auto"/>
        <w:right w:val="none" w:sz="0" w:space="0" w:color="auto"/>
      </w:divBdr>
    </w:div>
    <w:div w:id="172571283">
      <w:bodyDiv w:val="1"/>
      <w:marLeft w:val="0"/>
      <w:marRight w:val="0"/>
      <w:marTop w:val="0"/>
      <w:marBottom w:val="0"/>
      <w:divBdr>
        <w:top w:val="none" w:sz="0" w:space="0" w:color="auto"/>
        <w:left w:val="none" w:sz="0" w:space="0" w:color="auto"/>
        <w:bottom w:val="none" w:sz="0" w:space="0" w:color="auto"/>
        <w:right w:val="none" w:sz="0" w:space="0" w:color="auto"/>
      </w:divBdr>
    </w:div>
    <w:div w:id="183977240">
      <w:bodyDiv w:val="1"/>
      <w:marLeft w:val="0"/>
      <w:marRight w:val="0"/>
      <w:marTop w:val="0"/>
      <w:marBottom w:val="0"/>
      <w:divBdr>
        <w:top w:val="none" w:sz="0" w:space="0" w:color="auto"/>
        <w:left w:val="none" w:sz="0" w:space="0" w:color="auto"/>
        <w:bottom w:val="none" w:sz="0" w:space="0" w:color="auto"/>
        <w:right w:val="none" w:sz="0" w:space="0" w:color="auto"/>
      </w:divBdr>
    </w:div>
    <w:div w:id="198862645">
      <w:bodyDiv w:val="1"/>
      <w:marLeft w:val="0"/>
      <w:marRight w:val="0"/>
      <w:marTop w:val="0"/>
      <w:marBottom w:val="0"/>
      <w:divBdr>
        <w:top w:val="none" w:sz="0" w:space="0" w:color="auto"/>
        <w:left w:val="none" w:sz="0" w:space="0" w:color="auto"/>
        <w:bottom w:val="none" w:sz="0" w:space="0" w:color="auto"/>
        <w:right w:val="none" w:sz="0" w:space="0" w:color="auto"/>
      </w:divBdr>
    </w:div>
    <w:div w:id="228460402">
      <w:bodyDiv w:val="1"/>
      <w:marLeft w:val="0"/>
      <w:marRight w:val="0"/>
      <w:marTop w:val="0"/>
      <w:marBottom w:val="0"/>
      <w:divBdr>
        <w:top w:val="none" w:sz="0" w:space="0" w:color="auto"/>
        <w:left w:val="none" w:sz="0" w:space="0" w:color="auto"/>
        <w:bottom w:val="none" w:sz="0" w:space="0" w:color="auto"/>
        <w:right w:val="none" w:sz="0" w:space="0" w:color="auto"/>
      </w:divBdr>
    </w:div>
    <w:div w:id="234825137">
      <w:bodyDiv w:val="1"/>
      <w:marLeft w:val="0"/>
      <w:marRight w:val="0"/>
      <w:marTop w:val="0"/>
      <w:marBottom w:val="0"/>
      <w:divBdr>
        <w:top w:val="none" w:sz="0" w:space="0" w:color="auto"/>
        <w:left w:val="none" w:sz="0" w:space="0" w:color="auto"/>
        <w:bottom w:val="none" w:sz="0" w:space="0" w:color="auto"/>
        <w:right w:val="none" w:sz="0" w:space="0" w:color="auto"/>
      </w:divBdr>
    </w:div>
    <w:div w:id="309215835">
      <w:bodyDiv w:val="1"/>
      <w:marLeft w:val="0"/>
      <w:marRight w:val="0"/>
      <w:marTop w:val="0"/>
      <w:marBottom w:val="0"/>
      <w:divBdr>
        <w:top w:val="none" w:sz="0" w:space="0" w:color="auto"/>
        <w:left w:val="none" w:sz="0" w:space="0" w:color="auto"/>
        <w:bottom w:val="none" w:sz="0" w:space="0" w:color="auto"/>
        <w:right w:val="none" w:sz="0" w:space="0" w:color="auto"/>
      </w:divBdr>
    </w:div>
    <w:div w:id="487132204">
      <w:bodyDiv w:val="1"/>
      <w:marLeft w:val="0"/>
      <w:marRight w:val="0"/>
      <w:marTop w:val="0"/>
      <w:marBottom w:val="0"/>
      <w:divBdr>
        <w:top w:val="none" w:sz="0" w:space="0" w:color="auto"/>
        <w:left w:val="none" w:sz="0" w:space="0" w:color="auto"/>
        <w:bottom w:val="none" w:sz="0" w:space="0" w:color="auto"/>
        <w:right w:val="none" w:sz="0" w:space="0" w:color="auto"/>
      </w:divBdr>
    </w:div>
    <w:div w:id="605771943">
      <w:bodyDiv w:val="1"/>
      <w:marLeft w:val="0"/>
      <w:marRight w:val="0"/>
      <w:marTop w:val="0"/>
      <w:marBottom w:val="0"/>
      <w:divBdr>
        <w:top w:val="none" w:sz="0" w:space="0" w:color="auto"/>
        <w:left w:val="none" w:sz="0" w:space="0" w:color="auto"/>
        <w:bottom w:val="none" w:sz="0" w:space="0" w:color="auto"/>
        <w:right w:val="none" w:sz="0" w:space="0" w:color="auto"/>
      </w:divBdr>
    </w:div>
    <w:div w:id="645429966">
      <w:bodyDiv w:val="1"/>
      <w:marLeft w:val="0"/>
      <w:marRight w:val="0"/>
      <w:marTop w:val="0"/>
      <w:marBottom w:val="0"/>
      <w:divBdr>
        <w:top w:val="none" w:sz="0" w:space="0" w:color="auto"/>
        <w:left w:val="none" w:sz="0" w:space="0" w:color="auto"/>
        <w:bottom w:val="none" w:sz="0" w:space="0" w:color="auto"/>
        <w:right w:val="none" w:sz="0" w:space="0" w:color="auto"/>
      </w:divBdr>
    </w:div>
    <w:div w:id="661198351">
      <w:bodyDiv w:val="1"/>
      <w:marLeft w:val="0"/>
      <w:marRight w:val="0"/>
      <w:marTop w:val="0"/>
      <w:marBottom w:val="0"/>
      <w:divBdr>
        <w:top w:val="none" w:sz="0" w:space="0" w:color="auto"/>
        <w:left w:val="none" w:sz="0" w:space="0" w:color="auto"/>
        <w:bottom w:val="none" w:sz="0" w:space="0" w:color="auto"/>
        <w:right w:val="none" w:sz="0" w:space="0" w:color="auto"/>
      </w:divBdr>
    </w:div>
    <w:div w:id="700401556">
      <w:bodyDiv w:val="1"/>
      <w:marLeft w:val="0"/>
      <w:marRight w:val="0"/>
      <w:marTop w:val="0"/>
      <w:marBottom w:val="0"/>
      <w:divBdr>
        <w:top w:val="none" w:sz="0" w:space="0" w:color="auto"/>
        <w:left w:val="none" w:sz="0" w:space="0" w:color="auto"/>
        <w:bottom w:val="none" w:sz="0" w:space="0" w:color="auto"/>
        <w:right w:val="none" w:sz="0" w:space="0" w:color="auto"/>
      </w:divBdr>
    </w:div>
    <w:div w:id="709382458">
      <w:bodyDiv w:val="1"/>
      <w:marLeft w:val="0"/>
      <w:marRight w:val="0"/>
      <w:marTop w:val="0"/>
      <w:marBottom w:val="0"/>
      <w:divBdr>
        <w:top w:val="none" w:sz="0" w:space="0" w:color="auto"/>
        <w:left w:val="none" w:sz="0" w:space="0" w:color="auto"/>
        <w:bottom w:val="none" w:sz="0" w:space="0" w:color="auto"/>
        <w:right w:val="none" w:sz="0" w:space="0" w:color="auto"/>
      </w:divBdr>
    </w:div>
    <w:div w:id="773940150">
      <w:bodyDiv w:val="1"/>
      <w:marLeft w:val="0"/>
      <w:marRight w:val="0"/>
      <w:marTop w:val="0"/>
      <w:marBottom w:val="0"/>
      <w:divBdr>
        <w:top w:val="none" w:sz="0" w:space="0" w:color="auto"/>
        <w:left w:val="none" w:sz="0" w:space="0" w:color="auto"/>
        <w:bottom w:val="none" w:sz="0" w:space="0" w:color="auto"/>
        <w:right w:val="none" w:sz="0" w:space="0" w:color="auto"/>
      </w:divBdr>
    </w:div>
    <w:div w:id="826215605">
      <w:bodyDiv w:val="1"/>
      <w:marLeft w:val="0"/>
      <w:marRight w:val="0"/>
      <w:marTop w:val="0"/>
      <w:marBottom w:val="0"/>
      <w:divBdr>
        <w:top w:val="none" w:sz="0" w:space="0" w:color="auto"/>
        <w:left w:val="none" w:sz="0" w:space="0" w:color="auto"/>
        <w:bottom w:val="none" w:sz="0" w:space="0" w:color="auto"/>
        <w:right w:val="none" w:sz="0" w:space="0" w:color="auto"/>
      </w:divBdr>
    </w:div>
    <w:div w:id="891499272">
      <w:bodyDiv w:val="1"/>
      <w:marLeft w:val="0"/>
      <w:marRight w:val="0"/>
      <w:marTop w:val="0"/>
      <w:marBottom w:val="0"/>
      <w:divBdr>
        <w:top w:val="none" w:sz="0" w:space="0" w:color="auto"/>
        <w:left w:val="none" w:sz="0" w:space="0" w:color="auto"/>
        <w:bottom w:val="none" w:sz="0" w:space="0" w:color="auto"/>
        <w:right w:val="none" w:sz="0" w:space="0" w:color="auto"/>
      </w:divBdr>
    </w:div>
    <w:div w:id="997339907">
      <w:bodyDiv w:val="1"/>
      <w:marLeft w:val="0"/>
      <w:marRight w:val="0"/>
      <w:marTop w:val="0"/>
      <w:marBottom w:val="0"/>
      <w:divBdr>
        <w:top w:val="none" w:sz="0" w:space="0" w:color="auto"/>
        <w:left w:val="none" w:sz="0" w:space="0" w:color="auto"/>
        <w:bottom w:val="none" w:sz="0" w:space="0" w:color="auto"/>
        <w:right w:val="none" w:sz="0" w:space="0" w:color="auto"/>
      </w:divBdr>
    </w:div>
    <w:div w:id="1091052121">
      <w:bodyDiv w:val="1"/>
      <w:marLeft w:val="0"/>
      <w:marRight w:val="0"/>
      <w:marTop w:val="0"/>
      <w:marBottom w:val="0"/>
      <w:divBdr>
        <w:top w:val="none" w:sz="0" w:space="0" w:color="auto"/>
        <w:left w:val="none" w:sz="0" w:space="0" w:color="auto"/>
        <w:bottom w:val="none" w:sz="0" w:space="0" w:color="auto"/>
        <w:right w:val="none" w:sz="0" w:space="0" w:color="auto"/>
      </w:divBdr>
    </w:div>
    <w:div w:id="1180119797">
      <w:bodyDiv w:val="1"/>
      <w:marLeft w:val="0"/>
      <w:marRight w:val="0"/>
      <w:marTop w:val="0"/>
      <w:marBottom w:val="0"/>
      <w:divBdr>
        <w:top w:val="none" w:sz="0" w:space="0" w:color="auto"/>
        <w:left w:val="none" w:sz="0" w:space="0" w:color="auto"/>
        <w:bottom w:val="none" w:sz="0" w:space="0" w:color="auto"/>
        <w:right w:val="none" w:sz="0" w:space="0" w:color="auto"/>
      </w:divBdr>
    </w:div>
    <w:div w:id="1241525762">
      <w:bodyDiv w:val="1"/>
      <w:marLeft w:val="0"/>
      <w:marRight w:val="0"/>
      <w:marTop w:val="0"/>
      <w:marBottom w:val="0"/>
      <w:divBdr>
        <w:top w:val="none" w:sz="0" w:space="0" w:color="auto"/>
        <w:left w:val="none" w:sz="0" w:space="0" w:color="auto"/>
        <w:bottom w:val="none" w:sz="0" w:space="0" w:color="auto"/>
        <w:right w:val="none" w:sz="0" w:space="0" w:color="auto"/>
      </w:divBdr>
    </w:div>
    <w:div w:id="1257640950">
      <w:bodyDiv w:val="1"/>
      <w:marLeft w:val="0"/>
      <w:marRight w:val="0"/>
      <w:marTop w:val="0"/>
      <w:marBottom w:val="0"/>
      <w:divBdr>
        <w:top w:val="none" w:sz="0" w:space="0" w:color="auto"/>
        <w:left w:val="none" w:sz="0" w:space="0" w:color="auto"/>
        <w:bottom w:val="none" w:sz="0" w:space="0" w:color="auto"/>
        <w:right w:val="none" w:sz="0" w:space="0" w:color="auto"/>
      </w:divBdr>
    </w:div>
    <w:div w:id="1308125533">
      <w:bodyDiv w:val="1"/>
      <w:marLeft w:val="0"/>
      <w:marRight w:val="0"/>
      <w:marTop w:val="0"/>
      <w:marBottom w:val="0"/>
      <w:divBdr>
        <w:top w:val="none" w:sz="0" w:space="0" w:color="auto"/>
        <w:left w:val="none" w:sz="0" w:space="0" w:color="auto"/>
        <w:bottom w:val="none" w:sz="0" w:space="0" w:color="auto"/>
        <w:right w:val="none" w:sz="0" w:space="0" w:color="auto"/>
      </w:divBdr>
    </w:div>
    <w:div w:id="1312248058">
      <w:bodyDiv w:val="1"/>
      <w:marLeft w:val="0"/>
      <w:marRight w:val="0"/>
      <w:marTop w:val="0"/>
      <w:marBottom w:val="0"/>
      <w:divBdr>
        <w:top w:val="none" w:sz="0" w:space="0" w:color="auto"/>
        <w:left w:val="none" w:sz="0" w:space="0" w:color="auto"/>
        <w:bottom w:val="none" w:sz="0" w:space="0" w:color="auto"/>
        <w:right w:val="none" w:sz="0" w:space="0" w:color="auto"/>
      </w:divBdr>
    </w:div>
    <w:div w:id="1318604971">
      <w:bodyDiv w:val="1"/>
      <w:marLeft w:val="0"/>
      <w:marRight w:val="0"/>
      <w:marTop w:val="0"/>
      <w:marBottom w:val="0"/>
      <w:divBdr>
        <w:top w:val="none" w:sz="0" w:space="0" w:color="auto"/>
        <w:left w:val="none" w:sz="0" w:space="0" w:color="auto"/>
        <w:bottom w:val="none" w:sz="0" w:space="0" w:color="auto"/>
        <w:right w:val="none" w:sz="0" w:space="0" w:color="auto"/>
      </w:divBdr>
    </w:div>
    <w:div w:id="1402870554">
      <w:bodyDiv w:val="1"/>
      <w:marLeft w:val="0"/>
      <w:marRight w:val="0"/>
      <w:marTop w:val="0"/>
      <w:marBottom w:val="0"/>
      <w:divBdr>
        <w:top w:val="none" w:sz="0" w:space="0" w:color="auto"/>
        <w:left w:val="none" w:sz="0" w:space="0" w:color="auto"/>
        <w:bottom w:val="none" w:sz="0" w:space="0" w:color="auto"/>
        <w:right w:val="none" w:sz="0" w:space="0" w:color="auto"/>
      </w:divBdr>
    </w:div>
    <w:div w:id="1427921602">
      <w:bodyDiv w:val="1"/>
      <w:marLeft w:val="0"/>
      <w:marRight w:val="0"/>
      <w:marTop w:val="0"/>
      <w:marBottom w:val="0"/>
      <w:divBdr>
        <w:top w:val="none" w:sz="0" w:space="0" w:color="auto"/>
        <w:left w:val="none" w:sz="0" w:space="0" w:color="auto"/>
        <w:bottom w:val="none" w:sz="0" w:space="0" w:color="auto"/>
        <w:right w:val="none" w:sz="0" w:space="0" w:color="auto"/>
      </w:divBdr>
    </w:div>
    <w:div w:id="1476800844">
      <w:bodyDiv w:val="1"/>
      <w:marLeft w:val="0"/>
      <w:marRight w:val="0"/>
      <w:marTop w:val="0"/>
      <w:marBottom w:val="0"/>
      <w:divBdr>
        <w:top w:val="none" w:sz="0" w:space="0" w:color="auto"/>
        <w:left w:val="none" w:sz="0" w:space="0" w:color="auto"/>
        <w:bottom w:val="none" w:sz="0" w:space="0" w:color="auto"/>
        <w:right w:val="none" w:sz="0" w:space="0" w:color="auto"/>
      </w:divBdr>
    </w:div>
    <w:div w:id="1484009748">
      <w:bodyDiv w:val="1"/>
      <w:marLeft w:val="0"/>
      <w:marRight w:val="0"/>
      <w:marTop w:val="0"/>
      <w:marBottom w:val="0"/>
      <w:divBdr>
        <w:top w:val="none" w:sz="0" w:space="0" w:color="auto"/>
        <w:left w:val="none" w:sz="0" w:space="0" w:color="auto"/>
        <w:bottom w:val="none" w:sz="0" w:space="0" w:color="auto"/>
        <w:right w:val="none" w:sz="0" w:space="0" w:color="auto"/>
      </w:divBdr>
    </w:div>
    <w:div w:id="1486236685">
      <w:bodyDiv w:val="1"/>
      <w:marLeft w:val="0"/>
      <w:marRight w:val="0"/>
      <w:marTop w:val="0"/>
      <w:marBottom w:val="0"/>
      <w:divBdr>
        <w:top w:val="none" w:sz="0" w:space="0" w:color="auto"/>
        <w:left w:val="none" w:sz="0" w:space="0" w:color="auto"/>
        <w:bottom w:val="none" w:sz="0" w:space="0" w:color="auto"/>
        <w:right w:val="none" w:sz="0" w:space="0" w:color="auto"/>
      </w:divBdr>
    </w:div>
    <w:div w:id="1610745742">
      <w:bodyDiv w:val="1"/>
      <w:marLeft w:val="0"/>
      <w:marRight w:val="0"/>
      <w:marTop w:val="0"/>
      <w:marBottom w:val="0"/>
      <w:divBdr>
        <w:top w:val="none" w:sz="0" w:space="0" w:color="auto"/>
        <w:left w:val="none" w:sz="0" w:space="0" w:color="auto"/>
        <w:bottom w:val="none" w:sz="0" w:space="0" w:color="auto"/>
        <w:right w:val="none" w:sz="0" w:space="0" w:color="auto"/>
      </w:divBdr>
    </w:div>
    <w:div w:id="1625500657">
      <w:bodyDiv w:val="1"/>
      <w:marLeft w:val="0"/>
      <w:marRight w:val="0"/>
      <w:marTop w:val="0"/>
      <w:marBottom w:val="0"/>
      <w:divBdr>
        <w:top w:val="none" w:sz="0" w:space="0" w:color="auto"/>
        <w:left w:val="none" w:sz="0" w:space="0" w:color="auto"/>
        <w:bottom w:val="none" w:sz="0" w:space="0" w:color="auto"/>
        <w:right w:val="none" w:sz="0" w:space="0" w:color="auto"/>
      </w:divBdr>
    </w:div>
    <w:div w:id="1776288647">
      <w:bodyDiv w:val="1"/>
      <w:marLeft w:val="0"/>
      <w:marRight w:val="0"/>
      <w:marTop w:val="0"/>
      <w:marBottom w:val="0"/>
      <w:divBdr>
        <w:top w:val="none" w:sz="0" w:space="0" w:color="auto"/>
        <w:left w:val="none" w:sz="0" w:space="0" w:color="auto"/>
        <w:bottom w:val="none" w:sz="0" w:space="0" w:color="auto"/>
        <w:right w:val="none" w:sz="0" w:space="0" w:color="auto"/>
      </w:divBdr>
    </w:div>
    <w:div w:id="1976791057">
      <w:bodyDiv w:val="1"/>
      <w:marLeft w:val="0"/>
      <w:marRight w:val="0"/>
      <w:marTop w:val="0"/>
      <w:marBottom w:val="0"/>
      <w:divBdr>
        <w:top w:val="none" w:sz="0" w:space="0" w:color="auto"/>
        <w:left w:val="none" w:sz="0" w:space="0" w:color="auto"/>
        <w:bottom w:val="none" w:sz="0" w:space="0" w:color="auto"/>
        <w:right w:val="none" w:sz="0" w:space="0" w:color="auto"/>
      </w:divBdr>
    </w:div>
    <w:div w:id="1986201506">
      <w:bodyDiv w:val="1"/>
      <w:marLeft w:val="0"/>
      <w:marRight w:val="0"/>
      <w:marTop w:val="0"/>
      <w:marBottom w:val="0"/>
      <w:divBdr>
        <w:top w:val="none" w:sz="0" w:space="0" w:color="auto"/>
        <w:left w:val="none" w:sz="0" w:space="0" w:color="auto"/>
        <w:bottom w:val="none" w:sz="0" w:space="0" w:color="auto"/>
        <w:right w:val="none" w:sz="0" w:space="0" w:color="auto"/>
      </w:divBdr>
    </w:div>
    <w:div w:id="1998410620">
      <w:bodyDiv w:val="1"/>
      <w:marLeft w:val="0"/>
      <w:marRight w:val="0"/>
      <w:marTop w:val="0"/>
      <w:marBottom w:val="0"/>
      <w:divBdr>
        <w:top w:val="none" w:sz="0" w:space="0" w:color="auto"/>
        <w:left w:val="none" w:sz="0" w:space="0" w:color="auto"/>
        <w:bottom w:val="none" w:sz="0" w:space="0" w:color="auto"/>
        <w:right w:val="none" w:sz="0" w:space="0" w:color="auto"/>
      </w:divBdr>
    </w:div>
    <w:div w:id="2109154578">
      <w:bodyDiv w:val="1"/>
      <w:marLeft w:val="0"/>
      <w:marRight w:val="0"/>
      <w:marTop w:val="0"/>
      <w:marBottom w:val="0"/>
      <w:divBdr>
        <w:top w:val="none" w:sz="0" w:space="0" w:color="auto"/>
        <w:left w:val="none" w:sz="0" w:space="0" w:color="auto"/>
        <w:bottom w:val="none" w:sz="0" w:space="0" w:color="auto"/>
        <w:right w:val="none" w:sz="0" w:space="0" w:color="auto"/>
      </w:divBdr>
    </w:div>
    <w:div w:id="21264656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gicor.i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igicor.io/" TargetMode="External"/><Relationship Id="rId12" Type="http://schemas.openxmlformats.org/officeDocument/2006/relationships/hyperlink" Target="mailto:hello@DigiCor.io?subject=Hello%20DigiCo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digicor.io/" TargetMode="External"/><Relationship Id="rId5" Type="http://schemas.openxmlformats.org/officeDocument/2006/relationships/hyperlink" Target="http://www.digicor.io/"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digicor.i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764</Words>
  <Characters>4356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solomon stavis</dc:creator>
  <cp:keywords/>
  <dc:description/>
  <cp:lastModifiedBy>solomon stavis</cp:lastModifiedBy>
  <cp:revision>3</cp:revision>
  <dcterms:created xsi:type="dcterms:W3CDTF">2018-02-28T18:25:00Z</dcterms:created>
  <dcterms:modified xsi:type="dcterms:W3CDTF">2018-02-28T18:29:00Z</dcterms:modified>
</cp:coreProperties>
</file>