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839A8C" w14:textId="77777777" w:rsidR="003E3E79" w:rsidRPr="005300DB" w:rsidRDefault="004D2AB1" w:rsidP="008D3784">
      <w:bookmarkStart w:id="0" w:name="_Hlk187568464"/>
      <w:r>
        <w:rPr>
          <w:noProof/>
        </w:rPr>
        <mc:AlternateContent>
          <mc:Choice Requires="wps">
            <w:drawing>
              <wp:anchor distT="0" distB="0" distL="114300" distR="114300" simplePos="0" relativeHeight="251661312" behindDoc="0" locked="0" layoutInCell="1" allowOverlap="1" wp14:anchorId="5A096660" wp14:editId="522603B5">
                <wp:simplePos x="0" y="0"/>
                <wp:positionH relativeFrom="column">
                  <wp:posOffset>-6985</wp:posOffset>
                </wp:positionH>
                <wp:positionV relativeFrom="paragraph">
                  <wp:posOffset>117475</wp:posOffset>
                </wp:positionV>
                <wp:extent cx="2553335" cy="9144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2553335" cy="914400"/>
                        </a:xfrm>
                        <a:prstGeom prst="rect">
                          <a:avLst/>
                        </a:prstGeom>
                        <a:noFill/>
                        <a:ln>
                          <a:noFill/>
                        </a:ln>
                        <a:effectLst/>
                        <a:extLst>
                          <a:ext uri="{C572A759-6A51-4108-AA02-DFA0A04FC94B}">
                            <ma14:wrappingTextBoxFlag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71A1E787" w14:textId="6CCE564A" w:rsidR="004D2AB1" w:rsidRDefault="005D22DF">
                            <w:r>
                              <w:rPr>
                                <w:noProof/>
                              </w:rPr>
                              <w:drawing>
                                <wp:inline distT="0" distB="0" distL="0" distR="0" wp14:anchorId="42FD72B9" wp14:editId="232B2138">
                                  <wp:extent cx="2370455" cy="737235"/>
                                  <wp:effectExtent l="0" t="0" r="0" b="5715"/>
                                  <wp:docPr id="655242316" name="Picture 6" descr="A black background with red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242316" name="Picture 6" descr="A black background with red and blue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70455" cy="7372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A096660" id="_x0000_t202" coordsize="21600,21600" o:spt="202" path="m,l,21600r21600,l21600,xe">
                <v:stroke joinstyle="miter"/>
                <v:path gradientshapeok="t" o:connecttype="rect"/>
              </v:shapetype>
              <v:shape id="Text Box 3" o:spid="_x0000_s1026" type="#_x0000_t202" style="position:absolute;margin-left:-.55pt;margin-top:9.25pt;width:201.05pt;height:1in;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" filled="f" stroked="f">
                <v:textbox>
                  <w:txbxContent>
                    <w:p w14:paraId="71A1E787" w14:textId="6CCE564A" w:rsidR="004D2AB1" w:rsidRDefault="005D22DF">
                      <w:r>
                        <w:rPr>
                          <w:noProof/>
                        </w:rPr>
                        <w:drawing>
                          <wp:inline distT="0" distB="0" distL="0" distR="0" wp14:anchorId="42FD72B9" wp14:editId="232B2138">
                            <wp:extent cx="2370455" cy="737235"/>
                            <wp:effectExtent l="0" t="0" r="0" b="5715"/>
                            <wp:docPr id="655242316" name="Picture 6" descr="A black background with red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242316" name="Picture 6" descr="A black background with red and blue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70455" cy="737235"/>
                                    </a:xfrm>
                                    <a:prstGeom prst="rect">
                                      <a:avLst/>
                                    </a:prstGeom>
                                    <a:noFill/>
                                    <a:ln>
                                      <a:noFill/>
                                    </a:ln>
                                  </pic:spPr>
                                </pic:pic>
                              </a:graphicData>
                            </a:graphic>
                          </wp:inline>
                        </w:drawing>
                      </w:r>
                    </w:p>
                  </w:txbxContent>
                </v:textbox>
                <w10:wrap type="square"/>
              </v:shape>
            </w:pict>
          </mc:Fallback>
        </mc:AlternateContent>
      </w:r>
    </w:p>
    <w:bookmarkEnd w:id="0"/>
    <w:p w14:paraId="12CCD157" w14:textId="77777777" w:rsidR="00CB28DB" w:rsidRDefault="00A24302" w:rsidP="004D2AB1">
      <w:pPr>
        <w:ind w:left="90"/>
      </w:pPr>
      <w:r>
        <w:rPr>
          <w:noProof/>
          <w:sz w:val="20"/>
          <w:szCs w:val="20"/>
        </w:rPr>
        <mc:AlternateContent>
          <mc:Choice Requires="wps">
            <w:drawing>
              <wp:anchor distT="0" distB="0" distL="114300" distR="114300" simplePos="0" relativeHeight="251659264" behindDoc="0" locked="0" layoutInCell="1" allowOverlap="1" wp14:anchorId="3AB83F3F" wp14:editId="495F36CB">
                <wp:simplePos x="0" y="0"/>
                <wp:positionH relativeFrom="column">
                  <wp:posOffset>5067935</wp:posOffset>
                </wp:positionH>
                <wp:positionV relativeFrom="paragraph">
                  <wp:posOffset>78740</wp:posOffset>
                </wp:positionV>
                <wp:extent cx="1847850" cy="104457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1847850" cy="1044575"/>
                        </a:xfrm>
                        <a:prstGeom prst="rect">
                          <a:avLst/>
                        </a:prstGeom>
                        <a:noFill/>
                        <a:ln>
                          <a:noFill/>
                        </a:ln>
                        <a:effectLst/>
                        <a:extLst>
                          <a:ext uri="{C572A759-6A51-4108-AA02-DFA0A04FC94B}">
                            <ma14:wrappingTextBoxFlag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7D26D58B" w14:textId="77777777" w:rsidR="00A24302" w:rsidRPr="00A24302" w:rsidRDefault="00A24302" w:rsidP="00A24302">
                            <w:pPr>
                              <w:spacing w:line="360" w:lineRule="auto"/>
                              <w:rPr>
                                <w:rFonts w:ascii="Arial" w:hAnsi="Arial" w:cs="Arial"/>
                                <w:color w:val="44536A"/>
                                <w:sz w:val="16"/>
                                <w:szCs w:val="16"/>
                              </w:rPr>
                            </w:pPr>
                            <w:r w:rsidRPr="00A24302">
                              <w:rPr>
                                <w:rFonts w:ascii="Arial" w:hAnsi="Arial" w:cs="Arial"/>
                                <w:color w:val="44536A"/>
                                <w:sz w:val="16"/>
                                <w:szCs w:val="16"/>
                              </w:rPr>
                              <w:t>1100-1199 West Hastings St.</w:t>
                            </w:r>
                          </w:p>
                          <w:p w14:paraId="55DB3F70" w14:textId="77777777" w:rsidR="004D2AB1" w:rsidRPr="004D2AB1" w:rsidRDefault="00A24302" w:rsidP="00A24302">
                            <w:pPr>
                              <w:spacing w:line="360" w:lineRule="auto"/>
                              <w:rPr>
                                <w:rFonts w:ascii="Arial" w:hAnsi="Arial" w:cs="Arial"/>
                                <w:color w:val="44536A"/>
                                <w:sz w:val="16"/>
                                <w:szCs w:val="16"/>
                              </w:rPr>
                            </w:pPr>
                            <w:r w:rsidRPr="00A24302">
                              <w:rPr>
                                <w:rFonts w:ascii="Arial" w:hAnsi="Arial" w:cs="Arial"/>
                                <w:color w:val="44536A"/>
                                <w:sz w:val="16"/>
                                <w:szCs w:val="16"/>
                              </w:rPr>
                              <w:t>Vancouver, BC Canada V6E 3T5</w:t>
                            </w:r>
                          </w:p>
                          <w:p w14:paraId="571D94F6" w14:textId="3BB926E6" w:rsidR="004D2AB1" w:rsidRPr="002D5A04" w:rsidRDefault="004D2AB1" w:rsidP="007B5628">
                            <w:pPr>
                              <w:spacing w:line="360" w:lineRule="auto"/>
                              <w:rPr>
                                <w:rFonts w:ascii="Arial" w:hAnsi="Arial" w:cs="Arial"/>
                                <w:color w:val="44536A"/>
                                <w:sz w:val="16"/>
                                <w:szCs w:val="16"/>
                                <w:lang w:val="es-ES"/>
                              </w:rPr>
                            </w:pPr>
                            <w:r w:rsidRPr="002D5A04">
                              <w:rPr>
                                <w:rFonts w:ascii="Arial" w:hAnsi="Arial" w:cs="Arial"/>
                                <w:b/>
                                <w:bCs/>
                                <w:color w:val="17365D" w:themeColor="text2" w:themeShade="BF"/>
                                <w:sz w:val="16"/>
                                <w:szCs w:val="16"/>
                                <w:lang w:val="es-ES"/>
                              </w:rPr>
                              <w:t>T</w:t>
                            </w:r>
                            <w:r w:rsidRPr="002D5A04">
                              <w:rPr>
                                <w:rFonts w:ascii="Arial" w:hAnsi="Arial" w:cs="Arial"/>
                                <w:color w:val="17365D" w:themeColor="text2" w:themeShade="BF"/>
                                <w:sz w:val="16"/>
                                <w:szCs w:val="16"/>
                                <w:lang w:val="es-ES"/>
                              </w:rPr>
                              <w:t xml:space="preserve"> </w:t>
                            </w:r>
                            <w:r w:rsidR="009F7037" w:rsidRPr="002D5A04">
                              <w:rPr>
                                <w:rFonts w:ascii="Arial" w:hAnsi="Arial" w:cs="Arial"/>
                                <w:color w:val="44536A"/>
                                <w:sz w:val="16"/>
                                <w:szCs w:val="16"/>
                                <w:lang w:val="es-ES"/>
                              </w:rPr>
                              <w:t>604</w:t>
                            </w:r>
                            <w:r w:rsidRPr="002D5A04">
                              <w:rPr>
                                <w:rFonts w:ascii="Arial" w:hAnsi="Arial" w:cs="Arial"/>
                                <w:color w:val="44536A"/>
                                <w:sz w:val="16"/>
                                <w:szCs w:val="16"/>
                                <w:lang w:val="es-ES"/>
                              </w:rPr>
                              <w:t xml:space="preserve"> </w:t>
                            </w:r>
                            <w:r w:rsidR="009F7037" w:rsidRPr="002D5A04">
                              <w:rPr>
                                <w:rFonts w:ascii="Arial" w:hAnsi="Arial" w:cs="Arial"/>
                                <w:color w:val="44536A"/>
                                <w:sz w:val="16"/>
                                <w:szCs w:val="16"/>
                                <w:lang w:val="es-ES"/>
                              </w:rPr>
                              <w:t>551</w:t>
                            </w:r>
                            <w:r w:rsidRPr="002D5A04">
                              <w:rPr>
                                <w:rFonts w:ascii="Arial" w:hAnsi="Arial" w:cs="Arial"/>
                                <w:color w:val="44536A"/>
                                <w:sz w:val="16"/>
                                <w:szCs w:val="16"/>
                                <w:lang w:val="es-ES"/>
                              </w:rPr>
                              <w:t xml:space="preserve"> </w:t>
                            </w:r>
                            <w:r w:rsidR="009F7037" w:rsidRPr="002D5A04">
                              <w:rPr>
                                <w:rFonts w:ascii="Arial" w:hAnsi="Arial" w:cs="Arial"/>
                                <w:color w:val="44536A"/>
                                <w:sz w:val="16"/>
                                <w:szCs w:val="16"/>
                                <w:lang w:val="es-ES"/>
                              </w:rPr>
                              <w:t>9665</w:t>
                            </w:r>
                          </w:p>
                          <w:p w14:paraId="24E88313" w14:textId="562E10D7" w:rsidR="004D2AB1" w:rsidRPr="002D5A04" w:rsidRDefault="004D2AB1" w:rsidP="007B5628">
                            <w:pPr>
                              <w:spacing w:line="360" w:lineRule="auto"/>
                              <w:rPr>
                                <w:rFonts w:ascii="Arial" w:hAnsi="Arial" w:cs="Arial"/>
                                <w:color w:val="44536A"/>
                                <w:sz w:val="16"/>
                                <w:szCs w:val="16"/>
                                <w:lang w:val="es-ES"/>
                              </w:rPr>
                            </w:pPr>
                            <w:r w:rsidRPr="002D5A04">
                              <w:rPr>
                                <w:rFonts w:ascii="Arial" w:hAnsi="Arial" w:cs="Arial"/>
                                <w:b/>
                                <w:bCs/>
                                <w:color w:val="17365D" w:themeColor="text2" w:themeShade="BF"/>
                                <w:sz w:val="16"/>
                                <w:szCs w:val="16"/>
                                <w:lang w:val="es-ES"/>
                              </w:rPr>
                              <w:t>E</w:t>
                            </w:r>
                            <w:r w:rsidRPr="002D5A04">
                              <w:rPr>
                                <w:rFonts w:ascii="Arial" w:hAnsi="Arial" w:cs="Arial"/>
                                <w:color w:val="17365D" w:themeColor="text2" w:themeShade="BF"/>
                                <w:sz w:val="16"/>
                                <w:szCs w:val="16"/>
                                <w:lang w:val="es-ES"/>
                              </w:rPr>
                              <w:t xml:space="preserve"> </w:t>
                            </w:r>
                            <w:r w:rsidR="00B20427" w:rsidRPr="002D5A04">
                              <w:rPr>
                                <w:rFonts w:ascii="Arial" w:hAnsi="Arial" w:cs="Arial"/>
                                <w:color w:val="44536A"/>
                                <w:sz w:val="16"/>
                                <w:szCs w:val="16"/>
                                <w:lang w:val="es-ES"/>
                              </w:rPr>
                              <w:t>sclarke</w:t>
                            </w:r>
                            <w:r w:rsidR="007B5628" w:rsidRPr="002D5A04">
                              <w:rPr>
                                <w:rFonts w:ascii="Arial" w:hAnsi="Arial" w:cs="Arial"/>
                                <w:color w:val="44536A"/>
                                <w:sz w:val="16"/>
                                <w:szCs w:val="16"/>
                                <w:lang w:val="es-ES"/>
                              </w:rPr>
                              <w:t>@</w:t>
                            </w:r>
                            <w:r w:rsidR="005D22DF" w:rsidRPr="002D5A04">
                              <w:rPr>
                                <w:rFonts w:ascii="Arial" w:hAnsi="Arial" w:cs="Arial"/>
                                <w:color w:val="44536A"/>
                                <w:sz w:val="16"/>
                                <w:szCs w:val="16"/>
                                <w:lang w:val="es-ES"/>
                              </w:rPr>
                              <w:t>acmineralscorp</w:t>
                            </w:r>
                            <w:r w:rsidR="007B5628" w:rsidRPr="002D5A04">
                              <w:rPr>
                                <w:rFonts w:ascii="Arial" w:hAnsi="Arial" w:cs="Arial"/>
                                <w:color w:val="44536A"/>
                                <w:sz w:val="16"/>
                                <w:szCs w:val="16"/>
                                <w:lang w:val="es-ES"/>
                              </w:rPr>
                              <w:t>.c</w:t>
                            </w:r>
                            <w:r w:rsidR="000947C4" w:rsidRPr="002D5A04">
                              <w:rPr>
                                <w:rFonts w:ascii="Arial" w:hAnsi="Arial" w:cs="Arial"/>
                                <w:color w:val="44536A"/>
                                <w:sz w:val="16"/>
                                <w:szCs w:val="16"/>
                                <w:lang w:val="es-ES"/>
                              </w:rPr>
                              <w:t>om</w:t>
                            </w:r>
                          </w:p>
                          <w:p w14:paraId="06F9445A" w14:textId="77777777" w:rsidR="007B5628" w:rsidRPr="002D5A04" w:rsidRDefault="007B5628" w:rsidP="007B5628">
                            <w:pPr>
                              <w:spacing w:line="360" w:lineRule="auto"/>
                              <w:rPr>
                                <w:rFonts w:ascii="Arial" w:hAnsi="Arial" w:cs="Arial"/>
                                <w:color w:val="44536A"/>
                                <w:sz w:val="16"/>
                                <w:szCs w:val="16"/>
                                <w:lang w:val="es-ES"/>
                              </w:rPr>
                            </w:pPr>
                          </w:p>
                          <w:p w14:paraId="23BFD902" w14:textId="77777777" w:rsidR="004D2AB1" w:rsidRPr="002D5A04" w:rsidRDefault="004D2AB1" w:rsidP="007B5628">
                            <w:pPr>
                              <w:spacing w:line="360" w:lineRule="auto"/>
                              <w:rPr>
                                <w:rFonts w:ascii="Arial" w:hAnsi="Arial" w:cs="Arial"/>
                                <w:sz w:val="16"/>
                                <w:szCs w:val="16"/>
                                <w:lang w:val="es-ES"/>
                              </w:rPr>
                            </w:pPr>
                          </w:p>
                          <w:p w14:paraId="11F4F0EE" w14:textId="77777777" w:rsidR="00E925B1" w:rsidRPr="002D5A04" w:rsidRDefault="00E925B1" w:rsidP="007B5628">
                            <w:pPr>
                              <w:spacing w:line="360" w:lineRule="auto"/>
                              <w:rPr>
                                <w:rFonts w:ascii="Arial" w:hAnsi="Arial" w:cs="Arial"/>
                                <w:sz w:val="16"/>
                                <w:szCs w:val="16"/>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B83F3F" id="Text Box 2" o:spid="_x0000_s1027" type="#_x0000_t202" style="position:absolute;left:0;text-align:left;margin-left:399.05pt;margin-top:6.2pt;width:145.5pt;height:8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" filled="f" stroked="f">
                <v:textbox>
                  <w:txbxContent>
                    <w:p w14:paraId="7D26D58B" w14:textId="77777777" w:rsidR="00A24302" w:rsidRPr="00A24302" w:rsidRDefault="00A24302" w:rsidP="00A24302">
                      <w:pPr>
                        <w:spacing w:line="360" w:lineRule="auto"/>
                        <w:rPr>
                          <w:rFonts w:ascii="Arial" w:hAnsi="Arial" w:cs="Arial"/>
                          <w:color w:val="44536A"/>
                          <w:sz w:val="16"/>
                          <w:szCs w:val="16"/>
                        </w:rPr>
                      </w:pPr>
                      <w:r w:rsidRPr="00A24302">
                        <w:rPr>
                          <w:rFonts w:ascii="Arial" w:hAnsi="Arial" w:cs="Arial"/>
                          <w:color w:val="44536A"/>
                          <w:sz w:val="16"/>
                          <w:szCs w:val="16"/>
                        </w:rPr>
                        <w:t>1100-1199 West Hastings St.</w:t>
                      </w:r>
                    </w:p>
                    <w:p w14:paraId="55DB3F70" w14:textId="77777777" w:rsidR="004D2AB1" w:rsidRPr="004D2AB1" w:rsidRDefault="00A24302" w:rsidP="00A24302">
                      <w:pPr>
                        <w:spacing w:line="360" w:lineRule="auto"/>
                        <w:rPr>
                          <w:rFonts w:ascii="Arial" w:hAnsi="Arial" w:cs="Arial"/>
                          <w:color w:val="44536A"/>
                          <w:sz w:val="16"/>
                          <w:szCs w:val="16"/>
                        </w:rPr>
                      </w:pPr>
                      <w:r w:rsidRPr="00A24302">
                        <w:rPr>
                          <w:rFonts w:ascii="Arial" w:hAnsi="Arial" w:cs="Arial"/>
                          <w:color w:val="44536A"/>
                          <w:sz w:val="16"/>
                          <w:szCs w:val="16"/>
                        </w:rPr>
                        <w:t>Vancouver, BC Canada V6E 3T5</w:t>
                      </w:r>
                    </w:p>
                    <w:p w14:paraId="571D94F6" w14:textId="3BB926E6" w:rsidR="004D2AB1" w:rsidRPr="002D5A04" w:rsidRDefault="004D2AB1" w:rsidP="007B5628">
                      <w:pPr>
                        <w:spacing w:line="360" w:lineRule="auto"/>
                        <w:rPr>
                          <w:rFonts w:ascii="Arial" w:hAnsi="Arial" w:cs="Arial"/>
                          <w:color w:val="44536A"/>
                          <w:sz w:val="16"/>
                          <w:szCs w:val="16"/>
                          <w:lang w:val="es-ES"/>
                        </w:rPr>
                      </w:pPr>
                      <w:r w:rsidRPr="002D5A04">
                        <w:rPr>
                          <w:rFonts w:ascii="Arial" w:hAnsi="Arial" w:cs="Arial"/>
                          <w:b/>
                          <w:bCs/>
                          <w:color w:val="17365D" w:themeColor="text2" w:themeShade="BF"/>
                          <w:sz w:val="16"/>
                          <w:szCs w:val="16"/>
                          <w:lang w:val="es-ES"/>
                        </w:rPr>
                        <w:t>T</w:t>
                      </w:r>
                      <w:r w:rsidRPr="002D5A04">
                        <w:rPr>
                          <w:rFonts w:ascii="Arial" w:hAnsi="Arial" w:cs="Arial"/>
                          <w:color w:val="17365D" w:themeColor="text2" w:themeShade="BF"/>
                          <w:sz w:val="16"/>
                          <w:szCs w:val="16"/>
                          <w:lang w:val="es-ES"/>
                        </w:rPr>
                        <w:t xml:space="preserve"> </w:t>
                      </w:r>
                      <w:r w:rsidR="009F7037" w:rsidRPr="002D5A04">
                        <w:rPr>
                          <w:rFonts w:ascii="Arial" w:hAnsi="Arial" w:cs="Arial"/>
                          <w:color w:val="44536A"/>
                          <w:sz w:val="16"/>
                          <w:szCs w:val="16"/>
                          <w:lang w:val="es-ES"/>
                        </w:rPr>
                        <w:t>604</w:t>
                      </w:r>
                      <w:r w:rsidRPr="002D5A04">
                        <w:rPr>
                          <w:rFonts w:ascii="Arial" w:hAnsi="Arial" w:cs="Arial"/>
                          <w:color w:val="44536A"/>
                          <w:sz w:val="16"/>
                          <w:szCs w:val="16"/>
                          <w:lang w:val="es-ES"/>
                        </w:rPr>
                        <w:t xml:space="preserve"> </w:t>
                      </w:r>
                      <w:r w:rsidR="009F7037" w:rsidRPr="002D5A04">
                        <w:rPr>
                          <w:rFonts w:ascii="Arial" w:hAnsi="Arial" w:cs="Arial"/>
                          <w:color w:val="44536A"/>
                          <w:sz w:val="16"/>
                          <w:szCs w:val="16"/>
                          <w:lang w:val="es-ES"/>
                        </w:rPr>
                        <w:t>551</w:t>
                      </w:r>
                      <w:r w:rsidRPr="002D5A04">
                        <w:rPr>
                          <w:rFonts w:ascii="Arial" w:hAnsi="Arial" w:cs="Arial"/>
                          <w:color w:val="44536A"/>
                          <w:sz w:val="16"/>
                          <w:szCs w:val="16"/>
                          <w:lang w:val="es-ES"/>
                        </w:rPr>
                        <w:t xml:space="preserve"> </w:t>
                      </w:r>
                      <w:r w:rsidR="009F7037" w:rsidRPr="002D5A04">
                        <w:rPr>
                          <w:rFonts w:ascii="Arial" w:hAnsi="Arial" w:cs="Arial"/>
                          <w:color w:val="44536A"/>
                          <w:sz w:val="16"/>
                          <w:szCs w:val="16"/>
                          <w:lang w:val="es-ES"/>
                        </w:rPr>
                        <w:t>9665</w:t>
                      </w:r>
                    </w:p>
                    <w:p w14:paraId="24E88313" w14:textId="562E10D7" w:rsidR="004D2AB1" w:rsidRPr="002D5A04" w:rsidRDefault="004D2AB1" w:rsidP="007B5628">
                      <w:pPr>
                        <w:spacing w:line="360" w:lineRule="auto"/>
                        <w:rPr>
                          <w:rFonts w:ascii="Arial" w:hAnsi="Arial" w:cs="Arial"/>
                          <w:color w:val="44536A"/>
                          <w:sz w:val="16"/>
                          <w:szCs w:val="16"/>
                          <w:lang w:val="es-ES"/>
                        </w:rPr>
                      </w:pPr>
                      <w:r w:rsidRPr="002D5A04">
                        <w:rPr>
                          <w:rFonts w:ascii="Arial" w:hAnsi="Arial" w:cs="Arial"/>
                          <w:b/>
                          <w:bCs/>
                          <w:color w:val="17365D" w:themeColor="text2" w:themeShade="BF"/>
                          <w:sz w:val="16"/>
                          <w:szCs w:val="16"/>
                          <w:lang w:val="es-ES"/>
                        </w:rPr>
                        <w:t>E</w:t>
                      </w:r>
                      <w:r w:rsidRPr="002D5A04">
                        <w:rPr>
                          <w:rFonts w:ascii="Arial" w:hAnsi="Arial" w:cs="Arial"/>
                          <w:color w:val="17365D" w:themeColor="text2" w:themeShade="BF"/>
                          <w:sz w:val="16"/>
                          <w:szCs w:val="16"/>
                          <w:lang w:val="es-ES"/>
                        </w:rPr>
                        <w:t xml:space="preserve"> </w:t>
                      </w:r>
                      <w:r w:rsidR="00B20427" w:rsidRPr="002D5A04">
                        <w:rPr>
                          <w:rFonts w:ascii="Arial" w:hAnsi="Arial" w:cs="Arial"/>
                          <w:color w:val="44536A"/>
                          <w:sz w:val="16"/>
                          <w:szCs w:val="16"/>
                          <w:lang w:val="es-ES"/>
                        </w:rPr>
                        <w:t>sclarke</w:t>
                      </w:r>
                      <w:r w:rsidR="007B5628" w:rsidRPr="002D5A04">
                        <w:rPr>
                          <w:rFonts w:ascii="Arial" w:hAnsi="Arial" w:cs="Arial"/>
                          <w:color w:val="44536A"/>
                          <w:sz w:val="16"/>
                          <w:szCs w:val="16"/>
                          <w:lang w:val="es-ES"/>
                        </w:rPr>
                        <w:t>@</w:t>
                      </w:r>
                      <w:r w:rsidR="005D22DF" w:rsidRPr="002D5A04">
                        <w:rPr>
                          <w:rFonts w:ascii="Arial" w:hAnsi="Arial" w:cs="Arial"/>
                          <w:color w:val="44536A"/>
                          <w:sz w:val="16"/>
                          <w:szCs w:val="16"/>
                          <w:lang w:val="es-ES"/>
                        </w:rPr>
                        <w:t>acmineralscorp</w:t>
                      </w:r>
                      <w:r w:rsidR="007B5628" w:rsidRPr="002D5A04">
                        <w:rPr>
                          <w:rFonts w:ascii="Arial" w:hAnsi="Arial" w:cs="Arial"/>
                          <w:color w:val="44536A"/>
                          <w:sz w:val="16"/>
                          <w:szCs w:val="16"/>
                          <w:lang w:val="es-ES"/>
                        </w:rPr>
                        <w:t>.c</w:t>
                      </w:r>
                      <w:r w:rsidR="000947C4" w:rsidRPr="002D5A04">
                        <w:rPr>
                          <w:rFonts w:ascii="Arial" w:hAnsi="Arial" w:cs="Arial"/>
                          <w:color w:val="44536A"/>
                          <w:sz w:val="16"/>
                          <w:szCs w:val="16"/>
                          <w:lang w:val="es-ES"/>
                        </w:rPr>
                        <w:t>om</w:t>
                      </w:r>
                    </w:p>
                    <w:p w14:paraId="06F9445A" w14:textId="77777777" w:rsidR="007B5628" w:rsidRPr="002D5A04" w:rsidRDefault="007B5628" w:rsidP="007B5628">
                      <w:pPr>
                        <w:spacing w:line="360" w:lineRule="auto"/>
                        <w:rPr>
                          <w:rFonts w:ascii="Arial" w:hAnsi="Arial" w:cs="Arial"/>
                          <w:color w:val="44536A"/>
                          <w:sz w:val="16"/>
                          <w:szCs w:val="16"/>
                          <w:lang w:val="es-ES"/>
                        </w:rPr>
                      </w:pPr>
                    </w:p>
                    <w:p w14:paraId="23BFD902" w14:textId="77777777" w:rsidR="004D2AB1" w:rsidRPr="002D5A04" w:rsidRDefault="004D2AB1" w:rsidP="007B5628">
                      <w:pPr>
                        <w:spacing w:line="360" w:lineRule="auto"/>
                        <w:rPr>
                          <w:rFonts w:ascii="Arial" w:hAnsi="Arial" w:cs="Arial"/>
                          <w:sz w:val="16"/>
                          <w:szCs w:val="16"/>
                          <w:lang w:val="es-ES"/>
                        </w:rPr>
                      </w:pPr>
                    </w:p>
                    <w:p w14:paraId="11F4F0EE" w14:textId="77777777" w:rsidR="00E925B1" w:rsidRPr="002D5A04" w:rsidRDefault="00E925B1" w:rsidP="007B5628">
                      <w:pPr>
                        <w:spacing w:line="360" w:lineRule="auto"/>
                        <w:rPr>
                          <w:rFonts w:ascii="Arial" w:hAnsi="Arial" w:cs="Arial"/>
                          <w:sz w:val="16"/>
                          <w:szCs w:val="16"/>
                          <w:lang w:val="es-ES"/>
                        </w:rPr>
                      </w:pPr>
                    </w:p>
                  </w:txbxContent>
                </v:textbox>
                <w10:wrap type="square"/>
              </v:shape>
            </w:pict>
          </mc:Fallback>
        </mc:AlternateContent>
      </w:r>
      <w:r w:rsidR="003312E7">
        <w:rPr>
          <w:noProof/>
          <w:sz w:val="20"/>
          <w:szCs w:val="20"/>
        </w:rPr>
        <mc:AlternateContent>
          <mc:Choice Requires="wps">
            <w:drawing>
              <wp:anchor distT="0" distB="0" distL="114300" distR="114300" simplePos="0" relativeHeight="251663360" behindDoc="0" locked="0" layoutInCell="1" allowOverlap="1" wp14:anchorId="64C5DA98" wp14:editId="155FD2B0">
                <wp:simplePos x="0" y="0"/>
                <wp:positionH relativeFrom="column">
                  <wp:posOffset>3283585</wp:posOffset>
                </wp:positionH>
                <wp:positionV relativeFrom="paragraph">
                  <wp:posOffset>71120</wp:posOffset>
                </wp:positionV>
                <wp:extent cx="1625600" cy="561340"/>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1625600" cy="561340"/>
                        </a:xfrm>
                        <a:prstGeom prst="rect">
                          <a:avLst/>
                        </a:prstGeom>
                        <a:noFill/>
                        <a:ln>
                          <a:noFill/>
                        </a:ln>
                        <a:effectLst/>
                        <a:extLst>
                          <a:ext uri="{C572A759-6A51-4108-AA02-DFA0A04FC94B}">
                            <ma14:wrappingTextBoxFlag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28086240" w14:textId="4048DF79" w:rsidR="007B5628" w:rsidRPr="00C158E3" w:rsidRDefault="007B5628" w:rsidP="007B5628">
                            <w:pPr>
                              <w:jc w:val="right"/>
                              <w:rPr>
                                <w:rFonts w:ascii="Arial" w:hAnsi="Arial" w:cs="Arial"/>
                                <w:sz w:val="20"/>
                                <w:szCs w:val="20"/>
                              </w:rPr>
                            </w:pPr>
                            <w:r w:rsidRPr="002D5A04">
                              <w:rPr>
                                <w:rFonts w:ascii="Arial Black" w:hAnsi="Arial Black" w:cs="Arial"/>
                                <w:b/>
                                <w:bCs/>
                                <w:color w:val="17365D" w:themeColor="text2" w:themeShade="BF"/>
                                <w:sz w:val="20"/>
                                <w:szCs w:val="20"/>
                              </w:rPr>
                              <w:t>CSE-KCL</w:t>
                            </w:r>
                            <w:r w:rsidR="005D22DF" w:rsidRPr="002D5A04">
                              <w:rPr>
                                <w:rFonts w:ascii="Arial Black" w:hAnsi="Arial Black" w:cs="Arial"/>
                                <w:b/>
                                <w:bCs/>
                                <w:color w:val="17365D" w:themeColor="text2" w:themeShade="BF"/>
                                <w:sz w:val="20"/>
                                <w:szCs w:val="20"/>
                              </w:rPr>
                              <w:t>I</w:t>
                            </w:r>
                            <w:r w:rsidRPr="002D5A04">
                              <w:rPr>
                                <w:rFonts w:ascii="Arial" w:hAnsi="Arial" w:cs="Arial"/>
                                <w:color w:val="17365D" w:themeColor="text2" w:themeShade="BF"/>
                                <w:sz w:val="20"/>
                                <w:szCs w:val="20"/>
                              </w:rPr>
                              <w:t xml:space="preserve"> </w:t>
                            </w:r>
                            <w:r>
                              <w:rPr>
                                <w:rFonts w:ascii="Arial" w:hAnsi="Arial" w:cs="Arial"/>
                                <w:sz w:val="20"/>
                                <w:szCs w:val="20"/>
                              </w:rPr>
                              <w:br/>
                            </w:r>
                            <w:r w:rsidR="00A24302">
                              <w:rPr>
                                <w:rFonts w:ascii="Arial" w:hAnsi="Arial" w:cs="Arial"/>
                                <w:color w:val="44536A"/>
                                <w:sz w:val="20"/>
                                <w:szCs w:val="20"/>
                                <w:lang w:val="en-CA"/>
                              </w:rPr>
                              <w:t>a</w:t>
                            </w:r>
                            <w:r w:rsidR="005D22DF">
                              <w:rPr>
                                <w:rFonts w:ascii="Arial" w:hAnsi="Arial" w:cs="Arial"/>
                                <w:color w:val="44536A"/>
                                <w:sz w:val="20"/>
                                <w:szCs w:val="20"/>
                                <w:lang w:val="en-CA"/>
                              </w:rPr>
                              <w:t>cmineralscorp</w:t>
                            </w:r>
                            <w:r w:rsidRPr="007B5628">
                              <w:rPr>
                                <w:rFonts w:ascii="Arial" w:hAnsi="Arial" w:cs="Arial"/>
                                <w:color w:val="44536A"/>
                                <w:sz w:val="20"/>
                                <w:szCs w:val="20"/>
                                <w:lang w:val="en-CA"/>
                              </w:rPr>
                              <w:t>.com</w:t>
                            </w:r>
                          </w:p>
                          <w:p w14:paraId="64ADF0B6" w14:textId="77777777" w:rsidR="007B5628" w:rsidRPr="004D2AB1" w:rsidRDefault="007B5628" w:rsidP="007B5628">
                            <w:pPr>
                              <w:jc w:val="right"/>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5DA98" id="Text Box 19" o:spid="_x0000_s1028" type="#_x0000_t202" style="position:absolute;left:0;text-align:left;margin-left:258.55pt;margin-top:5.6pt;width:128pt;height:4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" filled="f" stroked="f">
                <v:textbox>
                  <w:txbxContent>
                    <w:p w14:paraId="28086240" w14:textId="4048DF79" w:rsidR="007B5628" w:rsidRPr="00C158E3" w:rsidRDefault="007B5628" w:rsidP="007B5628">
                      <w:pPr>
                        <w:jc w:val="right"/>
                        <w:rPr>
                          <w:rFonts w:ascii="Arial" w:hAnsi="Arial" w:cs="Arial"/>
                          <w:sz w:val="20"/>
                          <w:szCs w:val="20"/>
                        </w:rPr>
                      </w:pPr>
                      <w:r w:rsidRPr="002D5A04">
                        <w:rPr>
                          <w:rFonts w:ascii="Arial Black" w:hAnsi="Arial Black" w:cs="Arial"/>
                          <w:b/>
                          <w:bCs/>
                          <w:color w:val="17365D" w:themeColor="text2" w:themeShade="BF"/>
                          <w:sz w:val="20"/>
                          <w:szCs w:val="20"/>
                        </w:rPr>
                        <w:t>CSE-KCL</w:t>
                      </w:r>
                      <w:r w:rsidR="005D22DF" w:rsidRPr="002D5A04">
                        <w:rPr>
                          <w:rFonts w:ascii="Arial Black" w:hAnsi="Arial Black" w:cs="Arial"/>
                          <w:b/>
                          <w:bCs/>
                          <w:color w:val="17365D" w:themeColor="text2" w:themeShade="BF"/>
                          <w:sz w:val="20"/>
                          <w:szCs w:val="20"/>
                        </w:rPr>
                        <w:t>I</w:t>
                      </w:r>
                      <w:r w:rsidRPr="002D5A04">
                        <w:rPr>
                          <w:rFonts w:ascii="Arial" w:hAnsi="Arial" w:cs="Arial"/>
                          <w:color w:val="17365D" w:themeColor="text2" w:themeShade="BF"/>
                          <w:sz w:val="20"/>
                          <w:szCs w:val="20"/>
                        </w:rPr>
                        <w:t xml:space="preserve"> </w:t>
                      </w:r>
                      <w:r>
                        <w:rPr>
                          <w:rFonts w:ascii="Arial" w:hAnsi="Arial" w:cs="Arial"/>
                          <w:sz w:val="20"/>
                          <w:szCs w:val="20"/>
                        </w:rPr>
                        <w:br/>
                      </w:r>
                      <w:r w:rsidR="00A24302">
                        <w:rPr>
                          <w:rFonts w:ascii="Arial" w:hAnsi="Arial" w:cs="Arial"/>
                          <w:color w:val="44536A"/>
                          <w:sz w:val="20"/>
                          <w:szCs w:val="20"/>
                          <w:lang w:val="en-CA"/>
                        </w:rPr>
                        <w:t>a</w:t>
                      </w:r>
                      <w:r w:rsidR="005D22DF">
                        <w:rPr>
                          <w:rFonts w:ascii="Arial" w:hAnsi="Arial" w:cs="Arial"/>
                          <w:color w:val="44536A"/>
                          <w:sz w:val="20"/>
                          <w:szCs w:val="20"/>
                          <w:lang w:val="en-CA"/>
                        </w:rPr>
                        <w:t>cmineralscorp</w:t>
                      </w:r>
                      <w:r w:rsidRPr="007B5628">
                        <w:rPr>
                          <w:rFonts w:ascii="Arial" w:hAnsi="Arial" w:cs="Arial"/>
                          <w:color w:val="44536A"/>
                          <w:sz w:val="20"/>
                          <w:szCs w:val="20"/>
                          <w:lang w:val="en-CA"/>
                        </w:rPr>
                        <w:t>.com</w:t>
                      </w:r>
                    </w:p>
                    <w:p w14:paraId="64ADF0B6" w14:textId="77777777" w:rsidR="007B5628" w:rsidRPr="004D2AB1" w:rsidRDefault="007B5628" w:rsidP="007B5628">
                      <w:pPr>
                        <w:jc w:val="right"/>
                        <w:rPr>
                          <w:rFonts w:ascii="Arial" w:hAnsi="Arial" w:cs="Arial"/>
                          <w:sz w:val="16"/>
                          <w:szCs w:val="16"/>
                        </w:rPr>
                      </w:pPr>
                    </w:p>
                  </w:txbxContent>
                </v:textbox>
                <w10:wrap type="square"/>
              </v:shape>
            </w:pict>
          </mc:Fallback>
        </mc:AlternateContent>
      </w:r>
      <w:r w:rsidR="003312E7">
        <w:rPr>
          <w:noProof/>
          <w:sz w:val="20"/>
          <w:szCs w:val="20"/>
        </w:rPr>
        <mc:AlternateContent>
          <mc:Choice Requires="wps">
            <w:drawing>
              <wp:anchor distT="0" distB="0" distL="114300" distR="114300" simplePos="0" relativeHeight="251664384" behindDoc="0" locked="0" layoutInCell="1" allowOverlap="1" wp14:anchorId="182258C5" wp14:editId="78B44532">
                <wp:simplePos x="0" y="0"/>
                <wp:positionH relativeFrom="column">
                  <wp:posOffset>5002530</wp:posOffset>
                </wp:positionH>
                <wp:positionV relativeFrom="paragraph">
                  <wp:posOffset>71755</wp:posOffset>
                </wp:positionV>
                <wp:extent cx="0" cy="685800"/>
                <wp:effectExtent l="0" t="0" r="12700" b="12700"/>
                <wp:wrapNone/>
                <wp:docPr id="20" name="Straight Connector 20"/>
                <wp:cNvGraphicFramePr/>
                <a:graphic xmlns:a="http://schemas.openxmlformats.org/drawingml/2006/main">
                  <a:graphicData uri="http://schemas.microsoft.com/office/word/2010/wordprocessingShape">
                    <wps:wsp>
                      <wps:cNvCnPr/>
                      <wps:spPr>
                        <a:xfrm>
                          <a:off x="0" y="0"/>
                          <a:ext cx="0" cy="685800"/>
                        </a:xfrm>
                        <a:prstGeom prst="line">
                          <a:avLst/>
                        </a:prstGeom>
                        <a:ln w="3175"/>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A4666E8" id="Straight Connector 20"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93.9pt,5.65pt" to="393.9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" strokecolor="#4f81bd [3204]" strokeweight=".25pt"/>
            </w:pict>
          </mc:Fallback>
        </mc:AlternateContent>
      </w:r>
    </w:p>
    <w:p w14:paraId="5687C055" w14:textId="77777777" w:rsidR="00CB28DB" w:rsidRDefault="00CB28DB" w:rsidP="005300DB">
      <w:pPr>
        <w:ind w:left="-454"/>
      </w:pPr>
    </w:p>
    <w:p w14:paraId="30EA72E4" w14:textId="77777777" w:rsidR="00C00151" w:rsidRDefault="00C00151" w:rsidP="00C00151">
      <w:pPr>
        <w:ind w:left="-454"/>
        <w:rPr>
          <w:color w:val="FF6600"/>
        </w:rPr>
      </w:pPr>
      <w:r>
        <w:rPr>
          <w:color w:val="FF6600"/>
        </w:rPr>
        <w:tab/>
      </w:r>
      <w:r>
        <w:rPr>
          <w:color w:val="FF6600"/>
        </w:rPr>
        <w:tab/>
      </w:r>
      <w:r>
        <w:rPr>
          <w:color w:val="FF6600"/>
        </w:rPr>
        <w:tab/>
      </w:r>
    </w:p>
    <w:p w14:paraId="2D4671E4" w14:textId="77777777" w:rsidR="00C00151" w:rsidRDefault="00C00151" w:rsidP="00C00151">
      <w:pPr>
        <w:ind w:left="-454"/>
        <w:rPr>
          <w:color w:val="FF6600"/>
        </w:rPr>
      </w:pPr>
    </w:p>
    <w:p w14:paraId="028C023C" w14:textId="77777777" w:rsidR="00C00151" w:rsidRDefault="00C00151" w:rsidP="00C00151">
      <w:pPr>
        <w:ind w:left="-454"/>
        <w:rPr>
          <w:color w:val="FF6600"/>
        </w:rPr>
      </w:pPr>
      <w:r>
        <w:rPr>
          <w:color w:val="FF6600"/>
        </w:rPr>
        <w:t xml:space="preserve">                           </w:t>
      </w:r>
    </w:p>
    <w:p w14:paraId="7246AF44" w14:textId="0DC374F6" w:rsidR="00E26216" w:rsidRDefault="00E73556" w:rsidP="003B1985">
      <w:pPr>
        <w:ind w:left="-454"/>
        <w:jc w:val="center"/>
        <w:rPr>
          <w:b/>
          <w:bCs/>
          <w:color w:val="0D0D0D" w:themeColor="text1" w:themeTint="F2"/>
        </w:rPr>
      </w:pPr>
      <w:r>
        <w:rPr>
          <w:b/>
          <w:bCs/>
          <w:color w:val="0D0D0D" w:themeColor="text1" w:themeTint="F2"/>
        </w:rPr>
        <w:t xml:space="preserve">American </w:t>
      </w:r>
      <w:r w:rsidR="00F2409D">
        <w:rPr>
          <w:b/>
          <w:bCs/>
          <w:color w:val="0D0D0D" w:themeColor="text1" w:themeTint="F2"/>
        </w:rPr>
        <w:t xml:space="preserve">Critical </w:t>
      </w:r>
      <w:r w:rsidR="003B1985">
        <w:rPr>
          <w:b/>
          <w:bCs/>
          <w:color w:val="0D0D0D" w:themeColor="text1" w:themeTint="F2"/>
        </w:rPr>
        <w:t>Minerals Provides Corporate Update</w:t>
      </w:r>
    </w:p>
    <w:p w14:paraId="636DEE46" w14:textId="77777777" w:rsidR="00D426BC" w:rsidRDefault="00D426BC" w:rsidP="00C00151">
      <w:pPr>
        <w:rPr>
          <w:b/>
          <w:bCs/>
          <w:color w:val="0D0D0D" w:themeColor="text1" w:themeTint="F2"/>
        </w:rPr>
      </w:pPr>
    </w:p>
    <w:p w14:paraId="61B104FA" w14:textId="12C5D56D" w:rsidR="003B1985" w:rsidRDefault="00270C74" w:rsidP="00FF61B7">
      <w:pPr>
        <w:pBdr>
          <w:top w:val="nil"/>
          <w:left w:val="nil"/>
          <w:bottom w:val="nil"/>
          <w:right w:val="nil"/>
          <w:between w:val="nil"/>
        </w:pBdr>
        <w:jc w:val="both"/>
        <w:rPr>
          <w:rFonts w:eastAsia="Times New Roman" w:cs="Times New Roman"/>
          <w:color w:val="000000"/>
          <w:sz w:val="22"/>
          <w:szCs w:val="22"/>
          <w:lang w:eastAsia="en-CA"/>
        </w:rPr>
      </w:pPr>
      <w:r w:rsidRPr="00D426BC">
        <w:rPr>
          <w:rFonts w:eastAsia="Times New Roman" w:cs="Times New Roman"/>
          <w:b/>
          <w:color w:val="000000"/>
          <w:sz w:val="22"/>
          <w:szCs w:val="22"/>
          <w:lang w:val="en-CA" w:eastAsia="en-CA"/>
        </w:rPr>
        <w:t>V</w:t>
      </w:r>
      <w:r w:rsidR="00814837">
        <w:rPr>
          <w:rFonts w:eastAsia="Times New Roman" w:cs="Times New Roman"/>
          <w:b/>
          <w:color w:val="000000"/>
          <w:sz w:val="22"/>
          <w:szCs w:val="22"/>
          <w:lang w:val="en-CA" w:eastAsia="en-CA"/>
        </w:rPr>
        <w:t xml:space="preserve">ANCOUVER, </w:t>
      </w:r>
      <w:bookmarkStart w:id="1" w:name="_9kR3WTr266457Jrz2333ow6DFxuuqLrs31uBZY"/>
      <w:bookmarkStart w:id="2" w:name="_9kR3WTr26649HPrz2333ow6DFxuuqLrs31uBZY"/>
      <w:r w:rsidR="00814837">
        <w:rPr>
          <w:rFonts w:eastAsia="Times New Roman" w:cs="Times New Roman"/>
          <w:b/>
          <w:color w:val="000000"/>
          <w:sz w:val="22"/>
          <w:szCs w:val="22"/>
          <w:lang w:val="en-CA" w:eastAsia="en-CA"/>
        </w:rPr>
        <w:t>BRITISH COLUMBIA</w:t>
      </w:r>
      <w:r w:rsidRPr="00D426BC">
        <w:rPr>
          <w:rFonts w:eastAsia="Times New Roman" w:cs="Times New Roman"/>
          <w:b/>
          <w:color w:val="000000"/>
          <w:sz w:val="22"/>
          <w:szCs w:val="22"/>
          <w:lang w:val="en-CA" w:eastAsia="en-CA"/>
        </w:rPr>
        <w:t xml:space="preserve"> </w:t>
      </w:r>
      <w:r w:rsidR="003B1985">
        <w:rPr>
          <w:rFonts w:eastAsia="Times New Roman" w:cs="Times New Roman"/>
          <w:bCs/>
          <w:color w:val="000000"/>
          <w:sz w:val="22"/>
          <w:szCs w:val="22"/>
          <w:lang w:val="en-CA" w:eastAsia="en-CA"/>
        </w:rPr>
        <w:t>January</w:t>
      </w:r>
      <w:r w:rsidR="00667EAB">
        <w:rPr>
          <w:rFonts w:eastAsia="Times New Roman" w:cs="Times New Roman"/>
          <w:bCs/>
          <w:color w:val="000000"/>
          <w:sz w:val="22"/>
          <w:szCs w:val="22"/>
          <w:lang w:val="en-CA" w:eastAsia="en-CA"/>
        </w:rPr>
        <w:t xml:space="preserve"> </w:t>
      </w:r>
      <w:bookmarkEnd w:id="1"/>
      <w:bookmarkEnd w:id="2"/>
      <w:r w:rsidR="0027774C">
        <w:rPr>
          <w:rFonts w:ascii="Cambria" w:hAnsi="Cambria"/>
          <w:color w:val="000000"/>
          <w:sz w:val="22"/>
          <w:szCs w:val="22"/>
        </w:rPr>
        <w:t>1</w:t>
      </w:r>
      <w:r w:rsidR="003B1985">
        <w:rPr>
          <w:rFonts w:ascii="Cambria" w:hAnsi="Cambria"/>
          <w:color w:val="000000"/>
          <w:sz w:val="22"/>
          <w:szCs w:val="22"/>
        </w:rPr>
        <w:t>4</w:t>
      </w:r>
      <w:r w:rsidR="00F7796E">
        <w:rPr>
          <w:rFonts w:eastAsia="Times New Roman" w:cs="Times New Roman"/>
          <w:bCs/>
          <w:color w:val="000000"/>
          <w:sz w:val="22"/>
          <w:szCs w:val="22"/>
          <w:lang w:val="en-CA" w:eastAsia="en-CA"/>
        </w:rPr>
        <w:t>,</w:t>
      </w:r>
      <w:r w:rsidRPr="00814837">
        <w:rPr>
          <w:rFonts w:eastAsia="Times New Roman" w:cs="Times New Roman"/>
          <w:bCs/>
          <w:color w:val="000000"/>
          <w:sz w:val="22"/>
          <w:szCs w:val="22"/>
          <w:lang w:val="en-CA" w:eastAsia="en-CA"/>
        </w:rPr>
        <w:t xml:space="preserve"> 202</w:t>
      </w:r>
      <w:r w:rsidR="003B1985">
        <w:rPr>
          <w:rFonts w:eastAsia="Times New Roman" w:cs="Times New Roman"/>
          <w:bCs/>
          <w:color w:val="000000"/>
          <w:sz w:val="22"/>
          <w:szCs w:val="22"/>
          <w:lang w:val="en-CA" w:eastAsia="en-CA"/>
        </w:rPr>
        <w:t>5</w:t>
      </w:r>
      <w:r w:rsidR="00814837">
        <w:rPr>
          <w:rFonts w:eastAsia="Times New Roman" w:cs="Times New Roman"/>
          <w:b/>
          <w:color w:val="000000"/>
          <w:sz w:val="22"/>
          <w:szCs w:val="22"/>
          <w:lang w:val="en-CA" w:eastAsia="en-CA"/>
        </w:rPr>
        <w:t xml:space="preserve"> - </w:t>
      </w:r>
      <w:r w:rsidRPr="00D426BC">
        <w:rPr>
          <w:rFonts w:eastAsia="Times New Roman" w:cs="Times New Roman"/>
          <w:b/>
          <w:color w:val="000000"/>
          <w:sz w:val="22"/>
          <w:szCs w:val="22"/>
          <w:lang w:val="en-CA" w:eastAsia="en-CA"/>
        </w:rPr>
        <w:t xml:space="preserve">American </w:t>
      </w:r>
      <w:r w:rsidR="00D34199">
        <w:rPr>
          <w:rFonts w:eastAsia="Times New Roman" w:cs="Times New Roman"/>
          <w:b/>
          <w:color w:val="000000"/>
          <w:sz w:val="22"/>
          <w:szCs w:val="22"/>
          <w:lang w:val="en-CA" w:eastAsia="en-CA"/>
        </w:rPr>
        <w:t xml:space="preserve">Critical Minerals </w:t>
      </w:r>
      <w:r w:rsidRPr="00D426BC">
        <w:rPr>
          <w:rFonts w:eastAsia="Times New Roman" w:cs="Times New Roman"/>
          <w:b/>
          <w:color w:val="000000"/>
          <w:sz w:val="22"/>
          <w:szCs w:val="22"/>
          <w:lang w:val="en-CA" w:eastAsia="en-CA"/>
        </w:rPr>
        <w:t>Corp.</w:t>
      </w:r>
      <w:r w:rsidR="0027774C" w:rsidRPr="0027774C">
        <w:rPr>
          <w:rFonts w:eastAsia="Times New Roman" w:cs="Times New Roman"/>
          <w:bCs/>
          <w:color w:val="000000"/>
          <w:sz w:val="22"/>
          <w:szCs w:val="22"/>
          <w:lang w:val="en-CA" w:eastAsia="en-CA"/>
        </w:rPr>
        <w:t xml:space="preserve"> </w:t>
      </w:r>
      <w:r w:rsidRPr="00D426BC">
        <w:rPr>
          <w:rFonts w:eastAsia="Times New Roman" w:cs="Times New Roman"/>
          <w:color w:val="000000"/>
          <w:sz w:val="22"/>
          <w:szCs w:val="22"/>
          <w:lang w:val="en-CA" w:eastAsia="en-CA"/>
        </w:rPr>
        <w:t>(</w:t>
      </w:r>
      <w:r w:rsidR="00956B5E">
        <w:rPr>
          <w:rFonts w:eastAsia="Times New Roman" w:cs="Times New Roman"/>
          <w:color w:val="000000"/>
          <w:sz w:val="22"/>
          <w:szCs w:val="22"/>
          <w:lang w:val="en-CA" w:eastAsia="en-CA"/>
        </w:rPr>
        <w:t>“</w:t>
      </w:r>
      <w:r w:rsidR="00956B5E" w:rsidRPr="00B621CF">
        <w:rPr>
          <w:rFonts w:eastAsia="Times New Roman" w:cs="Times New Roman"/>
          <w:b/>
          <w:bCs/>
          <w:color w:val="000000"/>
          <w:sz w:val="22"/>
          <w:szCs w:val="22"/>
          <w:lang w:val="en-CA" w:eastAsia="en-CA"/>
        </w:rPr>
        <w:t>American Critical Minerals</w:t>
      </w:r>
      <w:r w:rsidR="00956B5E">
        <w:rPr>
          <w:rFonts w:eastAsia="Times New Roman" w:cs="Times New Roman"/>
          <w:color w:val="000000"/>
          <w:sz w:val="22"/>
          <w:szCs w:val="22"/>
          <w:lang w:val="en-CA" w:eastAsia="en-CA"/>
        </w:rPr>
        <w:t xml:space="preserve">” or </w:t>
      </w:r>
      <w:r w:rsidRPr="00D426BC">
        <w:rPr>
          <w:rFonts w:eastAsia="Times New Roman" w:cs="Times New Roman"/>
          <w:color w:val="000000"/>
          <w:sz w:val="22"/>
          <w:szCs w:val="22"/>
          <w:lang w:val="en-CA" w:eastAsia="en-CA"/>
        </w:rPr>
        <w:t>th</w:t>
      </w:r>
      <w:bookmarkStart w:id="3" w:name="_9kMIH5YVt8956GK"/>
      <w:r w:rsidRPr="00D426BC">
        <w:rPr>
          <w:rFonts w:eastAsia="Times New Roman" w:cs="Times New Roman"/>
          <w:color w:val="000000"/>
          <w:sz w:val="22"/>
          <w:szCs w:val="22"/>
          <w:lang w:val="en-CA" w:eastAsia="en-CA"/>
        </w:rPr>
        <w:t>e</w:t>
      </w:r>
      <w:bookmarkEnd w:id="3"/>
      <w:r w:rsidRPr="00D426BC">
        <w:rPr>
          <w:rFonts w:eastAsia="Times New Roman" w:cs="Times New Roman"/>
          <w:b/>
          <w:color w:val="000000"/>
          <w:sz w:val="22"/>
          <w:szCs w:val="22"/>
          <w:lang w:val="en-CA" w:eastAsia="en-CA"/>
        </w:rPr>
        <w:t xml:space="preserve"> </w:t>
      </w:r>
      <w:r w:rsidR="00097907">
        <w:rPr>
          <w:rFonts w:eastAsia="Times New Roman" w:cs="Times New Roman"/>
          <w:color w:val="000000"/>
          <w:sz w:val="22"/>
          <w:szCs w:val="22"/>
          <w:lang w:val="en-CA" w:eastAsia="en-CA"/>
        </w:rPr>
        <w:t>“</w:t>
      </w:r>
      <w:bookmarkStart w:id="4" w:name="_9kR3WTr24449ENFwynmB"/>
      <w:bookmarkStart w:id="5" w:name="_9kR3WTr2444EFJFwynmB"/>
      <w:r w:rsidRPr="00D426BC">
        <w:rPr>
          <w:rFonts w:eastAsia="Times New Roman" w:cs="Times New Roman"/>
          <w:b/>
          <w:color w:val="000000"/>
          <w:sz w:val="22"/>
          <w:szCs w:val="22"/>
          <w:lang w:val="en-CA" w:eastAsia="en-CA"/>
        </w:rPr>
        <w:t>Comp</w:t>
      </w:r>
      <w:bookmarkStart w:id="6" w:name="_9kMJI5YVt8956GK"/>
      <w:r w:rsidRPr="00D426BC">
        <w:rPr>
          <w:rFonts w:eastAsia="Times New Roman" w:cs="Times New Roman"/>
          <w:b/>
          <w:color w:val="000000"/>
          <w:sz w:val="22"/>
          <w:szCs w:val="22"/>
          <w:lang w:val="en-CA" w:eastAsia="en-CA"/>
        </w:rPr>
        <w:t>a</w:t>
      </w:r>
      <w:bookmarkEnd w:id="6"/>
      <w:r w:rsidRPr="00D426BC">
        <w:rPr>
          <w:rFonts w:eastAsia="Times New Roman" w:cs="Times New Roman"/>
          <w:b/>
          <w:color w:val="000000"/>
          <w:sz w:val="22"/>
          <w:szCs w:val="22"/>
          <w:lang w:val="en-CA" w:eastAsia="en-CA"/>
        </w:rPr>
        <w:t>ny</w:t>
      </w:r>
      <w:bookmarkEnd w:id="4"/>
      <w:bookmarkEnd w:id="5"/>
      <w:r w:rsidR="00097907">
        <w:rPr>
          <w:rFonts w:eastAsia="Times New Roman" w:cs="Times New Roman"/>
          <w:color w:val="000000"/>
          <w:sz w:val="22"/>
          <w:szCs w:val="22"/>
          <w:lang w:val="en-CA" w:eastAsia="en-CA"/>
        </w:rPr>
        <w:t>”</w:t>
      </w:r>
      <w:r w:rsidRPr="00D426BC">
        <w:rPr>
          <w:rFonts w:eastAsia="Times New Roman" w:cs="Times New Roman"/>
          <w:color w:val="000000"/>
          <w:sz w:val="22"/>
          <w:szCs w:val="22"/>
          <w:lang w:val="en-CA" w:eastAsia="en-CA"/>
        </w:rPr>
        <w:t>)</w:t>
      </w:r>
      <w:r w:rsidR="00D426BC" w:rsidRPr="00D426BC">
        <w:rPr>
          <w:rFonts w:eastAsia="Times New Roman" w:cs="Times New Roman"/>
          <w:color w:val="000000"/>
          <w:sz w:val="22"/>
          <w:szCs w:val="22"/>
          <w:lang w:val="en-CA" w:eastAsia="en-CA"/>
        </w:rPr>
        <w:t xml:space="preserve"> </w:t>
      </w:r>
      <w:r w:rsidR="00814837" w:rsidRPr="00814837">
        <w:rPr>
          <w:rFonts w:eastAsia="Times New Roman" w:cs="Times New Roman" w:hint="cs"/>
          <w:color w:val="000000"/>
          <w:sz w:val="22"/>
          <w:szCs w:val="22"/>
          <w:lang w:eastAsia="en-CA"/>
        </w:rPr>
        <w:t>(</w:t>
      </w:r>
      <w:r w:rsidR="00814837">
        <w:rPr>
          <w:rFonts w:eastAsia="Times New Roman" w:cs="Times New Roman"/>
          <w:color w:val="000000"/>
          <w:sz w:val="22"/>
          <w:szCs w:val="22"/>
          <w:lang w:eastAsia="en-CA"/>
        </w:rPr>
        <w:t>CSE</w:t>
      </w:r>
      <w:bookmarkStart w:id="7" w:name="_9kR3WTr5DA4EO"/>
      <w:r w:rsidR="00814837" w:rsidRPr="00814837">
        <w:rPr>
          <w:rFonts w:eastAsia="Times New Roman" w:cs="Times New Roman" w:hint="cs"/>
          <w:color w:val="000000"/>
          <w:sz w:val="22"/>
          <w:szCs w:val="22"/>
          <w:lang w:eastAsia="en-CA"/>
        </w:rPr>
        <w:t>:</w:t>
      </w:r>
      <w:bookmarkEnd w:id="7"/>
      <w:r w:rsidR="00814837">
        <w:rPr>
          <w:rFonts w:eastAsia="Times New Roman" w:cs="Times New Roman"/>
          <w:color w:val="000000"/>
          <w:sz w:val="22"/>
          <w:szCs w:val="22"/>
          <w:lang w:eastAsia="en-CA"/>
        </w:rPr>
        <w:t>KCL</w:t>
      </w:r>
      <w:r w:rsidR="00D34199">
        <w:rPr>
          <w:rFonts w:eastAsia="Times New Roman" w:cs="Times New Roman"/>
          <w:color w:val="000000"/>
          <w:sz w:val="22"/>
          <w:szCs w:val="22"/>
          <w:lang w:eastAsia="en-CA"/>
        </w:rPr>
        <w:t>I</w:t>
      </w:r>
      <w:r w:rsidR="00814837" w:rsidRPr="00814837">
        <w:rPr>
          <w:rFonts w:eastAsia="Times New Roman" w:cs="Times New Roman" w:hint="cs"/>
          <w:color w:val="000000"/>
          <w:sz w:val="22"/>
          <w:szCs w:val="22"/>
          <w:lang w:eastAsia="en-CA"/>
        </w:rPr>
        <w:t xml:space="preserve"> |</w:t>
      </w:r>
      <w:bookmarkStart w:id="8" w:name="_9kR3WTr5DA566"/>
      <w:r w:rsidR="00814837" w:rsidRPr="00814837">
        <w:rPr>
          <w:rFonts w:eastAsia="Times New Roman" w:cs="Times New Roman" w:hint="cs"/>
          <w:color w:val="000000"/>
          <w:sz w:val="22"/>
          <w:szCs w:val="22"/>
          <w:lang w:eastAsia="en-CA"/>
        </w:rPr>
        <w:t xml:space="preserve"> </w:t>
      </w:r>
      <w:bookmarkEnd w:id="8"/>
      <w:r w:rsidR="00814837">
        <w:rPr>
          <w:rFonts w:eastAsia="Times New Roman" w:cs="Times New Roman"/>
          <w:color w:val="000000"/>
          <w:sz w:val="22"/>
          <w:szCs w:val="22"/>
          <w:lang w:eastAsia="en-CA"/>
        </w:rPr>
        <w:t>OTC:</w:t>
      </w:r>
      <w:r w:rsidR="00C74D92">
        <w:rPr>
          <w:rFonts w:eastAsia="Times New Roman" w:cs="Times New Roman"/>
          <w:color w:val="000000"/>
          <w:sz w:val="22"/>
          <w:szCs w:val="22"/>
          <w:lang w:eastAsia="en-CA"/>
        </w:rPr>
        <w:t>APCOF</w:t>
      </w:r>
      <w:r w:rsidR="00814837" w:rsidRPr="00814837">
        <w:rPr>
          <w:rFonts w:eastAsia="Times New Roman" w:cs="Times New Roman" w:hint="cs"/>
          <w:color w:val="000000"/>
          <w:sz w:val="22"/>
          <w:szCs w:val="22"/>
          <w:lang w:eastAsia="en-CA"/>
        </w:rPr>
        <w:t xml:space="preserve"> | Frank</w:t>
      </w:r>
      <w:bookmarkStart w:id="9" w:name="_9kR3WTr5DA567"/>
      <w:r w:rsidR="00814837" w:rsidRPr="00814837">
        <w:rPr>
          <w:rFonts w:eastAsia="Times New Roman" w:cs="Times New Roman" w:hint="cs"/>
          <w:color w:val="000000"/>
          <w:sz w:val="22"/>
          <w:szCs w:val="22"/>
          <w:lang w:eastAsia="en-CA"/>
        </w:rPr>
        <w:t>f</w:t>
      </w:r>
      <w:bookmarkEnd w:id="9"/>
      <w:r w:rsidR="00814837" w:rsidRPr="00814837">
        <w:rPr>
          <w:rFonts w:eastAsia="Times New Roman" w:cs="Times New Roman" w:hint="cs"/>
          <w:color w:val="000000"/>
          <w:sz w:val="22"/>
          <w:szCs w:val="22"/>
          <w:lang w:eastAsia="en-CA"/>
        </w:rPr>
        <w:t>urt:</w:t>
      </w:r>
      <w:r w:rsidR="00C74D92">
        <w:rPr>
          <w:rFonts w:eastAsia="Times New Roman" w:cs="Times New Roman"/>
          <w:color w:val="000000"/>
          <w:sz w:val="22"/>
          <w:szCs w:val="22"/>
          <w:lang w:eastAsia="en-CA"/>
        </w:rPr>
        <w:t>2P3</w:t>
      </w:r>
      <w:r w:rsidR="00814837" w:rsidRPr="00814837">
        <w:rPr>
          <w:rFonts w:eastAsia="Times New Roman" w:cs="Times New Roman" w:hint="cs"/>
          <w:color w:val="000000"/>
          <w:sz w:val="22"/>
          <w:szCs w:val="22"/>
          <w:lang w:eastAsia="en-CA"/>
        </w:rPr>
        <w:t>)</w:t>
      </w:r>
      <w:r w:rsidR="00F1229D">
        <w:rPr>
          <w:rFonts w:eastAsia="Times New Roman" w:cs="Times New Roman"/>
          <w:color w:val="000000"/>
          <w:sz w:val="22"/>
          <w:szCs w:val="22"/>
          <w:lang w:eastAsia="en-CA"/>
        </w:rPr>
        <w:t xml:space="preserve"> is pleased to </w:t>
      </w:r>
      <w:r w:rsidR="003B1985">
        <w:rPr>
          <w:rFonts w:eastAsia="Times New Roman" w:cs="Times New Roman"/>
          <w:color w:val="000000"/>
          <w:sz w:val="22"/>
          <w:szCs w:val="22"/>
          <w:lang w:eastAsia="en-CA"/>
        </w:rPr>
        <w:t xml:space="preserve">provide a </w:t>
      </w:r>
      <w:r w:rsidR="009E3F4B">
        <w:rPr>
          <w:rFonts w:eastAsia="Times New Roman" w:cs="Times New Roman"/>
          <w:color w:val="000000"/>
          <w:sz w:val="22"/>
          <w:szCs w:val="22"/>
          <w:lang w:eastAsia="en-CA"/>
        </w:rPr>
        <w:t xml:space="preserve">corporate update </w:t>
      </w:r>
      <w:r w:rsidR="003B1985">
        <w:rPr>
          <w:rFonts w:eastAsia="Times New Roman" w:cs="Times New Roman"/>
          <w:color w:val="000000"/>
          <w:sz w:val="22"/>
          <w:szCs w:val="22"/>
          <w:lang w:eastAsia="en-CA"/>
        </w:rPr>
        <w:t>following the successful completion of several key initiatives in the final quarter of 2024 which position the Company well as it focuses on executing its</w:t>
      </w:r>
      <w:r w:rsidR="00005A48">
        <w:rPr>
          <w:rFonts w:eastAsia="Times New Roman" w:cs="Times New Roman"/>
          <w:color w:val="000000"/>
          <w:sz w:val="22"/>
          <w:szCs w:val="22"/>
          <w:lang w:eastAsia="en-CA"/>
        </w:rPr>
        <w:t xml:space="preserve"> core </w:t>
      </w:r>
      <w:r w:rsidR="009E3F4B">
        <w:rPr>
          <w:rFonts w:eastAsia="Times New Roman" w:cs="Times New Roman"/>
          <w:color w:val="000000"/>
          <w:sz w:val="22"/>
          <w:szCs w:val="22"/>
          <w:lang w:eastAsia="en-CA"/>
        </w:rPr>
        <w:t xml:space="preserve">business plan </w:t>
      </w:r>
      <w:r w:rsidR="00005A48">
        <w:rPr>
          <w:rFonts w:eastAsia="Times New Roman" w:cs="Times New Roman"/>
          <w:color w:val="000000"/>
          <w:sz w:val="22"/>
          <w:szCs w:val="22"/>
          <w:lang w:eastAsia="en-CA"/>
        </w:rPr>
        <w:t>and delivering shareholder value.</w:t>
      </w:r>
    </w:p>
    <w:p w14:paraId="494863A8" w14:textId="77777777" w:rsidR="001B4E73" w:rsidRPr="003B704F" w:rsidRDefault="001B4E73" w:rsidP="00FF61B7">
      <w:pPr>
        <w:pBdr>
          <w:top w:val="nil"/>
          <w:left w:val="nil"/>
          <w:bottom w:val="nil"/>
          <w:right w:val="nil"/>
          <w:between w:val="nil"/>
        </w:pBdr>
        <w:jc w:val="both"/>
        <w:rPr>
          <w:rFonts w:eastAsia="Times New Roman" w:cs="Times New Roman"/>
          <w:b/>
          <w:bCs/>
          <w:color w:val="000000"/>
          <w:sz w:val="22"/>
          <w:szCs w:val="22"/>
          <w:lang w:eastAsia="en-CA"/>
        </w:rPr>
      </w:pPr>
    </w:p>
    <w:p w14:paraId="3BAE1A81" w14:textId="1C56C0AA" w:rsidR="001B4E73" w:rsidRPr="003B704F" w:rsidRDefault="001B4E73" w:rsidP="00FF61B7">
      <w:pPr>
        <w:pBdr>
          <w:top w:val="nil"/>
          <w:left w:val="nil"/>
          <w:bottom w:val="nil"/>
          <w:right w:val="nil"/>
          <w:between w:val="nil"/>
        </w:pBdr>
        <w:jc w:val="both"/>
        <w:rPr>
          <w:rFonts w:eastAsia="Times New Roman" w:cs="Times New Roman"/>
          <w:b/>
          <w:bCs/>
          <w:color w:val="000000"/>
          <w:sz w:val="22"/>
          <w:szCs w:val="22"/>
          <w:lang w:eastAsia="en-CA"/>
        </w:rPr>
      </w:pPr>
      <w:r w:rsidRPr="003B704F">
        <w:rPr>
          <w:rFonts w:eastAsia="Times New Roman" w:cs="Times New Roman"/>
          <w:b/>
          <w:bCs/>
          <w:color w:val="000000"/>
          <w:sz w:val="22"/>
          <w:szCs w:val="22"/>
          <w:lang w:eastAsia="en-CA"/>
        </w:rPr>
        <w:t>Fully Permitted for Potash, Lithium and By-Product Exploration &amp; Development across all Federal and State Lands at Company’s Green River Project – 7 Holes approved for Confirmation / Resource Drilling</w:t>
      </w:r>
      <w:r w:rsidR="003B704F">
        <w:rPr>
          <w:rFonts w:eastAsia="Times New Roman" w:cs="Times New Roman"/>
          <w:b/>
          <w:bCs/>
          <w:color w:val="000000"/>
          <w:sz w:val="22"/>
          <w:szCs w:val="22"/>
          <w:lang w:eastAsia="en-CA"/>
        </w:rPr>
        <w:t>:</w:t>
      </w:r>
    </w:p>
    <w:p w14:paraId="07FA39AF" w14:textId="77777777" w:rsidR="00D61D90" w:rsidRDefault="00D61D90" w:rsidP="001729A9">
      <w:pPr>
        <w:pBdr>
          <w:top w:val="nil"/>
          <w:left w:val="nil"/>
          <w:bottom w:val="nil"/>
          <w:right w:val="nil"/>
          <w:between w:val="nil"/>
        </w:pBdr>
        <w:jc w:val="both"/>
        <w:rPr>
          <w:rFonts w:eastAsia="Times New Roman" w:cs="Times New Roman"/>
          <w:color w:val="000000"/>
          <w:sz w:val="22"/>
          <w:szCs w:val="22"/>
          <w:lang w:eastAsia="en-CA"/>
        </w:rPr>
      </w:pPr>
    </w:p>
    <w:p w14:paraId="7921ADEC" w14:textId="7B9F1BA2" w:rsidR="003B704F" w:rsidRDefault="00EF0509" w:rsidP="001729A9">
      <w:pPr>
        <w:pBdr>
          <w:top w:val="nil"/>
          <w:left w:val="nil"/>
          <w:bottom w:val="nil"/>
          <w:right w:val="nil"/>
          <w:between w:val="nil"/>
        </w:pBdr>
        <w:jc w:val="both"/>
        <w:rPr>
          <w:rFonts w:eastAsia="Times New Roman" w:cs="Times New Roman"/>
          <w:color w:val="000000"/>
          <w:sz w:val="22"/>
          <w:szCs w:val="22"/>
          <w:lang w:eastAsia="en-CA"/>
        </w:rPr>
      </w:pPr>
      <w:r>
        <w:rPr>
          <w:rFonts w:eastAsia="Times New Roman" w:cs="Times New Roman"/>
          <w:color w:val="000000"/>
          <w:sz w:val="22"/>
          <w:szCs w:val="22"/>
          <w:lang w:eastAsia="en-CA"/>
        </w:rPr>
        <w:t xml:space="preserve">On </w:t>
      </w:r>
      <w:r w:rsidRPr="00EF0509">
        <w:rPr>
          <w:rFonts w:eastAsia="Times New Roman" w:cs="Times New Roman"/>
          <w:color w:val="000000"/>
          <w:sz w:val="22"/>
          <w:szCs w:val="22"/>
          <w:lang w:eastAsia="en-CA"/>
        </w:rPr>
        <w:t>October 2 2024</w:t>
      </w:r>
      <w:r w:rsidR="001A1106">
        <w:rPr>
          <w:rFonts w:eastAsia="Times New Roman" w:cs="Times New Roman"/>
          <w:color w:val="000000"/>
          <w:sz w:val="22"/>
          <w:szCs w:val="22"/>
          <w:lang w:eastAsia="en-CA"/>
        </w:rPr>
        <w:t xml:space="preserve">, following a multi-year process, </w:t>
      </w:r>
      <w:r w:rsidRPr="00EF0509">
        <w:rPr>
          <w:rFonts w:eastAsia="Times New Roman" w:cs="Times New Roman"/>
          <w:color w:val="000000"/>
          <w:sz w:val="22"/>
          <w:szCs w:val="22"/>
          <w:lang w:eastAsia="en-CA"/>
        </w:rPr>
        <w:t>the U</w:t>
      </w:r>
      <w:r>
        <w:rPr>
          <w:rFonts w:eastAsia="Times New Roman" w:cs="Times New Roman"/>
          <w:color w:val="000000"/>
          <w:sz w:val="22"/>
          <w:szCs w:val="22"/>
          <w:lang w:eastAsia="en-CA"/>
        </w:rPr>
        <w:t>S</w:t>
      </w:r>
      <w:r w:rsidRPr="00EF0509">
        <w:rPr>
          <w:rFonts w:eastAsia="Times New Roman" w:cs="Times New Roman"/>
          <w:color w:val="000000"/>
          <w:sz w:val="22"/>
          <w:szCs w:val="22"/>
          <w:lang w:eastAsia="en-CA"/>
        </w:rPr>
        <w:t xml:space="preserve"> Department of the Interior, Bureau of Land Management (“</w:t>
      </w:r>
      <w:r w:rsidRPr="009418E6">
        <w:rPr>
          <w:rFonts w:eastAsia="Times New Roman" w:cs="Times New Roman"/>
          <w:b/>
          <w:bCs/>
          <w:color w:val="000000"/>
          <w:sz w:val="22"/>
          <w:szCs w:val="22"/>
          <w:lang w:eastAsia="en-CA"/>
        </w:rPr>
        <w:t>BLM</w:t>
      </w:r>
      <w:r w:rsidRPr="00EF0509">
        <w:rPr>
          <w:rFonts w:eastAsia="Times New Roman" w:cs="Times New Roman"/>
          <w:color w:val="000000"/>
          <w:sz w:val="22"/>
          <w:szCs w:val="22"/>
          <w:lang w:eastAsia="en-CA"/>
        </w:rPr>
        <w:t xml:space="preserve">”) approved the Company’s Plan of Operations, including issuing 11 Prospecting Permits and authorizing 4 </w:t>
      </w:r>
      <w:r w:rsidR="0021058B">
        <w:rPr>
          <w:rFonts w:eastAsia="Times New Roman" w:cs="Times New Roman"/>
          <w:color w:val="000000"/>
          <w:sz w:val="22"/>
          <w:szCs w:val="22"/>
          <w:lang w:eastAsia="en-CA"/>
        </w:rPr>
        <w:t>e</w:t>
      </w:r>
      <w:r w:rsidRPr="00EF0509">
        <w:rPr>
          <w:rFonts w:eastAsia="Times New Roman" w:cs="Times New Roman"/>
          <w:color w:val="000000"/>
          <w:sz w:val="22"/>
          <w:szCs w:val="22"/>
          <w:lang w:eastAsia="en-CA"/>
        </w:rPr>
        <w:t xml:space="preserve">xploratory </w:t>
      </w:r>
      <w:r w:rsidR="0021058B">
        <w:rPr>
          <w:rFonts w:eastAsia="Times New Roman" w:cs="Times New Roman"/>
          <w:color w:val="000000"/>
          <w:sz w:val="22"/>
          <w:szCs w:val="22"/>
          <w:lang w:eastAsia="en-CA"/>
        </w:rPr>
        <w:t>d</w:t>
      </w:r>
      <w:r w:rsidRPr="00EF0509">
        <w:rPr>
          <w:rFonts w:eastAsia="Times New Roman" w:cs="Times New Roman"/>
          <w:color w:val="000000"/>
          <w:sz w:val="22"/>
          <w:szCs w:val="22"/>
          <w:lang w:eastAsia="en-CA"/>
        </w:rPr>
        <w:t xml:space="preserve">rill </w:t>
      </w:r>
      <w:r w:rsidR="0021058B">
        <w:rPr>
          <w:rFonts w:eastAsia="Times New Roman" w:cs="Times New Roman"/>
          <w:color w:val="000000"/>
          <w:sz w:val="22"/>
          <w:szCs w:val="22"/>
          <w:lang w:eastAsia="en-CA"/>
        </w:rPr>
        <w:t>h</w:t>
      </w:r>
      <w:r w:rsidRPr="00EF0509">
        <w:rPr>
          <w:rFonts w:eastAsia="Times New Roman" w:cs="Times New Roman"/>
          <w:color w:val="000000"/>
          <w:sz w:val="22"/>
          <w:szCs w:val="22"/>
          <w:lang w:eastAsia="en-CA"/>
        </w:rPr>
        <w:t>oles</w:t>
      </w:r>
      <w:r>
        <w:rPr>
          <w:rFonts w:eastAsia="Times New Roman" w:cs="Times New Roman"/>
          <w:color w:val="000000"/>
          <w:sz w:val="22"/>
          <w:szCs w:val="22"/>
          <w:lang w:eastAsia="en-CA"/>
        </w:rPr>
        <w:t xml:space="preserve"> </w:t>
      </w:r>
      <w:r w:rsidRPr="00EF0509">
        <w:rPr>
          <w:rFonts w:eastAsia="Times New Roman" w:cs="Times New Roman"/>
          <w:color w:val="000000"/>
          <w:sz w:val="22"/>
          <w:szCs w:val="22"/>
          <w:lang w:eastAsia="en-CA"/>
        </w:rPr>
        <w:t>relat</w:t>
      </w:r>
      <w:r>
        <w:rPr>
          <w:rFonts w:eastAsia="Times New Roman" w:cs="Times New Roman"/>
          <w:color w:val="000000"/>
          <w:sz w:val="22"/>
          <w:szCs w:val="22"/>
          <w:lang w:eastAsia="en-CA"/>
        </w:rPr>
        <w:t>ing</w:t>
      </w:r>
      <w:r w:rsidRPr="00EF0509">
        <w:rPr>
          <w:rFonts w:eastAsia="Times New Roman" w:cs="Times New Roman"/>
          <w:color w:val="000000"/>
          <w:sz w:val="22"/>
          <w:szCs w:val="22"/>
          <w:lang w:eastAsia="en-CA"/>
        </w:rPr>
        <w:t xml:space="preserve"> to </w:t>
      </w:r>
      <w:r>
        <w:rPr>
          <w:rFonts w:eastAsia="Times New Roman" w:cs="Times New Roman"/>
          <w:color w:val="000000"/>
          <w:sz w:val="22"/>
          <w:szCs w:val="22"/>
          <w:lang w:eastAsia="en-CA"/>
        </w:rPr>
        <w:t xml:space="preserve">approx. </w:t>
      </w:r>
      <w:r w:rsidRPr="00EF0509">
        <w:rPr>
          <w:rFonts w:eastAsia="Times New Roman" w:cs="Times New Roman"/>
          <w:color w:val="000000"/>
          <w:sz w:val="22"/>
          <w:szCs w:val="22"/>
          <w:lang w:eastAsia="en-CA"/>
        </w:rPr>
        <w:t>25,480 acres of the Company’s Green River Project in the Paradox Basin</w:t>
      </w:r>
      <w:r w:rsidR="00B021BA">
        <w:rPr>
          <w:rFonts w:eastAsia="Times New Roman" w:cs="Times New Roman"/>
          <w:color w:val="000000"/>
          <w:sz w:val="22"/>
          <w:szCs w:val="22"/>
          <w:lang w:eastAsia="en-CA"/>
        </w:rPr>
        <w:t xml:space="preserve">, Utah </w:t>
      </w:r>
      <w:r w:rsidRPr="00EF0509">
        <w:rPr>
          <w:rFonts w:eastAsia="Times New Roman" w:cs="Times New Roman"/>
          <w:color w:val="000000"/>
          <w:sz w:val="22"/>
          <w:szCs w:val="22"/>
          <w:lang w:eastAsia="en-CA"/>
        </w:rPr>
        <w:t>within the federally administered Red Wash Potash Leasing Area</w:t>
      </w:r>
      <w:r w:rsidR="001A1106">
        <w:rPr>
          <w:rFonts w:eastAsia="Times New Roman" w:cs="Times New Roman"/>
          <w:color w:val="000000"/>
          <w:sz w:val="22"/>
          <w:szCs w:val="22"/>
          <w:lang w:eastAsia="en-CA"/>
        </w:rPr>
        <w:t xml:space="preserve">. Such approval </w:t>
      </w:r>
      <w:r w:rsidR="00B021BA">
        <w:rPr>
          <w:rFonts w:eastAsia="Times New Roman" w:cs="Times New Roman"/>
          <w:color w:val="000000"/>
          <w:sz w:val="22"/>
          <w:szCs w:val="22"/>
          <w:lang w:eastAsia="en-CA"/>
        </w:rPr>
        <w:t xml:space="preserve">is </w:t>
      </w:r>
      <w:r w:rsidRPr="00EF0509">
        <w:rPr>
          <w:rFonts w:eastAsia="Times New Roman" w:cs="Times New Roman"/>
          <w:color w:val="000000"/>
          <w:sz w:val="22"/>
          <w:szCs w:val="22"/>
          <w:lang w:eastAsia="en-CA"/>
        </w:rPr>
        <w:t xml:space="preserve"> subject to standard terms and conditions, including environmental commitments (for BLM decision see BLM National NEPA Register)</w:t>
      </w:r>
      <w:r w:rsidR="001729A9">
        <w:rPr>
          <w:rFonts w:eastAsia="Times New Roman" w:cs="Times New Roman"/>
          <w:color w:val="000000"/>
          <w:sz w:val="22"/>
          <w:szCs w:val="22"/>
          <w:lang w:eastAsia="en-CA"/>
        </w:rPr>
        <w:t>:</w:t>
      </w:r>
    </w:p>
    <w:p w14:paraId="69D8BD61" w14:textId="77777777" w:rsidR="001729A9" w:rsidRDefault="001729A9" w:rsidP="001729A9">
      <w:pPr>
        <w:pBdr>
          <w:top w:val="nil"/>
          <w:left w:val="nil"/>
          <w:bottom w:val="nil"/>
          <w:right w:val="nil"/>
          <w:between w:val="nil"/>
        </w:pBdr>
        <w:jc w:val="both"/>
        <w:rPr>
          <w:rFonts w:eastAsia="Times New Roman" w:cs="Times New Roman"/>
          <w:color w:val="000000"/>
          <w:sz w:val="22"/>
          <w:szCs w:val="22"/>
          <w:lang w:val="en-CA" w:eastAsia="en-CA"/>
        </w:rPr>
      </w:pPr>
    </w:p>
    <w:p w14:paraId="3BCA857C" w14:textId="28CE8D90" w:rsidR="001729A9" w:rsidRDefault="00803CD6" w:rsidP="00035B8D">
      <w:pPr>
        <w:numPr>
          <w:ilvl w:val="0"/>
          <w:numId w:val="2"/>
        </w:numPr>
        <w:pBdr>
          <w:top w:val="nil"/>
          <w:left w:val="nil"/>
          <w:bottom w:val="nil"/>
          <w:right w:val="nil"/>
          <w:between w:val="nil"/>
        </w:pBdr>
        <w:jc w:val="both"/>
        <w:rPr>
          <w:rFonts w:eastAsia="Times New Roman" w:cs="Times New Roman"/>
          <w:color w:val="000000"/>
          <w:sz w:val="22"/>
          <w:szCs w:val="22"/>
          <w:lang w:val="en-CA" w:eastAsia="en-CA"/>
        </w:rPr>
      </w:pPr>
      <w:r>
        <w:rPr>
          <w:rFonts w:eastAsia="Times New Roman" w:cs="Times New Roman"/>
          <w:color w:val="000000"/>
          <w:sz w:val="22"/>
          <w:szCs w:val="22"/>
          <w:lang w:val="en-CA" w:eastAsia="en-CA"/>
        </w:rPr>
        <w:t>American Critical Minerals</w:t>
      </w:r>
      <w:r w:rsidR="003B704F" w:rsidRPr="003B704F">
        <w:rPr>
          <w:rFonts w:eastAsia="Times New Roman" w:cs="Times New Roman"/>
          <w:color w:val="000000"/>
          <w:sz w:val="22"/>
          <w:szCs w:val="22"/>
          <w:lang w:val="en-CA" w:eastAsia="en-CA"/>
        </w:rPr>
        <w:t xml:space="preserve"> </w:t>
      </w:r>
      <w:r w:rsidR="001A1106">
        <w:rPr>
          <w:rFonts w:eastAsia="Times New Roman" w:cs="Times New Roman"/>
          <w:color w:val="000000"/>
          <w:sz w:val="22"/>
          <w:szCs w:val="22"/>
          <w:lang w:val="en-CA" w:eastAsia="en-CA"/>
        </w:rPr>
        <w:t xml:space="preserve">is </w:t>
      </w:r>
      <w:r w:rsidR="003B704F" w:rsidRPr="003B704F">
        <w:rPr>
          <w:rFonts w:eastAsia="Times New Roman" w:cs="Times New Roman"/>
          <w:color w:val="000000"/>
          <w:sz w:val="22"/>
          <w:szCs w:val="22"/>
          <w:lang w:val="en-CA" w:eastAsia="en-CA"/>
        </w:rPr>
        <w:t xml:space="preserve">now </w:t>
      </w:r>
      <w:r w:rsidR="001A1106">
        <w:rPr>
          <w:rFonts w:eastAsia="Times New Roman" w:cs="Times New Roman"/>
          <w:color w:val="000000"/>
          <w:sz w:val="22"/>
          <w:szCs w:val="22"/>
          <w:lang w:val="en-CA" w:eastAsia="en-CA"/>
        </w:rPr>
        <w:t xml:space="preserve">one of only two </w:t>
      </w:r>
      <w:r>
        <w:rPr>
          <w:rFonts w:eastAsia="Times New Roman" w:cs="Times New Roman"/>
          <w:color w:val="000000"/>
          <w:sz w:val="22"/>
          <w:szCs w:val="22"/>
          <w:lang w:val="en-CA" w:eastAsia="en-CA"/>
        </w:rPr>
        <w:t>c</w:t>
      </w:r>
      <w:r w:rsidR="001A1106">
        <w:rPr>
          <w:rFonts w:eastAsia="Times New Roman" w:cs="Times New Roman"/>
          <w:color w:val="000000"/>
          <w:sz w:val="22"/>
          <w:szCs w:val="22"/>
          <w:lang w:val="en-CA" w:eastAsia="en-CA"/>
        </w:rPr>
        <w:t xml:space="preserve">ompanies across the entire Paradox Basin which </w:t>
      </w:r>
      <w:r w:rsidR="003B704F" w:rsidRPr="003B704F">
        <w:rPr>
          <w:rFonts w:eastAsia="Times New Roman" w:cs="Times New Roman"/>
          <w:color w:val="000000"/>
          <w:sz w:val="22"/>
          <w:szCs w:val="22"/>
          <w:lang w:val="en-CA" w:eastAsia="en-CA"/>
        </w:rPr>
        <w:t xml:space="preserve">has Federal Potash </w:t>
      </w:r>
      <w:r w:rsidR="00B021BA">
        <w:rPr>
          <w:rFonts w:eastAsia="Times New Roman" w:cs="Times New Roman"/>
          <w:color w:val="000000"/>
          <w:sz w:val="22"/>
          <w:szCs w:val="22"/>
          <w:lang w:val="en-CA" w:eastAsia="en-CA"/>
        </w:rPr>
        <w:t xml:space="preserve">Prospecting </w:t>
      </w:r>
      <w:r w:rsidR="003B704F" w:rsidRPr="003B704F">
        <w:rPr>
          <w:rFonts w:eastAsia="Times New Roman" w:cs="Times New Roman"/>
          <w:color w:val="000000"/>
          <w:sz w:val="22"/>
          <w:szCs w:val="22"/>
          <w:lang w:val="en-CA" w:eastAsia="en-CA"/>
        </w:rPr>
        <w:t>Permits</w:t>
      </w:r>
      <w:r w:rsidR="00B021BA">
        <w:rPr>
          <w:rFonts w:eastAsia="Times New Roman" w:cs="Times New Roman"/>
          <w:color w:val="000000"/>
          <w:sz w:val="22"/>
          <w:szCs w:val="22"/>
          <w:lang w:val="en-CA" w:eastAsia="en-CA"/>
        </w:rPr>
        <w:t xml:space="preserve">; </w:t>
      </w:r>
    </w:p>
    <w:p w14:paraId="039D73F0" w14:textId="1AB2634C" w:rsidR="003B704F" w:rsidRPr="003B704F" w:rsidRDefault="00B021BA" w:rsidP="00035B8D">
      <w:pPr>
        <w:numPr>
          <w:ilvl w:val="0"/>
          <w:numId w:val="2"/>
        </w:numPr>
        <w:pBdr>
          <w:top w:val="nil"/>
          <w:left w:val="nil"/>
          <w:bottom w:val="nil"/>
          <w:right w:val="nil"/>
          <w:between w:val="nil"/>
        </w:pBdr>
        <w:jc w:val="both"/>
        <w:rPr>
          <w:rFonts w:eastAsia="Times New Roman" w:cs="Times New Roman"/>
          <w:color w:val="000000"/>
          <w:sz w:val="22"/>
          <w:szCs w:val="22"/>
          <w:lang w:val="en-CA" w:eastAsia="en-CA"/>
        </w:rPr>
      </w:pPr>
      <w:r>
        <w:rPr>
          <w:rFonts w:eastAsia="Times New Roman" w:cs="Times New Roman"/>
          <w:color w:val="000000"/>
          <w:sz w:val="22"/>
          <w:szCs w:val="22"/>
          <w:lang w:val="en-CA" w:eastAsia="en-CA"/>
        </w:rPr>
        <w:t>When c</w:t>
      </w:r>
      <w:r w:rsidR="001A1106" w:rsidRPr="00035B8D">
        <w:rPr>
          <w:rFonts w:eastAsia="Times New Roman" w:cs="Times New Roman"/>
          <w:color w:val="000000"/>
          <w:sz w:val="22"/>
          <w:szCs w:val="22"/>
          <w:lang w:val="en-CA" w:eastAsia="en-CA"/>
        </w:rPr>
        <w:t>ombined with its</w:t>
      </w:r>
      <w:r w:rsidR="003B704F" w:rsidRPr="003B704F">
        <w:rPr>
          <w:rFonts w:eastAsia="Times New Roman" w:cs="Times New Roman"/>
          <w:color w:val="000000"/>
          <w:sz w:val="22"/>
          <w:szCs w:val="22"/>
          <w:lang w:val="en-CA" w:eastAsia="en-CA"/>
        </w:rPr>
        <w:t xml:space="preserve"> BLM Placer Claims </w:t>
      </w:r>
      <w:r w:rsidR="00035B8D" w:rsidRPr="00035B8D">
        <w:rPr>
          <w:rFonts w:eastAsia="Times New Roman" w:cs="Times New Roman"/>
          <w:color w:val="000000"/>
          <w:sz w:val="22"/>
          <w:szCs w:val="22"/>
          <w:lang w:val="en-CA" w:eastAsia="en-CA"/>
        </w:rPr>
        <w:t>(l</w:t>
      </w:r>
      <w:r w:rsidR="003B704F" w:rsidRPr="003B704F">
        <w:rPr>
          <w:rFonts w:eastAsia="Times New Roman" w:cs="Times New Roman"/>
          <w:color w:val="000000"/>
          <w:sz w:val="22"/>
          <w:szCs w:val="22"/>
          <w:lang w:val="en-CA" w:eastAsia="en-CA"/>
        </w:rPr>
        <w:t>ithium</w:t>
      </w:r>
      <w:r w:rsidR="00035B8D" w:rsidRPr="00035B8D">
        <w:rPr>
          <w:rFonts w:eastAsia="Times New Roman" w:cs="Times New Roman"/>
          <w:color w:val="000000"/>
          <w:sz w:val="22"/>
          <w:szCs w:val="22"/>
          <w:lang w:val="en-CA" w:eastAsia="en-CA"/>
        </w:rPr>
        <w:t xml:space="preserve"> and by-products)</w:t>
      </w:r>
      <w:r w:rsidR="003B704F" w:rsidRPr="003B704F">
        <w:rPr>
          <w:rFonts w:eastAsia="Times New Roman" w:cs="Times New Roman"/>
          <w:color w:val="000000"/>
          <w:sz w:val="22"/>
          <w:szCs w:val="22"/>
          <w:lang w:val="en-CA" w:eastAsia="en-CA"/>
        </w:rPr>
        <w:t xml:space="preserve"> and</w:t>
      </w:r>
      <w:r w:rsidR="001A1106" w:rsidRPr="00035B8D">
        <w:rPr>
          <w:rFonts w:eastAsia="Times New Roman" w:cs="Times New Roman"/>
          <w:color w:val="000000"/>
          <w:sz w:val="22"/>
          <w:szCs w:val="22"/>
          <w:lang w:val="en-CA" w:eastAsia="en-CA"/>
        </w:rPr>
        <w:t xml:space="preserve"> its</w:t>
      </w:r>
      <w:r w:rsidR="003B704F" w:rsidRPr="003B704F">
        <w:rPr>
          <w:rFonts w:eastAsia="Times New Roman" w:cs="Times New Roman"/>
          <w:color w:val="000000"/>
          <w:sz w:val="22"/>
          <w:szCs w:val="22"/>
          <w:lang w:val="en-CA" w:eastAsia="en-CA"/>
        </w:rPr>
        <w:t xml:space="preserve"> State Leases</w:t>
      </w:r>
      <w:r>
        <w:rPr>
          <w:rFonts w:eastAsia="Times New Roman" w:cs="Times New Roman"/>
          <w:color w:val="000000"/>
          <w:sz w:val="22"/>
          <w:szCs w:val="22"/>
          <w:lang w:val="en-CA" w:eastAsia="en-CA"/>
        </w:rPr>
        <w:t xml:space="preserve">, the Company has </w:t>
      </w:r>
      <w:r w:rsidR="00DD7A94">
        <w:rPr>
          <w:rFonts w:eastAsia="Times New Roman" w:cs="Times New Roman"/>
          <w:color w:val="000000"/>
          <w:sz w:val="22"/>
          <w:szCs w:val="22"/>
          <w:lang w:val="en-CA" w:eastAsia="en-CA"/>
        </w:rPr>
        <w:t xml:space="preserve">prospecting </w:t>
      </w:r>
      <w:r>
        <w:rPr>
          <w:rFonts w:eastAsia="Times New Roman" w:cs="Times New Roman"/>
          <w:color w:val="000000"/>
          <w:sz w:val="22"/>
          <w:szCs w:val="22"/>
          <w:lang w:val="en-CA" w:eastAsia="en-CA"/>
        </w:rPr>
        <w:t xml:space="preserve">permits for both </w:t>
      </w:r>
      <w:r w:rsidR="00803CD6">
        <w:rPr>
          <w:rFonts w:eastAsia="Times New Roman" w:cs="Times New Roman"/>
          <w:color w:val="000000"/>
          <w:sz w:val="22"/>
          <w:szCs w:val="22"/>
          <w:lang w:val="en-CA" w:eastAsia="en-CA"/>
        </w:rPr>
        <w:t>p</w:t>
      </w:r>
      <w:r>
        <w:rPr>
          <w:rFonts w:eastAsia="Times New Roman" w:cs="Times New Roman"/>
          <w:color w:val="000000"/>
          <w:sz w:val="22"/>
          <w:szCs w:val="22"/>
          <w:lang w:val="en-CA" w:eastAsia="en-CA"/>
        </w:rPr>
        <w:t xml:space="preserve">otash and </w:t>
      </w:r>
      <w:r w:rsidR="00803CD6">
        <w:rPr>
          <w:rFonts w:eastAsia="Times New Roman" w:cs="Times New Roman"/>
          <w:color w:val="000000"/>
          <w:sz w:val="22"/>
          <w:szCs w:val="22"/>
          <w:lang w:val="en-CA" w:eastAsia="en-CA"/>
        </w:rPr>
        <w:t>l</w:t>
      </w:r>
      <w:r>
        <w:rPr>
          <w:rFonts w:eastAsia="Times New Roman" w:cs="Times New Roman"/>
          <w:color w:val="000000"/>
          <w:sz w:val="22"/>
          <w:szCs w:val="22"/>
          <w:lang w:val="en-CA" w:eastAsia="en-CA"/>
        </w:rPr>
        <w:t>ithium across its Green River Project (in excess of</w:t>
      </w:r>
      <w:r w:rsidR="003B704F" w:rsidRPr="003B704F">
        <w:rPr>
          <w:rFonts w:eastAsia="Times New Roman" w:cs="Times New Roman"/>
          <w:color w:val="000000"/>
          <w:sz w:val="22"/>
          <w:szCs w:val="22"/>
          <w:lang w:val="en-CA" w:eastAsia="en-CA"/>
        </w:rPr>
        <w:t xml:space="preserve"> 32,530 acres</w:t>
      </w:r>
      <w:r>
        <w:rPr>
          <w:rFonts w:eastAsia="Times New Roman" w:cs="Times New Roman"/>
          <w:color w:val="000000"/>
          <w:sz w:val="22"/>
          <w:szCs w:val="22"/>
          <w:lang w:val="en-CA" w:eastAsia="en-CA"/>
        </w:rPr>
        <w:t>);</w:t>
      </w:r>
    </w:p>
    <w:p w14:paraId="4A755EA2" w14:textId="3BE4AF4F" w:rsidR="003B704F" w:rsidRPr="003B704F" w:rsidRDefault="003B704F" w:rsidP="003B704F">
      <w:pPr>
        <w:numPr>
          <w:ilvl w:val="0"/>
          <w:numId w:val="3"/>
        </w:numPr>
        <w:pBdr>
          <w:top w:val="nil"/>
          <w:left w:val="nil"/>
          <w:bottom w:val="nil"/>
          <w:right w:val="nil"/>
          <w:between w:val="nil"/>
        </w:pBdr>
        <w:jc w:val="both"/>
        <w:rPr>
          <w:rFonts w:eastAsia="Times New Roman" w:cs="Times New Roman"/>
          <w:color w:val="000000"/>
          <w:sz w:val="22"/>
          <w:szCs w:val="22"/>
          <w:lang w:val="en-CA" w:eastAsia="en-CA"/>
        </w:rPr>
      </w:pPr>
      <w:r w:rsidRPr="003B704F">
        <w:rPr>
          <w:rFonts w:eastAsia="Times New Roman" w:cs="Times New Roman"/>
          <w:color w:val="000000"/>
          <w:sz w:val="22"/>
          <w:szCs w:val="22"/>
          <w:lang w:val="en-CA" w:eastAsia="en-CA"/>
        </w:rPr>
        <w:t xml:space="preserve">The Company now has a total of 7 </w:t>
      </w:r>
      <w:r w:rsidR="00803CD6">
        <w:rPr>
          <w:rFonts w:eastAsia="Times New Roman" w:cs="Times New Roman"/>
          <w:color w:val="000000"/>
          <w:sz w:val="22"/>
          <w:szCs w:val="22"/>
          <w:lang w:val="en-CA" w:eastAsia="en-CA"/>
        </w:rPr>
        <w:t>e</w:t>
      </w:r>
      <w:r w:rsidRPr="003B704F">
        <w:rPr>
          <w:rFonts w:eastAsia="Times New Roman" w:cs="Times New Roman"/>
          <w:color w:val="000000"/>
          <w:sz w:val="22"/>
          <w:szCs w:val="22"/>
          <w:lang w:val="en-CA" w:eastAsia="en-CA"/>
        </w:rPr>
        <w:t xml:space="preserve">xploratory </w:t>
      </w:r>
      <w:r w:rsidR="00803CD6">
        <w:rPr>
          <w:rFonts w:eastAsia="Times New Roman" w:cs="Times New Roman"/>
          <w:color w:val="000000"/>
          <w:sz w:val="22"/>
          <w:szCs w:val="22"/>
          <w:lang w:val="en-CA" w:eastAsia="en-CA"/>
        </w:rPr>
        <w:t>d</w:t>
      </w:r>
      <w:r w:rsidRPr="003B704F">
        <w:rPr>
          <w:rFonts w:eastAsia="Times New Roman" w:cs="Times New Roman"/>
          <w:color w:val="000000"/>
          <w:sz w:val="22"/>
          <w:szCs w:val="22"/>
          <w:lang w:val="en-CA" w:eastAsia="en-CA"/>
        </w:rPr>
        <w:t xml:space="preserve">rill </w:t>
      </w:r>
      <w:r w:rsidR="00803CD6">
        <w:rPr>
          <w:rFonts w:eastAsia="Times New Roman" w:cs="Times New Roman"/>
          <w:color w:val="000000"/>
          <w:sz w:val="22"/>
          <w:szCs w:val="22"/>
          <w:lang w:val="en-CA" w:eastAsia="en-CA"/>
        </w:rPr>
        <w:t>h</w:t>
      </w:r>
      <w:r w:rsidRPr="003B704F">
        <w:rPr>
          <w:rFonts w:eastAsia="Times New Roman" w:cs="Times New Roman"/>
          <w:color w:val="000000"/>
          <w:sz w:val="22"/>
          <w:szCs w:val="22"/>
          <w:lang w:val="en-CA" w:eastAsia="en-CA"/>
        </w:rPr>
        <w:t xml:space="preserve">oles </w:t>
      </w:r>
      <w:r w:rsidR="00803CD6">
        <w:rPr>
          <w:rFonts w:eastAsia="Times New Roman" w:cs="Times New Roman"/>
          <w:color w:val="000000"/>
          <w:sz w:val="22"/>
          <w:szCs w:val="22"/>
          <w:lang w:val="en-CA" w:eastAsia="en-CA"/>
        </w:rPr>
        <w:t>a</w:t>
      </w:r>
      <w:r w:rsidRPr="003B704F">
        <w:rPr>
          <w:rFonts w:eastAsia="Times New Roman" w:cs="Times New Roman"/>
          <w:color w:val="000000"/>
          <w:sz w:val="22"/>
          <w:szCs w:val="22"/>
          <w:lang w:val="en-CA" w:eastAsia="en-CA"/>
        </w:rPr>
        <w:t xml:space="preserve">uthorized and is positioned for </w:t>
      </w:r>
      <w:r w:rsidR="00803CD6">
        <w:rPr>
          <w:rFonts w:eastAsia="Times New Roman" w:cs="Times New Roman"/>
          <w:color w:val="000000"/>
          <w:sz w:val="22"/>
          <w:szCs w:val="22"/>
          <w:lang w:val="en-CA" w:eastAsia="en-CA"/>
        </w:rPr>
        <w:t>b</w:t>
      </w:r>
      <w:r w:rsidRPr="003B704F">
        <w:rPr>
          <w:rFonts w:eastAsia="Times New Roman" w:cs="Times New Roman"/>
          <w:color w:val="000000"/>
          <w:sz w:val="22"/>
          <w:szCs w:val="22"/>
          <w:lang w:val="en-CA" w:eastAsia="en-CA"/>
        </w:rPr>
        <w:t xml:space="preserve">rownfield / </w:t>
      </w:r>
      <w:r w:rsidR="00803CD6">
        <w:rPr>
          <w:rFonts w:eastAsia="Times New Roman" w:cs="Times New Roman"/>
          <w:color w:val="000000"/>
          <w:sz w:val="22"/>
          <w:szCs w:val="22"/>
          <w:lang w:val="en-CA" w:eastAsia="en-CA"/>
        </w:rPr>
        <w:t>c</w:t>
      </w:r>
      <w:r w:rsidRPr="003B704F">
        <w:rPr>
          <w:rFonts w:eastAsia="Times New Roman" w:cs="Times New Roman"/>
          <w:color w:val="000000"/>
          <w:sz w:val="22"/>
          <w:szCs w:val="22"/>
          <w:lang w:val="en-CA" w:eastAsia="en-CA"/>
        </w:rPr>
        <w:t>onfirmation drilling:</w:t>
      </w:r>
    </w:p>
    <w:p w14:paraId="13BC3948" w14:textId="0BE280D3" w:rsidR="003B704F" w:rsidRPr="003B704F" w:rsidRDefault="003B704F" w:rsidP="003B704F">
      <w:pPr>
        <w:numPr>
          <w:ilvl w:val="0"/>
          <w:numId w:val="4"/>
        </w:numPr>
        <w:pBdr>
          <w:top w:val="nil"/>
          <w:left w:val="nil"/>
          <w:bottom w:val="nil"/>
          <w:right w:val="nil"/>
          <w:between w:val="nil"/>
        </w:pBdr>
        <w:tabs>
          <w:tab w:val="num" w:pos="720"/>
        </w:tabs>
        <w:jc w:val="both"/>
        <w:rPr>
          <w:rFonts w:eastAsia="Times New Roman" w:cs="Times New Roman"/>
          <w:color w:val="000000"/>
          <w:sz w:val="22"/>
          <w:szCs w:val="22"/>
          <w:lang w:val="en-CA" w:eastAsia="en-CA"/>
        </w:rPr>
      </w:pPr>
      <w:r w:rsidRPr="003B704F">
        <w:rPr>
          <w:rFonts w:eastAsia="Times New Roman" w:cs="Times New Roman"/>
          <w:color w:val="000000"/>
          <w:sz w:val="22"/>
          <w:szCs w:val="22"/>
          <w:lang w:val="en-CA" w:eastAsia="en-CA"/>
        </w:rPr>
        <w:t xml:space="preserve">to validate high grade potash potential per </w:t>
      </w:r>
      <w:r w:rsidR="00803CD6">
        <w:rPr>
          <w:rFonts w:eastAsia="Times New Roman" w:cs="Times New Roman"/>
          <w:color w:val="000000"/>
          <w:sz w:val="22"/>
          <w:szCs w:val="22"/>
          <w:lang w:val="en-CA" w:eastAsia="en-CA"/>
        </w:rPr>
        <w:t>e</w:t>
      </w:r>
      <w:r w:rsidRPr="003B704F">
        <w:rPr>
          <w:rFonts w:eastAsia="Times New Roman" w:cs="Times New Roman"/>
          <w:color w:val="000000"/>
          <w:sz w:val="22"/>
          <w:szCs w:val="22"/>
          <w:lang w:val="en-CA" w:eastAsia="en-CA"/>
        </w:rPr>
        <w:t xml:space="preserve">xploration </w:t>
      </w:r>
      <w:r w:rsidR="00803CD6">
        <w:rPr>
          <w:rFonts w:eastAsia="Times New Roman" w:cs="Times New Roman"/>
          <w:color w:val="000000"/>
          <w:sz w:val="22"/>
          <w:szCs w:val="22"/>
          <w:lang w:val="en-CA" w:eastAsia="en-CA"/>
        </w:rPr>
        <w:t>t</w:t>
      </w:r>
      <w:r w:rsidRPr="003B704F">
        <w:rPr>
          <w:rFonts w:eastAsia="Times New Roman" w:cs="Times New Roman"/>
          <w:color w:val="000000"/>
          <w:sz w:val="22"/>
          <w:szCs w:val="22"/>
          <w:lang w:val="en-CA" w:eastAsia="en-CA"/>
        </w:rPr>
        <w:t>arget of 600 million to 1 billion tonnes of sylvinite (average grades ranging from 19% to 29% KCL)*;</w:t>
      </w:r>
    </w:p>
    <w:p w14:paraId="36EE3D1F" w14:textId="1A1B9FC5" w:rsidR="003B704F" w:rsidRPr="003B704F" w:rsidRDefault="003B704F" w:rsidP="003B704F">
      <w:pPr>
        <w:numPr>
          <w:ilvl w:val="0"/>
          <w:numId w:val="5"/>
        </w:numPr>
        <w:pBdr>
          <w:top w:val="nil"/>
          <w:left w:val="nil"/>
          <w:bottom w:val="nil"/>
          <w:right w:val="nil"/>
          <w:between w:val="nil"/>
        </w:pBdr>
        <w:tabs>
          <w:tab w:val="num" w:pos="720"/>
        </w:tabs>
        <w:jc w:val="both"/>
        <w:rPr>
          <w:rFonts w:eastAsia="Times New Roman" w:cs="Times New Roman"/>
          <w:color w:val="000000"/>
          <w:sz w:val="22"/>
          <w:szCs w:val="22"/>
          <w:lang w:val="en-CA" w:eastAsia="en-CA"/>
        </w:rPr>
      </w:pPr>
      <w:r w:rsidRPr="003B704F">
        <w:rPr>
          <w:rFonts w:eastAsia="Times New Roman" w:cs="Times New Roman"/>
          <w:color w:val="000000"/>
          <w:sz w:val="22"/>
          <w:szCs w:val="22"/>
          <w:lang w:val="en-CA" w:eastAsia="en-CA"/>
        </w:rPr>
        <w:t>to validate continuity of lithium brine formations / large lithium resources discovered in neighboring Anson Resources properties</w:t>
      </w:r>
      <w:r w:rsidR="00803CD6">
        <w:rPr>
          <w:rFonts w:eastAsia="Times New Roman" w:cs="Times New Roman"/>
          <w:color w:val="000000"/>
          <w:sz w:val="22"/>
          <w:szCs w:val="22"/>
          <w:lang w:val="en-CA" w:eastAsia="en-CA"/>
        </w:rPr>
        <w:t>,</w:t>
      </w:r>
      <w:r w:rsidRPr="003B704F">
        <w:rPr>
          <w:rFonts w:eastAsia="Times New Roman" w:cs="Times New Roman"/>
          <w:color w:val="000000"/>
          <w:sz w:val="22"/>
          <w:szCs w:val="22"/>
          <w:lang w:val="en-CA" w:eastAsia="en-CA"/>
        </w:rPr>
        <w:t xml:space="preserve"> both to the </w:t>
      </w:r>
      <w:r w:rsidR="00803CD6">
        <w:rPr>
          <w:rFonts w:eastAsia="Times New Roman" w:cs="Times New Roman"/>
          <w:color w:val="000000"/>
          <w:sz w:val="22"/>
          <w:szCs w:val="22"/>
          <w:lang w:val="en-CA" w:eastAsia="en-CA"/>
        </w:rPr>
        <w:t>n</w:t>
      </w:r>
      <w:r w:rsidRPr="003B704F">
        <w:rPr>
          <w:rFonts w:eastAsia="Times New Roman" w:cs="Times New Roman"/>
          <w:color w:val="000000"/>
          <w:sz w:val="22"/>
          <w:szCs w:val="22"/>
          <w:lang w:val="en-CA" w:eastAsia="en-CA"/>
        </w:rPr>
        <w:t xml:space="preserve">orth and </w:t>
      </w:r>
      <w:r w:rsidR="00803CD6">
        <w:rPr>
          <w:rFonts w:eastAsia="Times New Roman" w:cs="Times New Roman"/>
          <w:color w:val="000000"/>
          <w:sz w:val="22"/>
          <w:szCs w:val="22"/>
          <w:lang w:val="en-CA" w:eastAsia="en-CA"/>
        </w:rPr>
        <w:t>s</w:t>
      </w:r>
      <w:r w:rsidRPr="003B704F">
        <w:rPr>
          <w:rFonts w:eastAsia="Times New Roman" w:cs="Times New Roman"/>
          <w:color w:val="000000"/>
          <w:sz w:val="22"/>
          <w:szCs w:val="22"/>
          <w:lang w:val="en-CA" w:eastAsia="en-CA"/>
        </w:rPr>
        <w:t>outh and as shown in historic oil well data; and</w:t>
      </w:r>
    </w:p>
    <w:p w14:paraId="6CABB06A" w14:textId="5CC247D8" w:rsidR="003B704F" w:rsidRPr="003B704F" w:rsidRDefault="003B704F" w:rsidP="003B704F">
      <w:pPr>
        <w:numPr>
          <w:ilvl w:val="0"/>
          <w:numId w:val="6"/>
        </w:numPr>
        <w:pBdr>
          <w:top w:val="nil"/>
          <w:left w:val="nil"/>
          <w:bottom w:val="nil"/>
          <w:right w:val="nil"/>
          <w:between w:val="nil"/>
        </w:pBdr>
        <w:tabs>
          <w:tab w:val="num" w:pos="720"/>
        </w:tabs>
        <w:jc w:val="both"/>
        <w:rPr>
          <w:rFonts w:eastAsia="Times New Roman" w:cs="Times New Roman"/>
          <w:color w:val="000000"/>
          <w:sz w:val="22"/>
          <w:szCs w:val="22"/>
          <w:lang w:val="en-CA" w:eastAsia="en-CA"/>
        </w:rPr>
      </w:pPr>
      <w:r w:rsidRPr="003B704F">
        <w:rPr>
          <w:rFonts w:eastAsia="Times New Roman" w:cs="Times New Roman"/>
          <w:color w:val="000000"/>
          <w:sz w:val="22"/>
          <w:szCs w:val="22"/>
          <w:lang w:val="en-CA" w:eastAsia="en-CA"/>
        </w:rPr>
        <w:t xml:space="preserve">to establish an initial </w:t>
      </w:r>
      <w:r w:rsidR="00803CD6">
        <w:rPr>
          <w:rFonts w:eastAsia="Times New Roman" w:cs="Times New Roman"/>
          <w:color w:val="000000"/>
          <w:sz w:val="22"/>
          <w:szCs w:val="22"/>
          <w:lang w:val="en-CA" w:eastAsia="en-CA"/>
        </w:rPr>
        <w:t>r</w:t>
      </w:r>
      <w:r w:rsidRPr="003B704F">
        <w:rPr>
          <w:rFonts w:eastAsia="Times New Roman" w:cs="Times New Roman"/>
          <w:color w:val="000000"/>
          <w:sz w:val="22"/>
          <w:szCs w:val="22"/>
          <w:lang w:val="en-CA" w:eastAsia="en-CA"/>
        </w:rPr>
        <w:t xml:space="preserve">esource for </w:t>
      </w:r>
      <w:r w:rsidR="00803CD6">
        <w:rPr>
          <w:rFonts w:eastAsia="Times New Roman" w:cs="Times New Roman"/>
          <w:color w:val="000000"/>
          <w:sz w:val="22"/>
          <w:szCs w:val="22"/>
          <w:lang w:val="en-CA" w:eastAsia="en-CA"/>
        </w:rPr>
        <w:t>p</w:t>
      </w:r>
      <w:r w:rsidRPr="003B704F">
        <w:rPr>
          <w:rFonts w:eastAsia="Times New Roman" w:cs="Times New Roman"/>
          <w:color w:val="000000"/>
          <w:sz w:val="22"/>
          <w:szCs w:val="22"/>
          <w:lang w:val="en-CA" w:eastAsia="en-CA"/>
        </w:rPr>
        <w:t xml:space="preserve">otash, </w:t>
      </w:r>
      <w:r w:rsidR="00803CD6">
        <w:rPr>
          <w:rFonts w:eastAsia="Times New Roman" w:cs="Times New Roman"/>
          <w:color w:val="000000"/>
          <w:sz w:val="22"/>
          <w:szCs w:val="22"/>
          <w:lang w:val="en-CA" w:eastAsia="en-CA"/>
        </w:rPr>
        <w:t>l</w:t>
      </w:r>
      <w:r w:rsidRPr="003B704F">
        <w:rPr>
          <w:rFonts w:eastAsia="Times New Roman" w:cs="Times New Roman"/>
          <w:color w:val="000000"/>
          <w:sz w:val="22"/>
          <w:szCs w:val="22"/>
          <w:lang w:val="en-CA" w:eastAsia="en-CA"/>
        </w:rPr>
        <w:t xml:space="preserve">ithium and potential </w:t>
      </w:r>
      <w:r w:rsidR="00803CD6">
        <w:rPr>
          <w:rFonts w:eastAsia="Times New Roman" w:cs="Times New Roman"/>
          <w:color w:val="000000"/>
          <w:sz w:val="22"/>
          <w:szCs w:val="22"/>
          <w:lang w:val="en-CA" w:eastAsia="en-CA"/>
        </w:rPr>
        <w:t>b</w:t>
      </w:r>
      <w:r w:rsidRPr="003B704F">
        <w:rPr>
          <w:rFonts w:eastAsia="Times New Roman" w:cs="Times New Roman"/>
          <w:color w:val="000000"/>
          <w:sz w:val="22"/>
          <w:szCs w:val="22"/>
          <w:lang w:val="en-CA" w:eastAsia="en-CA"/>
        </w:rPr>
        <w:t>y-</w:t>
      </w:r>
      <w:r w:rsidR="00803CD6">
        <w:rPr>
          <w:rFonts w:eastAsia="Times New Roman" w:cs="Times New Roman"/>
          <w:color w:val="000000"/>
          <w:sz w:val="22"/>
          <w:szCs w:val="22"/>
          <w:lang w:val="en-CA" w:eastAsia="en-CA"/>
        </w:rPr>
        <w:t>p</w:t>
      </w:r>
      <w:r w:rsidRPr="003B704F">
        <w:rPr>
          <w:rFonts w:eastAsia="Times New Roman" w:cs="Times New Roman"/>
          <w:color w:val="000000"/>
          <w:sz w:val="22"/>
          <w:szCs w:val="22"/>
          <w:lang w:val="en-CA" w:eastAsia="en-CA"/>
        </w:rPr>
        <w:t>roducts.</w:t>
      </w:r>
    </w:p>
    <w:p w14:paraId="119BD0C4" w14:textId="6D7A177B" w:rsidR="003B704F" w:rsidRPr="003B704F" w:rsidRDefault="003B704F" w:rsidP="003B704F">
      <w:pPr>
        <w:numPr>
          <w:ilvl w:val="0"/>
          <w:numId w:val="7"/>
        </w:numPr>
        <w:pBdr>
          <w:top w:val="nil"/>
          <w:left w:val="nil"/>
          <w:bottom w:val="nil"/>
          <w:right w:val="nil"/>
          <w:between w:val="nil"/>
        </w:pBdr>
        <w:jc w:val="both"/>
        <w:rPr>
          <w:rFonts w:eastAsia="Times New Roman" w:cs="Times New Roman"/>
          <w:color w:val="000000"/>
          <w:sz w:val="22"/>
          <w:szCs w:val="22"/>
          <w:lang w:val="en-CA" w:eastAsia="en-CA"/>
        </w:rPr>
      </w:pPr>
      <w:r w:rsidRPr="003B704F">
        <w:rPr>
          <w:rFonts w:eastAsia="Times New Roman" w:cs="Times New Roman"/>
          <w:color w:val="000000"/>
          <w:sz w:val="22"/>
          <w:szCs w:val="22"/>
          <w:lang w:val="en-CA" w:eastAsia="en-CA"/>
        </w:rPr>
        <w:t>The Paradox Basin is one of only eight designated Potash Super Basins globally with</w:t>
      </w:r>
      <w:r w:rsidR="00231DED">
        <w:rPr>
          <w:rFonts w:eastAsia="Times New Roman" w:cs="Times New Roman"/>
          <w:color w:val="000000"/>
          <w:sz w:val="22"/>
          <w:szCs w:val="22"/>
          <w:lang w:val="en-CA" w:eastAsia="en-CA"/>
        </w:rPr>
        <w:t xml:space="preserve"> decades of historical </w:t>
      </w:r>
      <w:r w:rsidRPr="003B704F">
        <w:rPr>
          <w:rFonts w:eastAsia="Times New Roman" w:cs="Times New Roman"/>
          <w:color w:val="000000"/>
          <w:sz w:val="22"/>
          <w:szCs w:val="22"/>
          <w:lang w:val="en-CA" w:eastAsia="en-CA"/>
        </w:rPr>
        <w:t>potash production</w:t>
      </w:r>
      <w:r w:rsidR="00231DED">
        <w:rPr>
          <w:rFonts w:eastAsia="Times New Roman" w:cs="Times New Roman"/>
          <w:color w:val="000000"/>
          <w:sz w:val="22"/>
          <w:szCs w:val="22"/>
          <w:lang w:val="en-CA" w:eastAsia="en-CA"/>
        </w:rPr>
        <w:t xml:space="preserve"> (www.intrepidpotash.com)</w:t>
      </w:r>
      <w:r w:rsidRPr="003B704F">
        <w:rPr>
          <w:rFonts w:eastAsia="Times New Roman" w:cs="Times New Roman"/>
          <w:color w:val="000000"/>
          <w:sz w:val="22"/>
          <w:szCs w:val="22"/>
          <w:lang w:val="en-CA" w:eastAsia="en-CA"/>
        </w:rPr>
        <w:t>;</w:t>
      </w:r>
    </w:p>
    <w:p w14:paraId="21A4A53B" w14:textId="0C463C8F" w:rsidR="003B704F" w:rsidRPr="003B704F" w:rsidRDefault="003B704F" w:rsidP="003B704F">
      <w:pPr>
        <w:numPr>
          <w:ilvl w:val="0"/>
          <w:numId w:val="8"/>
        </w:numPr>
        <w:pBdr>
          <w:top w:val="nil"/>
          <w:left w:val="nil"/>
          <w:bottom w:val="nil"/>
          <w:right w:val="nil"/>
          <w:between w:val="nil"/>
        </w:pBdr>
        <w:jc w:val="both"/>
        <w:rPr>
          <w:rFonts w:eastAsia="Times New Roman" w:cs="Times New Roman"/>
          <w:color w:val="000000"/>
          <w:sz w:val="22"/>
          <w:szCs w:val="22"/>
          <w:lang w:val="en-CA" w:eastAsia="en-CA"/>
        </w:rPr>
      </w:pPr>
      <w:r w:rsidRPr="003B704F">
        <w:rPr>
          <w:rFonts w:eastAsia="Times New Roman" w:cs="Times New Roman"/>
          <w:color w:val="000000"/>
          <w:sz w:val="22"/>
          <w:szCs w:val="22"/>
          <w:lang w:val="en-CA" w:eastAsia="en-CA"/>
        </w:rPr>
        <w:t xml:space="preserve">Recent development work has also validated the Basin’s potential as one of the largest domestic sources of </w:t>
      </w:r>
      <w:r w:rsidR="00803CD6">
        <w:rPr>
          <w:rFonts w:eastAsia="Times New Roman" w:cs="Times New Roman"/>
          <w:color w:val="000000"/>
          <w:sz w:val="22"/>
          <w:szCs w:val="22"/>
          <w:lang w:val="en-CA" w:eastAsia="en-CA"/>
        </w:rPr>
        <w:t>l</w:t>
      </w:r>
      <w:r w:rsidRPr="003B704F">
        <w:rPr>
          <w:rFonts w:eastAsia="Times New Roman" w:cs="Times New Roman"/>
          <w:color w:val="000000"/>
          <w:sz w:val="22"/>
          <w:szCs w:val="22"/>
          <w:lang w:val="en-CA" w:eastAsia="en-CA"/>
        </w:rPr>
        <w:t>ithium in the US</w:t>
      </w:r>
      <w:r w:rsidR="00231DED">
        <w:rPr>
          <w:rFonts w:eastAsia="Times New Roman" w:cs="Times New Roman"/>
          <w:color w:val="000000"/>
          <w:sz w:val="22"/>
          <w:szCs w:val="22"/>
          <w:lang w:val="en-CA" w:eastAsia="en-CA"/>
        </w:rPr>
        <w:t xml:space="preserve"> (</w:t>
      </w:r>
      <w:hyperlink r:id="rId10" w:history="1">
        <w:r w:rsidR="00DD7A94" w:rsidRPr="00944028">
          <w:rPr>
            <w:rStyle w:val="Hyperlink"/>
            <w:rFonts w:eastAsia="Times New Roman" w:cs="Times New Roman"/>
            <w:sz w:val="22"/>
            <w:szCs w:val="22"/>
            <w:lang w:val="en-CA" w:eastAsia="en-CA"/>
          </w:rPr>
          <w:t>www.ansonresources.com</w:t>
        </w:r>
      </w:hyperlink>
      <w:r w:rsidR="00DD7A94">
        <w:rPr>
          <w:rFonts w:eastAsia="Times New Roman" w:cs="Times New Roman"/>
          <w:color w:val="000000"/>
          <w:sz w:val="22"/>
          <w:szCs w:val="22"/>
          <w:lang w:val="en-CA" w:eastAsia="en-CA"/>
        </w:rPr>
        <w:t xml:space="preserve"> </w:t>
      </w:r>
      <w:r w:rsidR="00231DED">
        <w:rPr>
          <w:rFonts w:eastAsia="Times New Roman" w:cs="Times New Roman"/>
          <w:color w:val="000000"/>
          <w:sz w:val="22"/>
          <w:szCs w:val="22"/>
          <w:lang w:val="en-CA" w:eastAsia="en-CA"/>
        </w:rPr>
        <w:t>)</w:t>
      </w:r>
      <w:r w:rsidRPr="003B704F">
        <w:rPr>
          <w:rFonts w:eastAsia="Times New Roman" w:cs="Times New Roman"/>
          <w:color w:val="000000"/>
          <w:sz w:val="22"/>
          <w:szCs w:val="22"/>
          <w:lang w:val="en-CA" w:eastAsia="en-CA"/>
        </w:rPr>
        <w:t>; and</w:t>
      </w:r>
    </w:p>
    <w:p w14:paraId="44637A7C" w14:textId="58696BFF" w:rsidR="003B704F" w:rsidRPr="003B704F" w:rsidRDefault="003B704F" w:rsidP="003B704F">
      <w:pPr>
        <w:numPr>
          <w:ilvl w:val="0"/>
          <w:numId w:val="9"/>
        </w:numPr>
        <w:pBdr>
          <w:top w:val="nil"/>
          <w:left w:val="nil"/>
          <w:bottom w:val="nil"/>
          <w:right w:val="nil"/>
          <w:between w:val="nil"/>
        </w:pBdr>
        <w:jc w:val="both"/>
        <w:rPr>
          <w:rFonts w:eastAsia="Times New Roman" w:cs="Times New Roman"/>
          <w:color w:val="000000"/>
          <w:sz w:val="22"/>
          <w:szCs w:val="22"/>
          <w:lang w:val="en-CA" w:eastAsia="en-CA"/>
        </w:rPr>
      </w:pPr>
      <w:r w:rsidRPr="003B704F">
        <w:rPr>
          <w:rFonts w:eastAsia="Times New Roman" w:cs="Times New Roman"/>
          <w:color w:val="000000"/>
          <w:sz w:val="22"/>
          <w:szCs w:val="22"/>
          <w:lang w:val="en-CA" w:eastAsia="en-CA"/>
        </w:rPr>
        <w:t>The Company’s Green River Project is in the heart of</w:t>
      </w:r>
      <w:r w:rsidR="00231DED">
        <w:rPr>
          <w:rFonts w:eastAsia="Times New Roman" w:cs="Times New Roman"/>
          <w:color w:val="000000"/>
          <w:sz w:val="22"/>
          <w:szCs w:val="22"/>
          <w:lang w:val="en-CA" w:eastAsia="en-CA"/>
        </w:rPr>
        <w:t xml:space="preserve"> </w:t>
      </w:r>
      <w:r w:rsidRPr="003B704F">
        <w:rPr>
          <w:rFonts w:eastAsia="Times New Roman" w:cs="Times New Roman"/>
          <w:color w:val="000000"/>
          <w:sz w:val="22"/>
          <w:szCs w:val="22"/>
          <w:lang w:val="en-CA" w:eastAsia="en-CA"/>
        </w:rPr>
        <w:t xml:space="preserve"> </w:t>
      </w:r>
      <w:r w:rsidR="00231DED">
        <w:rPr>
          <w:rFonts w:eastAsia="Times New Roman" w:cs="Times New Roman"/>
          <w:color w:val="000000"/>
          <w:sz w:val="22"/>
          <w:szCs w:val="22"/>
          <w:lang w:val="en-CA" w:eastAsia="en-CA"/>
        </w:rPr>
        <w:t xml:space="preserve">the </w:t>
      </w:r>
      <w:r w:rsidRPr="003B704F">
        <w:rPr>
          <w:rFonts w:eastAsia="Times New Roman" w:cs="Times New Roman"/>
          <w:color w:val="000000"/>
          <w:sz w:val="22"/>
          <w:szCs w:val="22"/>
          <w:lang w:val="en-CA" w:eastAsia="en-CA"/>
        </w:rPr>
        <w:t>Basin</w:t>
      </w:r>
      <w:r w:rsidR="00B621CF">
        <w:rPr>
          <w:rFonts w:eastAsia="Times New Roman" w:cs="Times New Roman"/>
          <w:color w:val="000000"/>
          <w:sz w:val="22"/>
          <w:szCs w:val="22"/>
          <w:lang w:val="en-CA" w:eastAsia="en-CA"/>
        </w:rPr>
        <w:t>,</w:t>
      </w:r>
      <w:r w:rsidRPr="003B704F">
        <w:rPr>
          <w:rFonts w:eastAsia="Times New Roman" w:cs="Times New Roman"/>
          <w:color w:val="000000"/>
          <w:sz w:val="22"/>
          <w:szCs w:val="22"/>
          <w:lang w:val="en-CA" w:eastAsia="en-CA"/>
        </w:rPr>
        <w:t xml:space="preserve"> </w:t>
      </w:r>
      <w:r w:rsidR="00231DED">
        <w:rPr>
          <w:rFonts w:eastAsia="Times New Roman" w:cs="Times New Roman"/>
          <w:color w:val="000000"/>
          <w:sz w:val="22"/>
          <w:szCs w:val="22"/>
          <w:lang w:val="en-CA" w:eastAsia="en-CA"/>
        </w:rPr>
        <w:t>which is producing potash and being developed for lithium</w:t>
      </w:r>
      <w:r w:rsidR="00B621CF">
        <w:rPr>
          <w:rFonts w:eastAsia="Times New Roman" w:cs="Times New Roman"/>
          <w:color w:val="000000"/>
          <w:sz w:val="22"/>
          <w:szCs w:val="22"/>
          <w:lang w:val="en-CA" w:eastAsia="en-CA"/>
        </w:rPr>
        <w:t>,</w:t>
      </w:r>
      <w:r w:rsidR="00231DED">
        <w:rPr>
          <w:rFonts w:eastAsia="Times New Roman" w:cs="Times New Roman"/>
          <w:color w:val="000000"/>
          <w:sz w:val="22"/>
          <w:szCs w:val="22"/>
          <w:lang w:val="en-CA" w:eastAsia="en-CA"/>
        </w:rPr>
        <w:t xml:space="preserve"> </w:t>
      </w:r>
      <w:r w:rsidR="00DD7A94">
        <w:rPr>
          <w:rFonts w:eastAsia="Times New Roman" w:cs="Times New Roman"/>
          <w:color w:val="000000"/>
          <w:sz w:val="22"/>
          <w:szCs w:val="22"/>
          <w:lang w:val="en-CA" w:eastAsia="en-CA"/>
        </w:rPr>
        <w:t>as such</w:t>
      </w:r>
      <w:r w:rsidR="00231DED">
        <w:rPr>
          <w:rFonts w:eastAsia="Times New Roman" w:cs="Times New Roman"/>
          <w:color w:val="000000"/>
          <w:sz w:val="22"/>
          <w:szCs w:val="22"/>
          <w:lang w:val="en-CA" w:eastAsia="en-CA"/>
        </w:rPr>
        <w:t xml:space="preserve"> the Company</w:t>
      </w:r>
      <w:r w:rsidR="00956B5E">
        <w:rPr>
          <w:rFonts w:eastAsia="Times New Roman" w:cs="Times New Roman"/>
          <w:color w:val="000000"/>
          <w:sz w:val="22"/>
          <w:szCs w:val="22"/>
          <w:lang w:val="en-CA" w:eastAsia="en-CA"/>
        </w:rPr>
        <w:t xml:space="preserve"> </w:t>
      </w:r>
      <w:r w:rsidR="00DD7A94">
        <w:rPr>
          <w:rFonts w:eastAsia="Times New Roman" w:cs="Times New Roman"/>
          <w:color w:val="000000"/>
          <w:sz w:val="22"/>
          <w:szCs w:val="22"/>
          <w:lang w:val="en-CA" w:eastAsia="en-CA"/>
        </w:rPr>
        <w:t xml:space="preserve">is </w:t>
      </w:r>
      <w:r w:rsidRPr="003B704F">
        <w:rPr>
          <w:rFonts w:eastAsia="Times New Roman" w:cs="Times New Roman"/>
          <w:color w:val="000000"/>
          <w:sz w:val="22"/>
          <w:szCs w:val="22"/>
          <w:lang w:val="en-CA" w:eastAsia="en-CA"/>
        </w:rPr>
        <w:t xml:space="preserve">well positioned to help the US </w:t>
      </w:r>
      <w:r w:rsidR="00DD7A94">
        <w:rPr>
          <w:rFonts w:eastAsia="Times New Roman" w:cs="Times New Roman"/>
          <w:color w:val="000000"/>
          <w:sz w:val="22"/>
          <w:szCs w:val="22"/>
          <w:lang w:val="en-CA" w:eastAsia="en-CA"/>
        </w:rPr>
        <w:t>s</w:t>
      </w:r>
      <w:r w:rsidRPr="003B704F">
        <w:rPr>
          <w:rFonts w:eastAsia="Times New Roman" w:cs="Times New Roman"/>
          <w:color w:val="000000"/>
          <w:sz w:val="22"/>
          <w:szCs w:val="22"/>
          <w:lang w:val="en-CA" w:eastAsia="en-CA"/>
        </w:rPr>
        <w:t>ecure Supply Chain Independence for these critical minerals.</w:t>
      </w:r>
    </w:p>
    <w:p w14:paraId="49B7E034" w14:textId="77777777" w:rsidR="003B704F" w:rsidRDefault="003B704F" w:rsidP="00FF61B7">
      <w:pPr>
        <w:pBdr>
          <w:top w:val="nil"/>
          <w:left w:val="nil"/>
          <w:bottom w:val="nil"/>
          <w:right w:val="nil"/>
          <w:between w:val="nil"/>
        </w:pBdr>
        <w:jc w:val="both"/>
        <w:rPr>
          <w:rFonts w:eastAsia="Times New Roman" w:cs="Times New Roman"/>
          <w:b/>
          <w:bCs/>
          <w:color w:val="000000"/>
          <w:sz w:val="22"/>
          <w:szCs w:val="22"/>
          <w:lang w:eastAsia="en-CA"/>
        </w:rPr>
      </w:pPr>
    </w:p>
    <w:p w14:paraId="675F5EE9" w14:textId="334268CE" w:rsidR="00BA4709" w:rsidRDefault="00BA4709" w:rsidP="00FF61B7">
      <w:pPr>
        <w:pBdr>
          <w:top w:val="nil"/>
          <w:left w:val="nil"/>
          <w:bottom w:val="nil"/>
          <w:right w:val="nil"/>
          <w:between w:val="nil"/>
        </w:pBdr>
        <w:jc w:val="both"/>
        <w:rPr>
          <w:rFonts w:eastAsia="Times New Roman" w:cs="Times New Roman"/>
          <w:b/>
          <w:bCs/>
          <w:color w:val="000000"/>
          <w:sz w:val="22"/>
          <w:szCs w:val="22"/>
          <w:lang w:eastAsia="en-CA"/>
        </w:rPr>
      </w:pPr>
      <w:r>
        <w:rPr>
          <w:rFonts w:eastAsia="Times New Roman" w:cs="Times New Roman"/>
          <w:b/>
          <w:bCs/>
          <w:color w:val="000000"/>
          <w:sz w:val="22"/>
          <w:szCs w:val="22"/>
          <w:lang w:eastAsia="en-CA"/>
        </w:rPr>
        <w:t xml:space="preserve">Re-branding,  Name and Symbol Change </w:t>
      </w:r>
      <w:r w:rsidR="006579DD">
        <w:rPr>
          <w:rFonts w:eastAsia="Times New Roman" w:cs="Times New Roman"/>
          <w:b/>
          <w:bCs/>
          <w:color w:val="000000"/>
          <w:sz w:val="22"/>
          <w:szCs w:val="22"/>
          <w:lang w:eastAsia="en-CA"/>
        </w:rPr>
        <w:t>and Strengthen</w:t>
      </w:r>
      <w:r w:rsidR="001B4E73">
        <w:rPr>
          <w:rFonts w:eastAsia="Times New Roman" w:cs="Times New Roman"/>
          <w:b/>
          <w:bCs/>
          <w:color w:val="000000"/>
          <w:sz w:val="22"/>
          <w:szCs w:val="22"/>
          <w:lang w:eastAsia="en-CA"/>
        </w:rPr>
        <w:t>ed</w:t>
      </w:r>
      <w:r w:rsidR="006579DD">
        <w:rPr>
          <w:rFonts w:eastAsia="Times New Roman" w:cs="Times New Roman"/>
          <w:b/>
          <w:bCs/>
          <w:color w:val="000000"/>
          <w:sz w:val="22"/>
          <w:szCs w:val="22"/>
          <w:lang w:eastAsia="en-CA"/>
        </w:rPr>
        <w:t xml:space="preserve"> Balance Sheet</w:t>
      </w:r>
      <w:r w:rsidR="007C5E11">
        <w:rPr>
          <w:rFonts w:eastAsia="Times New Roman" w:cs="Times New Roman"/>
          <w:b/>
          <w:bCs/>
          <w:color w:val="000000"/>
          <w:sz w:val="22"/>
          <w:szCs w:val="22"/>
          <w:lang w:eastAsia="en-CA"/>
        </w:rPr>
        <w:t xml:space="preserve"> / Capital Structure</w:t>
      </w:r>
      <w:r>
        <w:rPr>
          <w:rFonts w:eastAsia="Times New Roman" w:cs="Times New Roman"/>
          <w:b/>
          <w:bCs/>
          <w:color w:val="000000"/>
          <w:sz w:val="22"/>
          <w:szCs w:val="22"/>
          <w:lang w:eastAsia="en-CA"/>
        </w:rPr>
        <w:t xml:space="preserve"> </w:t>
      </w:r>
    </w:p>
    <w:p w14:paraId="3840C885" w14:textId="77777777" w:rsidR="00D61D90" w:rsidRDefault="00D61D90" w:rsidP="00FF61B7">
      <w:pPr>
        <w:pBdr>
          <w:top w:val="nil"/>
          <w:left w:val="nil"/>
          <w:bottom w:val="nil"/>
          <w:right w:val="nil"/>
          <w:between w:val="nil"/>
        </w:pBdr>
        <w:jc w:val="both"/>
        <w:rPr>
          <w:rFonts w:eastAsia="Times New Roman" w:cs="Times New Roman"/>
          <w:b/>
          <w:bCs/>
          <w:color w:val="000000"/>
          <w:sz w:val="22"/>
          <w:szCs w:val="22"/>
          <w:lang w:eastAsia="en-CA"/>
        </w:rPr>
      </w:pPr>
    </w:p>
    <w:p w14:paraId="0A6048DB" w14:textId="25F035F6" w:rsidR="006579DD" w:rsidRDefault="006579DD" w:rsidP="006579DD">
      <w:pPr>
        <w:pBdr>
          <w:top w:val="nil"/>
          <w:left w:val="nil"/>
          <w:bottom w:val="nil"/>
          <w:right w:val="nil"/>
          <w:between w:val="nil"/>
        </w:pBdr>
        <w:jc w:val="both"/>
        <w:rPr>
          <w:color w:val="000000"/>
          <w:sz w:val="22"/>
          <w:szCs w:val="22"/>
          <w:lang w:val="en-CA" w:eastAsia="en-CA"/>
        </w:rPr>
      </w:pPr>
      <w:r w:rsidRPr="006579DD">
        <w:rPr>
          <w:rFonts w:eastAsia="Times New Roman" w:cs="Times New Roman"/>
          <w:color w:val="000000"/>
          <w:sz w:val="22"/>
          <w:szCs w:val="22"/>
          <w:lang w:eastAsia="en-CA"/>
        </w:rPr>
        <w:t>In late December 2024</w:t>
      </w:r>
      <w:r w:rsidR="006F78CB">
        <w:rPr>
          <w:rFonts w:eastAsia="Times New Roman" w:cs="Times New Roman"/>
          <w:color w:val="000000"/>
          <w:sz w:val="22"/>
          <w:szCs w:val="22"/>
          <w:lang w:eastAsia="en-CA"/>
        </w:rPr>
        <w:t>,</w:t>
      </w:r>
      <w:r>
        <w:rPr>
          <w:rFonts w:eastAsia="Times New Roman" w:cs="Times New Roman"/>
          <w:color w:val="000000"/>
          <w:sz w:val="22"/>
          <w:szCs w:val="22"/>
          <w:lang w:eastAsia="en-CA"/>
        </w:rPr>
        <w:t xml:space="preserve"> the Company  </w:t>
      </w:r>
      <w:r w:rsidRPr="006579DD">
        <w:rPr>
          <w:rFonts w:eastAsia="Times New Roman" w:cs="Times New Roman"/>
          <w:color w:val="000000"/>
          <w:sz w:val="22"/>
          <w:szCs w:val="22"/>
          <w:lang w:eastAsia="en-CA"/>
        </w:rPr>
        <w:t>change</w:t>
      </w:r>
      <w:r>
        <w:rPr>
          <w:rFonts w:eastAsia="Times New Roman" w:cs="Times New Roman"/>
          <w:color w:val="000000"/>
          <w:sz w:val="22"/>
          <w:szCs w:val="22"/>
          <w:lang w:eastAsia="en-CA"/>
        </w:rPr>
        <w:t>d</w:t>
      </w:r>
      <w:r w:rsidRPr="006579DD">
        <w:rPr>
          <w:rFonts w:eastAsia="Times New Roman" w:cs="Times New Roman"/>
          <w:color w:val="000000"/>
          <w:sz w:val="22"/>
          <w:szCs w:val="22"/>
          <w:lang w:eastAsia="en-CA"/>
        </w:rPr>
        <w:t xml:space="preserve"> its name</w:t>
      </w:r>
      <w:r>
        <w:rPr>
          <w:rFonts w:eastAsia="Times New Roman" w:cs="Times New Roman"/>
          <w:color w:val="000000"/>
          <w:sz w:val="22"/>
          <w:szCs w:val="22"/>
          <w:lang w:eastAsia="en-CA"/>
        </w:rPr>
        <w:t xml:space="preserve"> from </w:t>
      </w:r>
      <w:r w:rsidR="009E3F4B">
        <w:rPr>
          <w:rFonts w:eastAsia="Times New Roman" w:cs="Times New Roman"/>
          <w:color w:val="000000"/>
          <w:sz w:val="22"/>
          <w:szCs w:val="22"/>
          <w:lang w:eastAsia="en-CA"/>
        </w:rPr>
        <w:t>“</w:t>
      </w:r>
      <w:r>
        <w:rPr>
          <w:rFonts w:eastAsia="Times New Roman" w:cs="Times New Roman"/>
          <w:color w:val="000000"/>
          <w:sz w:val="22"/>
          <w:szCs w:val="22"/>
          <w:lang w:eastAsia="en-CA"/>
        </w:rPr>
        <w:t>American Potash Corp.</w:t>
      </w:r>
      <w:r w:rsidR="009E3F4B">
        <w:rPr>
          <w:rFonts w:eastAsia="Times New Roman" w:cs="Times New Roman"/>
          <w:color w:val="000000"/>
          <w:sz w:val="22"/>
          <w:szCs w:val="22"/>
          <w:lang w:eastAsia="en-CA"/>
        </w:rPr>
        <w:t>”</w:t>
      </w:r>
      <w:r>
        <w:rPr>
          <w:rFonts w:eastAsia="Times New Roman" w:cs="Times New Roman"/>
          <w:color w:val="000000"/>
          <w:sz w:val="22"/>
          <w:szCs w:val="22"/>
          <w:lang w:eastAsia="en-CA"/>
        </w:rPr>
        <w:t xml:space="preserve"> </w:t>
      </w:r>
      <w:r w:rsidRPr="006579DD">
        <w:rPr>
          <w:rFonts w:eastAsia="Times New Roman" w:cs="Times New Roman"/>
          <w:color w:val="000000"/>
          <w:sz w:val="22"/>
          <w:szCs w:val="22"/>
          <w:lang w:eastAsia="en-CA"/>
        </w:rPr>
        <w:t>to “American Critical Minerals Corp.” and adopt</w:t>
      </w:r>
      <w:r>
        <w:rPr>
          <w:rFonts w:eastAsia="Times New Roman" w:cs="Times New Roman"/>
          <w:color w:val="000000"/>
          <w:sz w:val="22"/>
          <w:szCs w:val="22"/>
          <w:lang w:eastAsia="en-CA"/>
        </w:rPr>
        <w:t>ed</w:t>
      </w:r>
      <w:r w:rsidRPr="006579DD">
        <w:rPr>
          <w:rFonts w:eastAsia="Times New Roman" w:cs="Times New Roman"/>
          <w:color w:val="000000"/>
          <w:sz w:val="22"/>
          <w:szCs w:val="22"/>
          <w:lang w:eastAsia="en-CA"/>
        </w:rPr>
        <w:t xml:space="preserve"> the new ticker symbol “KCLI”</w:t>
      </w:r>
      <w:r>
        <w:rPr>
          <w:rFonts w:eastAsia="Times New Roman" w:cs="Times New Roman"/>
          <w:color w:val="000000"/>
          <w:sz w:val="22"/>
          <w:szCs w:val="22"/>
          <w:lang w:eastAsia="en-CA"/>
        </w:rPr>
        <w:t xml:space="preserve">. </w:t>
      </w:r>
      <w:r w:rsidRPr="006579DD">
        <w:rPr>
          <w:color w:val="000000"/>
          <w:sz w:val="22"/>
          <w:szCs w:val="22"/>
          <w:lang w:val="en-CA" w:eastAsia="en-CA"/>
        </w:rPr>
        <w:t xml:space="preserve">In addition to existing potash production, the Paradox Basin is now established as a major source of lithium brines in the United States. With the piloting and advanced development work on projects neighboring the Company’s Green River Project (adjacent to the north and southeast), the scale of this opportunity is becoming more established. In addition to its existing NI 43-101 </w:t>
      </w:r>
      <w:r w:rsidR="00803CD6">
        <w:rPr>
          <w:color w:val="000000"/>
          <w:sz w:val="22"/>
          <w:szCs w:val="22"/>
          <w:lang w:val="en-CA" w:eastAsia="en-CA"/>
        </w:rPr>
        <w:t>p</w:t>
      </w:r>
      <w:r w:rsidRPr="006579DD">
        <w:rPr>
          <w:color w:val="000000"/>
          <w:sz w:val="22"/>
          <w:szCs w:val="22"/>
          <w:lang w:val="en-CA" w:eastAsia="en-CA"/>
        </w:rPr>
        <w:t xml:space="preserve">otash </w:t>
      </w:r>
      <w:r w:rsidR="00803CD6">
        <w:rPr>
          <w:color w:val="000000"/>
          <w:sz w:val="22"/>
          <w:szCs w:val="22"/>
          <w:lang w:val="en-CA" w:eastAsia="en-CA"/>
        </w:rPr>
        <w:t>e</w:t>
      </w:r>
      <w:r w:rsidRPr="006579DD">
        <w:rPr>
          <w:color w:val="000000"/>
          <w:sz w:val="22"/>
          <w:szCs w:val="22"/>
          <w:lang w:val="en-CA" w:eastAsia="en-CA"/>
        </w:rPr>
        <w:t xml:space="preserve">xploration </w:t>
      </w:r>
      <w:r w:rsidR="00803CD6">
        <w:rPr>
          <w:color w:val="000000"/>
          <w:sz w:val="22"/>
          <w:szCs w:val="22"/>
          <w:lang w:val="en-CA" w:eastAsia="en-CA"/>
        </w:rPr>
        <w:t>t</w:t>
      </w:r>
      <w:r w:rsidRPr="006579DD">
        <w:rPr>
          <w:color w:val="000000"/>
          <w:sz w:val="22"/>
          <w:szCs w:val="22"/>
          <w:lang w:val="en-CA" w:eastAsia="en-CA"/>
        </w:rPr>
        <w:t xml:space="preserve">arget of 600 million to 1 </w:t>
      </w:r>
      <w:r w:rsidR="00803CD6">
        <w:rPr>
          <w:color w:val="000000"/>
          <w:sz w:val="22"/>
          <w:szCs w:val="22"/>
          <w:lang w:val="en-CA" w:eastAsia="en-CA"/>
        </w:rPr>
        <w:t>b</w:t>
      </w:r>
      <w:r w:rsidRPr="006579DD">
        <w:rPr>
          <w:color w:val="000000"/>
          <w:sz w:val="22"/>
          <w:szCs w:val="22"/>
          <w:lang w:val="en-CA" w:eastAsia="en-CA"/>
        </w:rPr>
        <w:t xml:space="preserve">illion </w:t>
      </w:r>
      <w:r w:rsidR="00803CD6">
        <w:rPr>
          <w:color w:val="000000"/>
          <w:sz w:val="22"/>
          <w:szCs w:val="22"/>
          <w:lang w:val="en-CA" w:eastAsia="en-CA"/>
        </w:rPr>
        <w:t>t</w:t>
      </w:r>
      <w:r w:rsidRPr="006579DD">
        <w:rPr>
          <w:color w:val="000000"/>
          <w:sz w:val="22"/>
          <w:szCs w:val="22"/>
          <w:lang w:val="en-CA" w:eastAsia="en-CA"/>
        </w:rPr>
        <w:t xml:space="preserve">onnes of </w:t>
      </w:r>
      <w:r w:rsidR="00803CD6">
        <w:rPr>
          <w:color w:val="000000"/>
          <w:sz w:val="22"/>
          <w:szCs w:val="22"/>
          <w:lang w:val="en-CA" w:eastAsia="en-CA"/>
        </w:rPr>
        <w:t>s</w:t>
      </w:r>
      <w:r w:rsidRPr="006579DD">
        <w:rPr>
          <w:color w:val="000000"/>
          <w:sz w:val="22"/>
          <w:szCs w:val="22"/>
          <w:lang w:val="en-CA" w:eastAsia="en-CA"/>
        </w:rPr>
        <w:t>ylvinite with grades between 19 and 29% KCL*, the Green River Project is underlain by the combined Mississippian Leadville Formation and the Pennsylvanian Paradox Formation brine-bearing clastic layers, including lithium brines.</w:t>
      </w:r>
    </w:p>
    <w:p w14:paraId="56BD83D0" w14:textId="77777777" w:rsidR="006579DD" w:rsidRPr="006579DD" w:rsidRDefault="006579DD" w:rsidP="006579DD">
      <w:pPr>
        <w:pBdr>
          <w:top w:val="nil"/>
          <w:left w:val="nil"/>
          <w:bottom w:val="nil"/>
          <w:right w:val="nil"/>
          <w:between w:val="nil"/>
        </w:pBdr>
        <w:jc w:val="both"/>
        <w:rPr>
          <w:color w:val="000000"/>
          <w:sz w:val="22"/>
          <w:szCs w:val="22"/>
          <w:lang w:val="en-CA" w:eastAsia="en-CA"/>
        </w:rPr>
      </w:pPr>
    </w:p>
    <w:p w14:paraId="2AD7B547" w14:textId="035FABE6" w:rsidR="006579DD" w:rsidRPr="006579DD" w:rsidRDefault="00DD7A94" w:rsidP="006579DD">
      <w:pPr>
        <w:pBdr>
          <w:top w:val="nil"/>
          <w:left w:val="nil"/>
          <w:bottom w:val="nil"/>
          <w:right w:val="nil"/>
          <w:between w:val="nil"/>
        </w:pBdr>
        <w:jc w:val="both"/>
        <w:rPr>
          <w:rFonts w:eastAsia="Times New Roman" w:cs="Times New Roman"/>
          <w:color w:val="000000"/>
          <w:sz w:val="22"/>
          <w:szCs w:val="22"/>
          <w:lang w:val="en-CA" w:eastAsia="en-CA"/>
        </w:rPr>
      </w:pPr>
      <w:r>
        <w:rPr>
          <w:rFonts w:eastAsia="Times New Roman" w:cs="Times New Roman"/>
          <w:color w:val="000000"/>
          <w:sz w:val="22"/>
          <w:szCs w:val="22"/>
          <w:lang w:val="en-CA" w:eastAsia="en-CA"/>
        </w:rPr>
        <w:lastRenderedPageBreak/>
        <w:t>L</w:t>
      </w:r>
      <w:r w:rsidR="006579DD" w:rsidRPr="006579DD">
        <w:rPr>
          <w:rFonts w:eastAsia="Times New Roman" w:cs="Times New Roman"/>
          <w:color w:val="000000"/>
          <w:sz w:val="22"/>
          <w:szCs w:val="22"/>
          <w:lang w:val="en-CA" w:eastAsia="en-CA"/>
        </w:rPr>
        <w:t>ithium is well established as a critical mineral in the United States. Potash is already designated as such in a number of countries given its centrality to the domestic agricultural sector and the fact that the U.S. import dependency rate is over 90%, the United States Congress is actively considering adding potash to the National Critical Minerals list.**  The Company believes that re-branding as American Critical Minerals better describes the opportunities it is pursuing. Potash and lithium are now both a key area of focus for the Company</w:t>
      </w:r>
      <w:r w:rsidR="00C609A4">
        <w:rPr>
          <w:rFonts w:eastAsia="Times New Roman" w:cs="Times New Roman"/>
          <w:color w:val="000000"/>
          <w:sz w:val="22"/>
          <w:szCs w:val="22"/>
          <w:lang w:val="en-CA" w:eastAsia="en-CA"/>
        </w:rPr>
        <w:t xml:space="preserve"> and </w:t>
      </w:r>
      <w:r>
        <w:rPr>
          <w:rFonts w:eastAsia="Times New Roman" w:cs="Times New Roman"/>
          <w:color w:val="000000"/>
          <w:sz w:val="22"/>
          <w:szCs w:val="22"/>
          <w:lang w:val="en-CA" w:eastAsia="en-CA"/>
        </w:rPr>
        <w:t xml:space="preserve">it </w:t>
      </w:r>
      <w:r w:rsidR="00C609A4">
        <w:rPr>
          <w:rFonts w:eastAsia="Times New Roman" w:cs="Times New Roman"/>
          <w:color w:val="000000"/>
          <w:sz w:val="22"/>
          <w:szCs w:val="22"/>
          <w:lang w:val="en-CA" w:eastAsia="en-CA"/>
        </w:rPr>
        <w:t>has re-branded accordingly.</w:t>
      </w:r>
      <w:r w:rsidR="0060379D">
        <w:rPr>
          <w:rFonts w:eastAsia="Times New Roman" w:cs="Times New Roman"/>
          <w:color w:val="000000"/>
          <w:sz w:val="22"/>
          <w:szCs w:val="22"/>
          <w:lang w:val="en-CA" w:eastAsia="en-CA"/>
        </w:rPr>
        <w:t xml:space="preserve"> </w:t>
      </w:r>
    </w:p>
    <w:p w14:paraId="616FD77F" w14:textId="305235B8" w:rsidR="006579DD" w:rsidRPr="006579DD" w:rsidRDefault="006579DD" w:rsidP="00FF61B7">
      <w:pPr>
        <w:pBdr>
          <w:top w:val="nil"/>
          <w:left w:val="nil"/>
          <w:bottom w:val="nil"/>
          <w:right w:val="nil"/>
          <w:between w:val="nil"/>
        </w:pBdr>
        <w:jc w:val="both"/>
        <w:rPr>
          <w:rFonts w:eastAsia="Times New Roman" w:cs="Times New Roman"/>
          <w:color w:val="000000"/>
          <w:sz w:val="22"/>
          <w:szCs w:val="22"/>
          <w:lang w:eastAsia="en-CA"/>
        </w:rPr>
      </w:pPr>
    </w:p>
    <w:p w14:paraId="61A9BD6E" w14:textId="636C8627" w:rsidR="00A2361B" w:rsidRPr="00FC10BA" w:rsidRDefault="00C609A4" w:rsidP="0060379D">
      <w:pPr>
        <w:pBdr>
          <w:top w:val="nil"/>
          <w:left w:val="nil"/>
          <w:bottom w:val="nil"/>
          <w:right w:val="nil"/>
          <w:between w:val="nil"/>
        </w:pBdr>
        <w:jc w:val="both"/>
        <w:rPr>
          <w:rFonts w:ascii="Cambria" w:hAnsi="Cambria"/>
          <w:color w:val="000000"/>
          <w:sz w:val="22"/>
          <w:szCs w:val="22"/>
          <w:lang w:val="en-CA"/>
        </w:rPr>
      </w:pPr>
      <w:r>
        <w:rPr>
          <w:rFonts w:eastAsia="Times New Roman" w:cs="Times New Roman"/>
          <w:color w:val="000000"/>
          <w:sz w:val="22"/>
          <w:szCs w:val="22"/>
          <w:lang w:eastAsia="en-CA"/>
        </w:rPr>
        <w:t xml:space="preserve">In late December 2024, the Company also </w:t>
      </w:r>
      <w:r w:rsidR="0093287D">
        <w:rPr>
          <w:rFonts w:eastAsia="Times New Roman" w:cs="Times New Roman"/>
          <w:color w:val="000000"/>
          <w:sz w:val="22"/>
          <w:szCs w:val="22"/>
          <w:lang w:eastAsia="en-CA"/>
        </w:rPr>
        <w:t xml:space="preserve">strengthened its </w:t>
      </w:r>
      <w:r w:rsidR="009E3F4B">
        <w:rPr>
          <w:rFonts w:eastAsia="Times New Roman" w:cs="Times New Roman"/>
          <w:color w:val="000000"/>
          <w:sz w:val="22"/>
          <w:szCs w:val="22"/>
          <w:lang w:eastAsia="en-CA"/>
        </w:rPr>
        <w:t xml:space="preserve">balance sheet </w:t>
      </w:r>
      <w:r w:rsidR="0093287D">
        <w:rPr>
          <w:rFonts w:eastAsia="Times New Roman" w:cs="Times New Roman"/>
          <w:color w:val="000000"/>
          <w:sz w:val="22"/>
          <w:szCs w:val="22"/>
          <w:lang w:eastAsia="en-CA"/>
        </w:rPr>
        <w:t>with</w:t>
      </w:r>
      <w:r>
        <w:rPr>
          <w:rFonts w:eastAsia="Times New Roman" w:cs="Times New Roman"/>
          <w:color w:val="000000"/>
          <w:sz w:val="22"/>
          <w:szCs w:val="22"/>
          <w:lang w:eastAsia="en-CA"/>
        </w:rPr>
        <w:t xml:space="preserve"> an </w:t>
      </w:r>
      <w:r w:rsidR="00F97E59">
        <w:rPr>
          <w:rFonts w:ascii="Cambria" w:hAnsi="Cambria"/>
          <w:color w:val="000000"/>
          <w:sz w:val="22"/>
          <w:szCs w:val="22"/>
        </w:rPr>
        <w:t>oversubscribed</w:t>
      </w:r>
      <w:r>
        <w:rPr>
          <w:rFonts w:ascii="Cambria" w:hAnsi="Cambria"/>
          <w:color w:val="000000"/>
          <w:sz w:val="22"/>
          <w:szCs w:val="22"/>
        </w:rPr>
        <w:t xml:space="preserve"> financing for</w:t>
      </w:r>
      <w:r w:rsidR="00F1229D" w:rsidRPr="008B2F7C">
        <w:rPr>
          <w:rFonts w:ascii="Cambria" w:hAnsi="Cambria"/>
          <w:color w:val="000000"/>
          <w:sz w:val="22"/>
          <w:szCs w:val="22"/>
        </w:rPr>
        <w:t xml:space="preserve"> gross proceeds of $</w:t>
      </w:r>
      <w:r w:rsidR="001A7CF0">
        <w:rPr>
          <w:rFonts w:ascii="Cambria" w:hAnsi="Cambria"/>
          <w:color w:val="000000"/>
          <w:sz w:val="22"/>
          <w:szCs w:val="22"/>
        </w:rPr>
        <w:t>1,076,400</w:t>
      </w:r>
      <w:r w:rsidR="00F1229D" w:rsidRPr="008B2F7C">
        <w:rPr>
          <w:rFonts w:ascii="Cambria" w:hAnsi="Cambria"/>
          <w:color w:val="000000"/>
          <w:sz w:val="22"/>
          <w:szCs w:val="22"/>
        </w:rPr>
        <w:t xml:space="preserve"> </w:t>
      </w:r>
      <w:r w:rsidR="00A80CAF">
        <w:rPr>
          <w:rFonts w:ascii="Cambria" w:hAnsi="Cambria"/>
          <w:color w:val="000000"/>
          <w:sz w:val="22"/>
          <w:szCs w:val="22"/>
          <w:lang w:val="en-CA"/>
        </w:rPr>
        <w:t>to</w:t>
      </w:r>
      <w:r w:rsidR="0093287D">
        <w:rPr>
          <w:rFonts w:ascii="Cambria" w:hAnsi="Cambria"/>
          <w:color w:val="000000"/>
          <w:sz w:val="22"/>
          <w:szCs w:val="22"/>
          <w:lang w:val="en-CA"/>
        </w:rPr>
        <w:t xml:space="preserve"> continue to</w:t>
      </w:r>
      <w:r w:rsidR="00A80CAF">
        <w:rPr>
          <w:rFonts w:ascii="Cambria" w:hAnsi="Cambria"/>
          <w:color w:val="000000"/>
          <w:sz w:val="22"/>
          <w:szCs w:val="22"/>
          <w:lang w:val="en-CA"/>
        </w:rPr>
        <w:t xml:space="preserve"> advance the Company’s Green River Project</w:t>
      </w:r>
      <w:r w:rsidR="00544411">
        <w:rPr>
          <w:rFonts w:ascii="Cambria" w:hAnsi="Cambria"/>
          <w:color w:val="000000"/>
          <w:sz w:val="22"/>
          <w:szCs w:val="22"/>
          <w:lang w:val="en-CA"/>
        </w:rPr>
        <w:t>,</w:t>
      </w:r>
      <w:r w:rsidR="00A80CAF">
        <w:rPr>
          <w:rFonts w:ascii="Cambria" w:hAnsi="Cambria"/>
          <w:color w:val="000000"/>
          <w:sz w:val="22"/>
          <w:szCs w:val="22"/>
          <w:lang w:val="en-CA"/>
        </w:rPr>
        <w:t xml:space="preserve"> focusing on both </w:t>
      </w:r>
      <w:r w:rsidR="009E3F4B">
        <w:rPr>
          <w:rFonts w:ascii="Cambria" w:hAnsi="Cambria"/>
          <w:color w:val="000000"/>
          <w:sz w:val="22"/>
          <w:szCs w:val="22"/>
          <w:lang w:val="en-CA"/>
        </w:rPr>
        <w:t xml:space="preserve">potash </w:t>
      </w:r>
      <w:r w:rsidR="00A80CAF">
        <w:rPr>
          <w:rFonts w:ascii="Cambria" w:hAnsi="Cambria"/>
          <w:color w:val="000000"/>
          <w:sz w:val="22"/>
          <w:szCs w:val="22"/>
          <w:lang w:val="en-CA"/>
        </w:rPr>
        <w:t xml:space="preserve">and </w:t>
      </w:r>
      <w:r w:rsidR="00090D7C">
        <w:rPr>
          <w:rFonts w:ascii="Cambria" w:hAnsi="Cambria"/>
          <w:color w:val="000000"/>
          <w:sz w:val="22"/>
          <w:szCs w:val="22"/>
          <w:lang w:val="en-CA"/>
        </w:rPr>
        <w:t xml:space="preserve">lithium </w:t>
      </w:r>
      <w:r w:rsidR="00A80CAF">
        <w:rPr>
          <w:rFonts w:ascii="Cambria" w:hAnsi="Cambria"/>
          <w:color w:val="000000"/>
          <w:sz w:val="22"/>
          <w:szCs w:val="22"/>
          <w:lang w:val="en-CA"/>
        </w:rPr>
        <w:t>evaluation and exploration</w:t>
      </w:r>
      <w:r w:rsidR="00544411">
        <w:rPr>
          <w:rFonts w:ascii="Cambria" w:hAnsi="Cambria"/>
          <w:color w:val="000000"/>
          <w:sz w:val="22"/>
          <w:szCs w:val="22"/>
          <w:lang w:val="en-CA"/>
        </w:rPr>
        <w:t>,</w:t>
      </w:r>
      <w:r w:rsidR="00A80CAF">
        <w:rPr>
          <w:rFonts w:ascii="Cambria" w:hAnsi="Cambria"/>
          <w:color w:val="000000"/>
          <w:sz w:val="22"/>
          <w:szCs w:val="22"/>
          <w:lang w:val="en-CA"/>
        </w:rPr>
        <w:t xml:space="preserve"> and for general working capital purposes. </w:t>
      </w:r>
      <w:r w:rsidR="0093287D">
        <w:rPr>
          <w:rFonts w:ascii="Cambria" w:hAnsi="Cambria"/>
          <w:color w:val="000000"/>
          <w:sz w:val="22"/>
          <w:szCs w:val="22"/>
          <w:lang w:val="en-CA"/>
        </w:rPr>
        <w:t>The Company</w:t>
      </w:r>
      <w:r w:rsidR="00720EAD">
        <w:rPr>
          <w:rFonts w:ascii="Cambria" w:hAnsi="Cambria"/>
          <w:color w:val="000000"/>
          <w:sz w:val="22"/>
          <w:szCs w:val="22"/>
        </w:rPr>
        <w:t xml:space="preserve"> also </w:t>
      </w:r>
      <w:r w:rsidR="00F97E59">
        <w:rPr>
          <w:rFonts w:ascii="Cambria" w:hAnsi="Cambria"/>
          <w:color w:val="000000"/>
          <w:sz w:val="22"/>
          <w:szCs w:val="22"/>
        </w:rPr>
        <w:t>consolidated its outstanding</w:t>
      </w:r>
      <w:r w:rsidR="002735DF">
        <w:rPr>
          <w:rFonts w:ascii="Cambria" w:hAnsi="Cambria"/>
          <w:color w:val="000000"/>
          <w:sz w:val="22"/>
          <w:szCs w:val="22"/>
        </w:rPr>
        <w:t xml:space="preserve"> common share capital at a ratio</w:t>
      </w:r>
      <w:r w:rsidR="0041364C">
        <w:rPr>
          <w:rFonts w:ascii="Cambria" w:hAnsi="Cambria"/>
          <w:color w:val="000000"/>
          <w:sz w:val="22"/>
          <w:szCs w:val="22"/>
          <w:lang w:val="en-CA"/>
        </w:rPr>
        <w:t xml:space="preserve"> </w:t>
      </w:r>
      <w:r w:rsidR="00FC10BA" w:rsidRPr="00FC10BA">
        <w:rPr>
          <w:rFonts w:ascii="Cambria" w:hAnsi="Cambria"/>
          <w:color w:val="000000"/>
          <w:sz w:val="22"/>
          <w:szCs w:val="22"/>
          <w:lang w:val="en-CA"/>
        </w:rPr>
        <w:t xml:space="preserve">of </w:t>
      </w:r>
      <w:r w:rsidR="00FC10BA">
        <w:rPr>
          <w:rFonts w:ascii="Cambria" w:hAnsi="Cambria"/>
          <w:color w:val="000000"/>
          <w:sz w:val="22"/>
          <w:szCs w:val="22"/>
          <w:lang w:val="en-CA"/>
        </w:rPr>
        <w:t>2.5</w:t>
      </w:r>
      <w:r w:rsidR="00FC10BA" w:rsidRPr="00FC10BA">
        <w:rPr>
          <w:rFonts w:ascii="Cambria" w:hAnsi="Cambria"/>
          <w:color w:val="000000"/>
          <w:sz w:val="22"/>
          <w:szCs w:val="22"/>
          <w:lang w:val="en-CA"/>
        </w:rPr>
        <w:t xml:space="preserve"> </w:t>
      </w:r>
      <w:bookmarkStart w:id="10" w:name="_9kR3WTr266458y1rDI0571wpiz84A"/>
      <w:bookmarkStart w:id="11" w:name="_9kR3WTr26649I41rDI0571wpiz84A"/>
      <w:r w:rsidR="00FC10BA" w:rsidRPr="00FC10BA">
        <w:rPr>
          <w:rFonts w:ascii="Cambria" w:hAnsi="Cambria"/>
          <w:color w:val="000000"/>
          <w:sz w:val="22"/>
          <w:szCs w:val="22"/>
          <w:lang w:val="en-CA"/>
        </w:rPr>
        <w:t>pre-</w:t>
      </w:r>
      <w:bookmarkEnd w:id="10"/>
      <w:bookmarkEnd w:id="11"/>
      <w:r w:rsidR="00090D7C">
        <w:rPr>
          <w:rFonts w:ascii="Cambria" w:hAnsi="Cambria"/>
          <w:color w:val="000000"/>
          <w:sz w:val="22"/>
          <w:szCs w:val="22"/>
          <w:lang w:val="en-CA"/>
        </w:rPr>
        <w:t>c</w:t>
      </w:r>
      <w:r w:rsidR="00090D7C" w:rsidRPr="00FC10BA">
        <w:rPr>
          <w:rFonts w:ascii="Cambria" w:hAnsi="Cambria"/>
          <w:color w:val="000000"/>
          <w:sz w:val="22"/>
          <w:szCs w:val="22"/>
          <w:lang w:val="en-CA"/>
        </w:rPr>
        <w:t xml:space="preserve">onsolidation </w:t>
      </w:r>
      <w:r w:rsidR="00F8006D">
        <w:rPr>
          <w:rFonts w:ascii="Cambria" w:hAnsi="Cambria"/>
          <w:color w:val="000000"/>
          <w:sz w:val="22"/>
          <w:szCs w:val="22"/>
          <w:lang w:val="en-CA"/>
        </w:rPr>
        <w:t>s</w:t>
      </w:r>
      <w:r w:rsidR="00F8006D" w:rsidRPr="00FC10BA">
        <w:rPr>
          <w:rFonts w:ascii="Cambria" w:hAnsi="Cambria"/>
          <w:color w:val="000000"/>
          <w:sz w:val="22"/>
          <w:szCs w:val="22"/>
          <w:lang w:val="en-CA"/>
        </w:rPr>
        <w:t xml:space="preserve">hares </w:t>
      </w:r>
      <w:r w:rsidR="00FC10BA" w:rsidRPr="00FC10BA">
        <w:rPr>
          <w:rFonts w:ascii="Cambria" w:hAnsi="Cambria"/>
          <w:color w:val="000000"/>
          <w:sz w:val="22"/>
          <w:szCs w:val="22"/>
          <w:lang w:val="en-CA"/>
        </w:rPr>
        <w:t xml:space="preserve">to 1 </w:t>
      </w:r>
      <w:bookmarkStart w:id="12" w:name="_9kR3WTr266459zy28TJ1682xqj095B"/>
      <w:bookmarkStart w:id="13" w:name="_9kR3WTr26649J5y28TJ1682xqj095B"/>
      <w:r w:rsidR="00FC10BA" w:rsidRPr="00FC10BA">
        <w:rPr>
          <w:rFonts w:ascii="Cambria" w:hAnsi="Cambria"/>
          <w:color w:val="000000"/>
          <w:sz w:val="22"/>
          <w:szCs w:val="22"/>
          <w:lang w:val="en-CA"/>
        </w:rPr>
        <w:t>post-</w:t>
      </w:r>
      <w:bookmarkEnd w:id="12"/>
      <w:bookmarkEnd w:id="13"/>
      <w:r w:rsidR="00090D7C">
        <w:rPr>
          <w:rFonts w:ascii="Cambria" w:hAnsi="Cambria"/>
          <w:color w:val="000000"/>
          <w:sz w:val="22"/>
          <w:szCs w:val="22"/>
          <w:lang w:val="en-CA"/>
        </w:rPr>
        <w:t>c</w:t>
      </w:r>
      <w:r w:rsidR="00090D7C" w:rsidRPr="00FC10BA">
        <w:rPr>
          <w:rFonts w:ascii="Cambria" w:hAnsi="Cambria"/>
          <w:color w:val="000000"/>
          <w:sz w:val="22"/>
          <w:szCs w:val="22"/>
          <w:lang w:val="en-CA"/>
        </w:rPr>
        <w:t xml:space="preserve">onsolidation </w:t>
      </w:r>
      <w:r w:rsidR="00F8006D">
        <w:rPr>
          <w:rFonts w:ascii="Cambria" w:hAnsi="Cambria"/>
          <w:color w:val="000000"/>
          <w:sz w:val="22"/>
          <w:szCs w:val="22"/>
          <w:lang w:val="en-CA"/>
        </w:rPr>
        <w:t>s</w:t>
      </w:r>
      <w:r w:rsidR="00F8006D" w:rsidRPr="00FC10BA">
        <w:rPr>
          <w:rFonts w:ascii="Cambria" w:hAnsi="Cambria"/>
          <w:color w:val="000000"/>
          <w:sz w:val="22"/>
          <w:szCs w:val="22"/>
          <w:lang w:val="en-CA"/>
        </w:rPr>
        <w:t>hare</w:t>
      </w:r>
      <w:r w:rsidR="0041364C">
        <w:rPr>
          <w:rFonts w:ascii="Cambria" w:hAnsi="Cambria"/>
          <w:color w:val="000000"/>
          <w:sz w:val="22"/>
          <w:szCs w:val="22"/>
          <w:lang w:val="en-CA"/>
        </w:rPr>
        <w:t xml:space="preserve">. </w:t>
      </w:r>
      <w:r w:rsidR="00F97E59">
        <w:rPr>
          <w:rFonts w:ascii="Cambria" w:hAnsi="Cambria"/>
          <w:color w:val="000000"/>
          <w:sz w:val="22"/>
          <w:szCs w:val="22"/>
          <w:lang w:val="en-CA"/>
        </w:rPr>
        <w:t xml:space="preserve"> </w:t>
      </w:r>
      <w:r w:rsidR="002735DF">
        <w:rPr>
          <w:rFonts w:ascii="Cambria" w:hAnsi="Cambria"/>
          <w:color w:val="000000"/>
          <w:sz w:val="22"/>
          <w:szCs w:val="22"/>
          <w:lang w:val="en-CA"/>
        </w:rPr>
        <w:t xml:space="preserve">As a result of the </w:t>
      </w:r>
      <w:r w:rsidR="00090D7C">
        <w:rPr>
          <w:rFonts w:ascii="Cambria" w:hAnsi="Cambria"/>
          <w:color w:val="000000"/>
          <w:sz w:val="22"/>
          <w:szCs w:val="22"/>
          <w:lang w:val="en-CA"/>
        </w:rPr>
        <w:t xml:space="preserve">consolidation </w:t>
      </w:r>
      <w:r w:rsidR="00AB4783">
        <w:rPr>
          <w:rFonts w:ascii="Cambria" w:hAnsi="Cambria"/>
          <w:color w:val="000000"/>
          <w:sz w:val="22"/>
          <w:szCs w:val="22"/>
          <w:lang w:val="en-CA"/>
        </w:rPr>
        <w:t xml:space="preserve">and </w:t>
      </w:r>
      <w:r w:rsidR="00F97E59">
        <w:rPr>
          <w:rFonts w:ascii="Cambria" w:hAnsi="Cambria"/>
          <w:color w:val="000000"/>
          <w:sz w:val="22"/>
          <w:szCs w:val="22"/>
          <w:lang w:val="en-CA"/>
        </w:rPr>
        <w:t>following completion of</w:t>
      </w:r>
      <w:r w:rsidR="00AB4783">
        <w:rPr>
          <w:rFonts w:ascii="Cambria" w:hAnsi="Cambria"/>
          <w:color w:val="000000"/>
          <w:sz w:val="22"/>
          <w:szCs w:val="22"/>
          <w:lang w:val="en-CA"/>
        </w:rPr>
        <w:t xml:space="preserve"> the </w:t>
      </w:r>
      <w:r w:rsidR="00090D7C">
        <w:rPr>
          <w:rFonts w:ascii="Cambria" w:hAnsi="Cambria"/>
          <w:color w:val="000000"/>
          <w:sz w:val="22"/>
          <w:szCs w:val="22"/>
          <w:lang w:val="en-CA"/>
        </w:rPr>
        <w:t>financing</w:t>
      </w:r>
      <w:r w:rsidR="00AB4783">
        <w:rPr>
          <w:rFonts w:ascii="Cambria" w:hAnsi="Cambria"/>
          <w:color w:val="000000"/>
          <w:sz w:val="22"/>
          <w:szCs w:val="22"/>
          <w:lang w:val="en-CA"/>
        </w:rPr>
        <w:t>, the number of issued and outstanding common shares w</w:t>
      </w:r>
      <w:r w:rsidR="0060379D">
        <w:rPr>
          <w:rFonts w:ascii="Cambria" w:hAnsi="Cambria"/>
          <w:color w:val="000000"/>
          <w:sz w:val="22"/>
          <w:szCs w:val="22"/>
          <w:lang w:val="en-CA"/>
        </w:rPr>
        <w:t>as</w:t>
      </w:r>
      <w:r w:rsidR="00AB4783">
        <w:rPr>
          <w:rFonts w:ascii="Cambria" w:hAnsi="Cambria"/>
          <w:color w:val="000000"/>
          <w:sz w:val="22"/>
          <w:szCs w:val="22"/>
          <w:lang w:val="en-CA"/>
        </w:rPr>
        <w:t xml:space="preserve"> reduced from </w:t>
      </w:r>
      <w:r w:rsidR="00316842">
        <w:rPr>
          <w:rFonts w:ascii="Cambria" w:hAnsi="Cambria"/>
          <w:color w:val="000000"/>
          <w:sz w:val="22"/>
          <w:szCs w:val="22"/>
          <w:lang w:val="en-CA"/>
        </w:rPr>
        <w:t>137,077,449</w:t>
      </w:r>
      <w:r w:rsidR="00AB4783">
        <w:rPr>
          <w:rFonts w:ascii="Cambria" w:hAnsi="Cambria"/>
          <w:color w:val="000000"/>
          <w:sz w:val="22"/>
          <w:szCs w:val="22"/>
          <w:lang w:val="en-CA"/>
        </w:rPr>
        <w:t xml:space="preserve"> to </w:t>
      </w:r>
      <w:r w:rsidR="00316842">
        <w:rPr>
          <w:rFonts w:ascii="Cambria" w:hAnsi="Cambria"/>
          <w:color w:val="000000"/>
          <w:sz w:val="22"/>
          <w:szCs w:val="22"/>
          <w:lang w:val="en-CA"/>
        </w:rPr>
        <w:t>54,830,9</w:t>
      </w:r>
      <w:r w:rsidR="00B664AC">
        <w:rPr>
          <w:rFonts w:ascii="Cambria" w:hAnsi="Cambria"/>
          <w:color w:val="000000"/>
          <w:sz w:val="22"/>
          <w:szCs w:val="22"/>
          <w:lang w:val="en-CA"/>
        </w:rPr>
        <w:t>79</w:t>
      </w:r>
      <w:r w:rsidR="00AB4783">
        <w:rPr>
          <w:rFonts w:ascii="Cambria" w:hAnsi="Cambria"/>
          <w:color w:val="000000"/>
          <w:sz w:val="22"/>
          <w:szCs w:val="22"/>
          <w:lang w:val="en-CA"/>
        </w:rPr>
        <w:t xml:space="preserve"> shares</w:t>
      </w:r>
      <w:r w:rsidR="0060379D">
        <w:rPr>
          <w:rFonts w:ascii="Cambria" w:hAnsi="Cambria"/>
          <w:color w:val="000000"/>
          <w:sz w:val="22"/>
          <w:szCs w:val="22"/>
          <w:lang w:val="en-CA"/>
        </w:rPr>
        <w:t xml:space="preserve"> providing the Company with a tighter capital structure moving forward.</w:t>
      </w:r>
    </w:p>
    <w:p w14:paraId="05A4F107" w14:textId="77777777" w:rsidR="00FC7A6C" w:rsidRDefault="00FC7A6C" w:rsidP="00FC10BA">
      <w:pPr>
        <w:rPr>
          <w:rFonts w:ascii="Cambria" w:hAnsi="Cambria"/>
          <w:color w:val="000000"/>
          <w:sz w:val="22"/>
          <w:szCs w:val="22"/>
          <w:lang w:val="en-CA"/>
        </w:rPr>
      </w:pPr>
    </w:p>
    <w:p w14:paraId="36676B2A" w14:textId="6571A454" w:rsidR="00C66F50" w:rsidRDefault="00FC7A6C" w:rsidP="00097907">
      <w:pPr>
        <w:jc w:val="both"/>
        <w:rPr>
          <w:rFonts w:ascii="Cambria" w:hAnsi="Cambria"/>
          <w:color w:val="000000"/>
          <w:sz w:val="22"/>
          <w:szCs w:val="22"/>
        </w:rPr>
      </w:pPr>
      <w:r w:rsidRPr="00FC7A6C">
        <w:rPr>
          <w:rFonts w:ascii="Cambria" w:hAnsi="Cambria"/>
          <w:color w:val="000000"/>
          <w:sz w:val="22"/>
          <w:szCs w:val="22"/>
        </w:rPr>
        <w:t>Simon Clarke, President and CEO stated</w:t>
      </w:r>
      <w:r w:rsidR="00E8740A">
        <w:rPr>
          <w:rFonts w:ascii="Cambria" w:hAnsi="Cambria"/>
          <w:color w:val="000000"/>
          <w:sz w:val="22"/>
          <w:szCs w:val="22"/>
        </w:rPr>
        <w:t>,</w:t>
      </w:r>
      <w:r w:rsidR="00E8740A">
        <w:rPr>
          <w:rFonts w:ascii="Cambria" w:hAnsi="Cambria"/>
          <w:i/>
          <w:iCs/>
          <w:color w:val="000000"/>
          <w:sz w:val="22"/>
          <w:szCs w:val="22"/>
        </w:rPr>
        <w:t xml:space="preserve"> </w:t>
      </w:r>
      <w:r w:rsidR="00E8740A">
        <w:rPr>
          <w:rFonts w:ascii="Cambria" w:hAnsi="Cambria"/>
          <w:color w:val="000000"/>
          <w:sz w:val="22"/>
          <w:szCs w:val="22"/>
        </w:rPr>
        <w:t>“th</w:t>
      </w:r>
      <w:r w:rsidR="007C5E11">
        <w:rPr>
          <w:rFonts w:ascii="Cambria" w:hAnsi="Cambria"/>
          <w:color w:val="000000"/>
          <w:sz w:val="22"/>
          <w:szCs w:val="22"/>
        </w:rPr>
        <w:t>e Company enters 2025 in excellent shape and well positioned</w:t>
      </w:r>
      <w:r w:rsidR="00FF0184">
        <w:rPr>
          <w:rFonts w:ascii="Cambria" w:hAnsi="Cambria"/>
          <w:color w:val="000000"/>
          <w:sz w:val="22"/>
          <w:szCs w:val="22"/>
        </w:rPr>
        <w:t xml:space="preserve"> to execute its plan</w:t>
      </w:r>
      <w:r w:rsidR="001C7259">
        <w:rPr>
          <w:rFonts w:ascii="Cambria" w:hAnsi="Cambria"/>
          <w:color w:val="000000"/>
          <w:sz w:val="22"/>
          <w:szCs w:val="22"/>
        </w:rPr>
        <w:t>s</w:t>
      </w:r>
      <w:r w:rsidR="00FF0184">
        <w:rPr>
          <w:rFonts w:ascii="Cambria" w:hAnsi="Cambria"/>
          <w:color w:val="000000"/>
          <w:sz w:val="22"/>
          <w:szCs w:val="22"/>
        </w:rPr>
        <w:t xml:space="preserve"> to launch confirmation / brownfield drilling </w:t>
      </w:r>
      <w:r w:rsidR="00AC5496">
        <w:rPr>
          <w:rFonts w:ascii="Cambria" w:hAnsi="Cambria"/>
          <w:color w:val="000000"/>
          <w:sz w:val="22"/>
          <w:szCs w:val="22"/>
        </w:rPr>
        <w:t xml:space="preserve">and publish maiden potash and lithium resources during 2025. The final months of 2024 were </w:t>
      </w:r>
      <w:r w:rsidR="001C7259">
        <w:rPr>
          <w:rFonts w:ascii="Cambria" w:hAnsi="Cambria"/>
          <w:color w:val="000000"/>
          <w:sz w:val="22"/>
          <w:szCs w:val="22"/>
        </w:rPr>
        <w:t>highly successful for the Company and I would like to also thank the excellent team and Board of Directors that were assembled mid-late 2024 for all their efforts in helping drive the Company forward</w:t>
      </w:r>
      <w:r w:rsidR="001A2FF4">
        <w:rPr>
          <w:rFonts w:ascii="Cambria" w:hAnsi="Cambria"/>
          <w:color w:val="000000"/>
          <w:sz w:val="22"/>
          <w:szCs w:val="22"/>
        </w:rPr>
        <w:t>”</w:t>
      </w:r>
      <w:r w:rsidR="00CD5FAC">
        <w:rPr>
          <w:rFonts w:ascii="Cambria" w:hAnsi="Cambria"/>
          <w:color w:val="000000"/>
          <w:sz w:val="22"/>
          <w:szCs w:val="22"/>
        </w:rPr>
        <w:t>.</w:t>
      </w:r>
    </w:p>
    <w:p w14:paraId="76B83782" w14:textId="77777777" w:rsidR="001C7259" w:rsidRDefault="001C7259" w:rsidP="00097907">
      <w:pPr>
        <w:jc w:val="both"/>
        <w:rPr>
          <w:rFonts w:ascii="Cambria" w:hAnsi="Cambria"/>
          <w:color w:val="000000"/>
          <w:sz w:val="22"/>
          <w:szCs w:val="22"/>
        </w:rPr>
      </w:pPr>
    </w:p>
    <w:p w14:paraId="14DAA32A" w14:textId="23703B03" w:rsidR="001C7259" w:rsidRPr="001C7259" w:rsidRDefault="001C7259" w:rsidP="001C7259">
      <w:pPr>
        <w:jc w:val="both"/>
        <w:rPr>
          <w:rFonts w:ascii="Cambria" w:hAnsi="Cambria"/>
          <w:color w:val="000000"/>
          <w:sz w:val="22"/>
          <w:szCs w:val="22"/>
          <w:lang w:val="en-CA"/>
        </w:rPr>
      </w:pPr>
      <w:r w:rsidRPr="001C7259">
        <w:rPr>
          <w:rFonts w:ascii="Cambria" w:hAnsi="Cambria"/>
          <w:b/>
          <w:bCs/>
          <w:color w:val="000000"/>
          <w:sz w:val="22"/>
          <w:szCs w:val="22"/>
          <w:lang w:val="en-CA"/>
        </w:rPr>
        <w:t xml:space="preserve">About </w:t>
      </w:r>
      <w:r w:rsidR="00956B5E">
        <w:rPr>
          <w:rFonts w:ascii="Cambria" w:hAnsi="Cambria"/>
          <w:b/>
          <w:bCs/>
          <w:color w:val="000000"/>
          <w:sz w:val="22"/>
          <w:szCs w:val="22"/>
          <w:lang w:val="en-CA"/>
        </w:rPr>
        <w:t xml:space="preserve">American Critical </w:t>
      </w:r>
      <w:r w:rsidR="002311C6">
        <w:rPr>
          <w:rFonts w:ascii="Cambria" w:hAnsi="Cambria"/>
          <w:b/>
          <w:bCs/>
          <w:color w:val="000000"/>
          <w:sz w:val="22"/>
          <w:szCs w:val="22"/>
          <w:lang w:val="en-CA"/>
        </w:rPr>
        <w:t>Minerals</w:t>
      </w:r>
      <w:r w:rsidR="002311C6" w:rsidRPr="001C7259">
        <w:rPr>
          <w:rFonts w:ascii="Cambria" w:hAnsi="Cambria"/>
          <w:b/>
          <w:bCs/>
          <w:color w:val="000000"/>
          <w:sz w:val="22"/>
          <w:szCs w:val="22"/>
          <w:lang w:val="en-CA"/>
        </w:rPr>
        <w:t>’</w:t>
      </w:r>
      <w:r w:rsidRPr="001C7259">
        <w:rPr>
          <w:rFonts w:ascii="Cambria" w:hAnsi="Cambria"/>
          <w:b/>
          <w:bCs/>
          <w:color w:val="000000"/>
          <w:sz w:val="22"/>
          <w:szCs w:val="22"/>
          <w:lang w:val="en-CA"/>
        </w:rPr>
        <w:t xml:space="preserve"> Green River Potash and Lithium Project</w:t>
      </w:r>
    </w:p>
    <w:p w14:paraId="46C9F470" w14:textId="77777777" w:rsidR="00D61D90" w:rsidRDefault="00D61D90" w:rsidP="001C7259">
      <w:pPr>
        <w:jc w:val="both"/>
        <w:rPr>
          <w:rFonts w:ascii="Cambria" w:hAnsi="Cambria"/>
          <w:color w:val="000000"/>
          <w:sz w:val="22"/>
          <w:szCs w:val="22"/>
          <w:lang w:val="en-CA"/>
        </w:rPr>
      </w:pPr>
    </w:p>
    <w:p w14:paraId="414E5EEE" w14:textId="7F35F60A" w:rsidR="008D3784" w:rsidRDefault="001C7259" w:rsidP="001C7259">
      <w:pPr>
        <w:jc w:val="both"/>
        <w:rPr>
          <w:rFonts w:ascii="Cambria" w:hAnsi="Cambria"/>
          <w:color w:val="000000"/>
          <w:sz w:val="22"/>
          <w:szCs w:val="22"/>
          <w:lang w:val="en-CA"/>
        </w:rPr>
      </w:pPr>
      <w:r w:rsidRPr="001C7259">
        <w:rPr>
          <w:rFonts w:ascii="Cambria" w:hAnsi="Cambria"/>
          <w:color w:val="000000"/>
          <w:sz w:val="22"/>
          <w:szCs w:val="22"/>
          <w:lang w:val="en-CA"/>
        </w:rPr>
        <w:t xml:space="preserve">The Green River Potash and Lithium Project is situated within Utah’s highly productive Paradox Basin,  located 20 miles northwest of Moab, Utah and has significant logistical advantages including close proximity to major rail hubs, airport, roads, water, towns and labour markets. It also benefits from close proximity to the agricultural and industrial heartland of America and numerous potential end-users for its </w:t>
      </w:r>
      <w:r w:rsidR="00CD5FAC">
        <w:rPr>
          <w:rFonts w:ascii="Cambria" w:hAnsi="Cambria"/>
          <w:color w:val="000000"/>
          <w:sz w:val="22"/>
          <w:szCs w:val="22"/>
          <w:lang w:val="en-CA"/>
        </w:rPr>
        <w:t>p</w:t>
      </w:r>
      <w:r w:rsidRPr="001C7259">
        <w:rPr>
          <w:rFonts w:ascii="Cambria" w:hAnsi="Cambria"/>
          <w:color w:val="000000"/>
          <w:sz w:val="22"/>
          <w:szCs w:val="22"/>
          <w:lang w:val="en-CA"/>
        </w:rPr>
        <w:t>roducts</w:t>
      </w:r>
      <w:r w:rsidR="00B664AC">
        <w:rPr>
          <w:rFonts w:ascii="Cambria" w:hAnsi="Cambria"/>
          <w:color w:val="000000"/>
          <w:sz w:val="22"/>
          <w:szCs w:val="22"/>
          <w:lang w:val="en-CA"/>
        </w:rPr>
        <w:t>.</w:t>
      </w:r>
    </w:p>
    <w:p w14:paraId="22B24758" w14:textId="74C193C2" w:rsidR="001C7259" w:rsidRPr="001C7259" w:rsidRDefault="001C7259" w:rsidP="001C7259">
      <w:pPr>
        <w:jc w:val="both"/>
        <w:rPr>
          <w:rFonts w:ascii="Cambria" w:hAnsi="Cambria"/>
          <w:color w:val="000000"/>
          <w:sz w:val="22"/>
          <w:szCs w:val="22"/>
          <w:lang w:val="en-CA"/>
        </w:rPr>
      </w:pPr>
      <w:r w:rsidRPr="001C7259">
        <w:rPr>
          <w:rFonts w:ascii="Cambria" w:hAnsi="Cambria"/>
          <w:color w:val="000000"/>
          <w:sz w:val="22"/>
          <w:szCs w:val="22"/>
          <w:lang w:val="en-CA"/>
        </w:rPr>
        <w:t>.</w:t>
      </w:r>
    </w:p>
    <w:p w14:paraId="2C67CEF2" w14:textId="2BB9028A" w:rsidR="001C7259" w:rsidRDefault="001C7259" w:rsidP="001C7259">
      <w:pPr>
        <w:jc w:val="both"/>
        <w:rPr>
          <w:rFonts w:ascii="Cambria" w:hAnsi="Cambria"/>
          <w:color w:val="000000"/>
          <w:sz w:val="22"/>
          <w:szCs w:val="22"/>
          <w:lang w:val="en-CA"/>
        </w:rPr>
      </w:pPr>
      <w:r w:rsidRPr="001C7259">
        <w:rPr>
          <w:rFonts w:ascii="Cambria" w:hAnsi="Cambria"/>
          <w:color w:val="000000"/>
          <w:sz w:val="22"/>
          <w:szCs w:val="22"/>
          <w:lang w:val="en-CA"/>
        </w:rPr>
        <w:t xml:space="preserve">The history of oil and gas production across the Paradox Basin provides geologic data from historic wells across the Project, and the wider Basin, validating and de-risking the potential for high grade potash and large amounts of contained lithium. Wells in and around </w:t>
      </w:r>
      <w:r w:rsidR="00CD5FAC">
        <w:rPr>
          <w:rFonts w:ascii="Cambria" w:hAnsi="Cambria"/>
          <w:color w:val="000000"/>
          <w:sz w:val="22"/>
          <w:szCs w:val="22"/>
          <w:lang w:val="en-CA"/>
        </w:rPr>
        <w:t>the</w:t>
      </w:r>
      <w:r w:rsidRPr="001C7259">
        <w:rPr>
          <w:rFonts w:ascii="Cambria" w:hAnsi="Cambria"/>
          <w:color w:val="000000"/>
          <w:sz w:val="22"/>
          <w:szCs w:val="22"/>
          <w:lang w:val="en-CA"/>
        </w:rPr>
        <w:t xml:space="preserve"> project reported </w:t>
      </w:r>
      <w:r w:rsidR="00CD5FAC">
        <w:rPr>
          <w:rFonts w:ascii="Cambria" w:hAnsi="Cambria"/>
          <w:color w:val="000000"/>
          <w:sz w:val="22"/>
          <w:szCs w:val="22"/>
          <w:lang w:val="en-CA"/>
        </w:rPr>
        <w:t>lithium</w:t>
      </w:r>
      <w:r w:rsidRPr="001C7259">
        <w:rPr>
          <w:rFonts w:ascii="Cambria" w:hAnsi="Cambria"/>
          <w:color w:val="000000"/>
          <w:sz w:val="22"/>
          <w:szCs w:val="22"/>
          <w:lang w:val="en-CA"/>
        </w:rPr>
        <w:t xml:space="preserve"> up to 500</w:t>
      </w:r>
      <w:r w:rsidR="00CD5FAC">
        <w:rPr>
          <w:rFonts w:ascii="Cambria" w:hAnsi="Cambria"/>
          <w:color w:val="000000"/>
          <w:sz w:val="22"/>
          <w:szCs w:val="22"/>
          <w:lang w:val="en-CA"/>
        </w:rPr>
        <w:t xml:space="preserve"> parts per million (“</w:t>
      </w:r>
      <w:r w:rsidRPr="009418E6">
        <w:rPr>
          <w:rFonts w:ascii="Cambria" w:hAnsi="Cambria"/>
          <w:b/>
          <w:bCs/>
          <w:color w:val="000000"/>
          <w:sz w:val="22"/>
          <w:szCs w:val="22"/>
          <w:lang w:val="en-CA"/>
        </w:rPr>
        <w:t>ppm</w:t>
      </w:r>
      <w:r w:rsidR="00CD5FAC">
        <w:rPr>
          <w:rFonts w:ascii="Cambria" w:hAnsi="Cambria"/>
          <w:color w:val="000000"/>
          <w:sz w:val="22"/>
          <w:szCs w:val="22"/>
          <w:lang w:val="en-CA"/>
        </w:rPr>
        <w:t>”)</w:t>
      </w:r>
      <w:r w:rsidRPr="001C7259">
        <w:rPr>
          <w:rFonts w:ascii="Cambria" w:hAnsi="Cambria"/>
          <w:color w:val="000000"/>
          <w:sz w:val="22"/>
          <w:szCs w:val="22"/>
          <w:lang w:val="en-CA"/>
        </w:rPr>
        <w:t xml:space="preserve">, </w:t>
      </w:r>
      <w:r w:rsidR="00CD5FAC">
        <w:rPr>
          <w:rFonts w:ascii="Cambria" w:hAnsi="Cambria"/>
          <w:color w:val="000000"/>
          <w:sz w:val="22"/>
          <w:szCs w:val="22"/>
          <w:lang w:val="en-CA"/>
        </w:rPr>
        <w:t>bromine</w:t>
      </w:r>
      <w:r w:rsidRPr="001C7259">
        <w:rPr>
          <w:rFonts w:ascii="Cambria" w:hAnsi="Cambria"/>
          <w:color w:val="000000"/>
          <w:sz w:val="22"/>
          <w:szCs w:val="22"/>
          <w:lang w:val="en-CA"/>
        </w:rPr>
        <w:t xml:space="preserve"> up to 6,100 ppm and </w:t>
      </w:r>
      <w:r w:rsidR="00CD5FAC">
        <w:rPr>
          <w:rFonts w:ascii="Cambria" w:hAnsi="Cambria"/>
          <w:color w:val="000000"/>
          <w:sz w:val="22"/>
          <w:szCs w:val="22"/>
          <w:lang w:val="en-CA"/>
        </w:rPr>
        <w:t>boron</w:t>
      </w:r>
      <w:r w:rsidRPr="001C7259">
        <w:rPr>
          <w:rFonts w:ascii="Cambria" w:hAnsi="Cambria"/>
          <w:color w:val="000000"/>
          <w:sz w:val="22"/>
          <w:szCs w:val="22"/>
          <w:lang w:val="en-CA"/>
        </w:rPr>
        <w:t xml:space="preserve"> up to 1,260 ppm (Gilbride &amp; Santos, 2012). This data is reinforced by nearby potash production and the advanced stage of neighbouring lithium projects. The Paradox Basin is believed to contain up to 56 </w:t>
      </w:r>
      <w:r w:rsidR="00CD5FAC">
        <w:rPr>
          <w:rFonts w:ascii="Cambria" w:hAnsi="Cambria"/>
          <w:color w:val="000000"/>
          <w:sz w:val="22"/>
          <w:szCs w:val="22"/>
          <w:lang w:val="en-CA"/>
        </w:rPr>
        <w:t>billion tonnes</w:t>
      </w:r>
      <w:r w:rsidRPr="001C7259">
        <w:rPr>
          <w:rFonts w:ascii="Cambria" w:hAnsi="Cambria"/>
          <w:color w:val="000000"/>
          <w:sz w:val="22"/>
          <w:szCs w:val="22"/>
          <w:lang w:val="en-CA"/>
        </w:rPr>
        <w:t xml:space="preserve"> of lithium brines, potentially the largest such resource in US.</w:t>
      </w:r>
    </w:p>
    <w:p w14:paraId="5E242029" w14:textId="77777777" w:rsidR="00A769BD" w:rsidRPr="001C7259" w:rsidRDefault="00A769BD" w:rsidP="001C7259">
      <w:pPr>
        <w:jc w:val="both"/>
        <w:rPr>
          <w:rFonts w:ascii="Cambria" w:hAnsi="Cambria"/>
          <w:color w:val="000000"/>
          <w:sz w:val="22"/>
          <w:szCs w:val="22"/>
          <w:lang w:val="en-CA"/>
        </w:rPr>
      </w:pPr>
    </w:p>
    <w:p w14:paraId="257AED03" w14:textId="15304972" w:rsidR="001C7259" w:rsidRDefault="00956B5E" w:rsidP="001C7259">
      <w:pPr>
        <w:jc w:val="both"/>
        <w:rPr>
          <w:rFonts w:ascii="Cambria" w:hAnsi="Cambria"/>
          <w:color w:val="000000"/>
          <w:sz w:val="22"/>
          <w:szCs w:val="22"/>
          <w:lang w:val="en-CA"/>
        </w:rPr>
      </w:pPr>
      <w:r>
        <w:rPr>
          <w:rFonts w:ascii="Cambria" w:hAnsi="Cambria"/>
          <w:color w:val="000000"/>
          <w:sz w:val="22"/>
          <w:szCs w:val="22"/>
          <w:lang w:val="en-CA"/>
        </w:rPr>
        <w:t>The Company</w:t>
      </w:r>
      <w:r w:rsidR="001C7259" w:rsidRPr="001C7259">
        <w:rPr>
          <w:rFonts w:ascii="Cambria" w:hAnsi="Cambria"/>
          <w:color w:val="000000"/>
          <w:sz w:val="22"/>
          <w:szCs w:val="22"/>
          <w:lang w:val="en-CA"/>
        </w:rPr>
        <w:t xml:space="preserve"> holds a 100% interest in eleven State of Utah (SITLA) mineral and minerals salt leases covering approx</w:t>
      </w:r>
      <w:r w:rsidR="00CD5FAC">
        <w:rPr>
          <w:rFonts w:ascii="Cambria" w:hAnsi="Cambria"/>
          <w:color w:val="000000"/>
          <w:sz w:val="22"/>
          <w:szCs w:val="22"/>
          <w:lang w:val="en-CA"/>
        </w:rPr>
        <w:t>imately</w:t>
      </w:r>
      <w:r w:rsidR="001C7259" w:rsidRPr="001C7259">
        <w:rPr>
          <w:rFonts w:ascii="Cambria" w:hAnsi="Cambria"/>
          <w:color w:val="000000"/>
          <w:sz w:val="22"/>
          <w:szCs w:val="22"/>
          <w:lang w:val="en-CA"/>
        </w:rPr>
        <w:t xml:space="preserve"> 7,050 acres, 1</w:t>
      </w:r>
      <w:r>
        <w:rPr>
          <w:rFonts w:ascii="Cambria" w:hAnsi="Cambria"/>
          <w:color w:val="000000"/>
          <w:sz w:val="22"/>
          <w:szCs w:val="22"/>
          <w:lang w:val="en-CA"/>
        </w:rPr>
        <w:t>,</w:t>
      </w:r>
      <w:r w:rsidR="001C7259" w:rsidRPr="001C7259">
        <w:rPr>
          <w:rFonts w:ascii="Cambria" w:hAnsi="Cambria"/>
          <w:color w:val="000000"/>
          <w:sz w:val="22"/>
          <w:szCs w:val="22"/>
          <w:lang w:val="en-CA"/>
        </w:rPr>
        <w:t>09</w:t>
      </w:r>
      <w:r w:rsidR="006F78CB">
        <w:rPr>
          <w:rFonts w:ascii="Cambria" w:hAnsi="Cambria"/>
          <w:color w:val="000000"/>
          <w:sz w:val="22"/>
          <w:szCs w:val="22"/>
          <w:lang w:val="en-CA"/>
        </w:rPr>
        <w:t>4</w:t>
      </w:r>
      <w:r w:rsidR="001C7259" w:rsidRPr="001C7259">
        <w:rPr>
          <w:rFonts w:ascii="Cambria" w:hAnsi="Cambria"/>
          <w:color w:val="000000"/>
          <w:sz w:val="22"/>
          <w:szCs w:val="22"/>
          <w:lang w:val="en-CA"/>
        </w:rPr>
        <w:t xml:space="preserve"> federal lithium brine claims (BLM Placer Claims) covering 21,150 acres, and 11 federal (BLM) potash prospecting permits covering approximately 25,480 acres. Through these leases, permits and claims the Company has the ability to explore for </w:t>
      </w:r>
      <w:r w:rsidR="00CD5FAC">
        <w:rPr>
          <w:rFonts w:ascii="Cambria" w:hAnsi="Cambria"/>
          <w:color w:val="000000"/>
          <w:sz w:val="22"/>
          <w:szCs w:val="22"/>
          <w:lang w:val="en-CA"/>
        </w:rPr>
        <w:t>p</w:t>
      </w:r>
      <w:r w:rsidR="001C7259" w:rsidRPr="001C7259">
        <w:rPr>
          <w:rFonts w:ascii="Cambria" w:hAnsi="Cambria"/>
          <w:color w:val="000000"/>
          <w:sz w:val="22"/>
          <w:szCs w:val="22"/>
          <w:lang w:val="en-CA"/>
        </w:rPr>
        <w:t xml:space="preserve">otash, </w:t>
      </w:r>
      <w:r w:rsidR="00CD5FAC">
        <w:rPr>
          <w:rFonts w:ascii="Cambria" w:hAnsi="Cambria"/>
          <w:color w:val="000000"/>
          <w:sz w:val="22"/>
          <w:szCs w:val="22"/>
          <w:lang w:val="en-CA"/>
        </w:rPr>
        <w:t>l</w:t>
      </w:r>
      <w:r w:rsidR="001C7259" w:rsidRPr="001C7259">
        <w:rPr>
          <w:rFonts w:ascii="Cambria" w:hAnsi="Cambria"/>
          <w:color w:val="000000"/>
          <w:sz w:val="22"/>
          <w:szCs w:val="22"/>
          <w:lang w:val="en-CA"/>
        </w:rPr>
        <w:t>ithium and potential by-products across the entire Green River Project (approx. 32,530 acres). The Company is authorized to drill a total of 7exploratory drill holes across the Project (pending bonding the recently issued</w:t>
      </w:r>
      <w:r w:rsidR="00CD5FAC">
        <w:rPr>
          <w:rFonts w:ascii="Cambria" w:hAnsi="Cambria"/>
          <w:color w:val="000000"/>
          <w:sz w:val="22"/>
          <w:szCs w:val="22"/>
          <w:lang w:val="en-CA"/>
        </w:rPr>
        <w:t xml:space="preserve"> [approved]</w:t>
      </w:r>
      <w:r w:rsidR="001C7259" w:rsidRPr="001C7259">
        <w:rPr>
          <w:rFonts w:ascii="Cambria" w:hAnsi="Cambria"/>
          <w:color w:val="000000"/>
          <w:sz w:val="22"/>
          <w:szCs w:val="22"/>
          <w:lang w:val="en-CA"/>
        </w:rPr>
        <w:t xml:space="preserve"> 4 drill holes).</w:t>
      </w:r>
    </w:p>
    <w:p w14:paraId="3D217188" w14:textId="77777777" w:rsidR="00A769BD" w:rsidRPr="001C7259" w:rsidRDefault="00A769BD" w:rsidP="001C7259">
      <w:pPr>
        <w:jc w:val="both"/>
        <w:rPr>
          <w:rFonts w:ascii="Cambria" w:hAnsi="Cambria"/>
          <w:color w:val="000000"/>
          <w:sz w:val="22"/>
          <w:szCs w:val="22"/>
          <w:lang w:val="en-CA"/>
        </w:rPr>
      </w:pPr>
    </w:p>
    <w:p w14:paraId="77E3506C" w14:textId="241863F0" w:rsidR="001C7259" w:rsidRDefault="001C7259" w:rsidP="001C7259">
      <w:pPr>
        <w:jc w:val="both"/>
        <w:rPr>
          <w:rFonts w:ascii="Cambria" w:hAnsi="Cambria"/>
          <w:color w:val="000000"/>
          <w:sz w:val="22"/>
          <w:szCs w:val="22"/>
          <w:lang w:val="en-CA"/>
        </w:rPr>
      </w:pPr>
      <w:r w:rsidRPr="001C7259">
        <w:rPr>
          <w:rFonts w:ascii="Cambria" w:hAnsi="Cambria"/>
          <w:color w:val="000000"/>
          <w:sz w:val="22"/>
          <w:szCs w:val="22"/>
          <w:lang w:val="en-CA"/>
        </w:rPr>
        <w:t>Intrepid Potash Inc. (NYSE: IPI) is America’s largest potash company and only U.S. domestic potash producer and currently produces potash from its nearby Moab Solution Mine, which the Company believes provides strong evidence of stratigraphic continuity within this part of the Paradox Basin (</w:t>
      </w:r>
      <w:hyperlink r:id="rId11" w:history="1">
        <w:r w:rsidRPr="001C7259">
          <w:rPr>
            <w:rStyle w:val="Hyperlink"/>
            <w:rFonts w:ascii="Cambria" w:hAnsi="Cambria"/>
            <w:sz w:val="22"/>
            <w:szCs w:val="22"/>
            <w:lang w:val="en-CA"/>
          </w:rPr>
          <w:t>www.intrepidpotash.com</w:t>
        </w:r>
      </w:hyperlink>
      <w:r w:rsidRPr="001C7259">
        <w:rPr>
          <w:rFonts w:ascii="Cambria" w:hAnsi="Cambria"/>
          <w:color w:val="000000"/>
          <w:sz w:val="22"/>
          <w:szCs w:val="22"/>
          <w:lang w:val="en-CA"/>
        </w:rPr>
        <w:t xml:space="preserve"> ). Anson Resources Ltd. (ASX: ASN) has advanced </w:t>
      </w:r>
      <w:r w:rsidR="00CD5FAC">
        <w:rPr>
          <w:rFonts w:ascii="Cambria" w:hAnsi="Cambria"/>
          <w:color w:val="000000"/>
          <w:sz w:val="22"/>
          <w:szCs w:val="22"/>
          <w:lang w:val="en-CA"/>
        </w:rPr>
        <w:t>l</w:t>
      </w:r>
      <w:r w:rsidRPr="001C7259">
        <w:rPr>
          <w:rFonts w:ascii="Cambria" w:hAnsi="Cambria"/>
          <w:color w:val="000000"/>
          <w:sz w:val="22"/>
          <w:szCs w:val="22"/>
          <w:lang w:val="en-CA"/>
        </w:rPr>
        <w:t xml:space="preserve">ithium </w:t>
      </w:r>
      <w:r w:rsidR="00CD5FAC">
        <w:rPr>
          <w:rFonts w:ascii="Cambria" w:hAnsi="Cambria"/>
          <w:color w:val="000000"/>
          <w:sz w:val="22"/>
          <w:szCs w:val="22"/>
          <w:lang w:val="en-CA"/>
        </w:rPr>
        <w:t>d</w:t>
      </w:r>
      <w:r w:rsidRPr="001C7259">
        <w:rPr>
          <w:rFonts w:ascii="Cambria" w:hAnsi="Cambria"/>
          <w:color w:val="000000"/>
          <w:sz w:val="22"/>
          <w:szCs w:val="22"/>
          <w:lang w:val="en-CA"/>
        </w:rPr>
        <w:t xml:space="preserve">evelopment </w:t>
      </w:r>
      <w:r w:rsidR="00CD5FAC">
        <w:rPr>
          <w:rFonts w:ascii="Cambria" w:hAnsi="Cambria"/>
          <w:color w:val="000000"/>
          <w:sz w:val="22"/>
          <w:szCs w:val="22"/>
          <w:lang w:val="en-CA"/>
        </w:rPr>
        <w:t>p</w:t>
      </w:r>
      <w:r w:rsidRPr="001C7259">
        <w:rPr>
          <w:rFonts w:ascii="Cambria" w:hAnsi="Cambria"/>
          <w:color w:val="000000"/>
          <w:sz w:val="22"/>
          <w:szCs w:val="22"/>
          <w:lang w:val="en-CA"/>
        </w:rPr>
        <w:t xml:space="preserve">rojects contiguous to the </w:t>
      </w:r>
      <w:r w:rsidR="00CD5FAC">
        <w:rPr>
          <w:rFonts w:ascii="Cambria" w:hAnsi="Cambria"/>
          <w:color w:val="000000"/>
          <w:sz w:val="22"/>
          <w:szCs w:val="22"/>
          <w:lang w:val="en-CA"/>
        </w:rPr>
        <w:t>n</w:t>
      </w:r>
      <w:r w:rsidRPr="001C7259">
        <w:rPr>
          <w:rFonts w:ascii="Cambria" w:hAnsi="Cambria"/>
          <w:color w:val="000000"/>
          <w:sz w:val="22"/>
          <w:szCs w:val="22"/>
          <w:lang w:val="en-CA"/>
        </w:rPr>
        <w:t>orth</w:t>
      </w:r>
      <w:r w:rsidR="00CD5FAC">
        <w:rPr>
          <w:rFonts w:ascii="Cambria" w:hAnsi="Cambria"/>
          <w:color w:val="000000"/>
          <w:sz w:val="22"/>
          <w:szCs w:val="22"/>
          <w:lang w:val="en-CA"/>
        </w:rPr>
        <w:t>ern boundary</w:t>
      </w:r>
      <w:r w:rsidRPr="001C7259">
        <w:rPr>
          <w:rFonts w:ascii="Cambria" w:hAnsi="Cambria"/>
          <w:color w:val="000000"/>
          <w:sz w:val="22"/>
          <w:szCs w:val="22"/>
          <w:lang w:val="en-CA"/>
        </w:rPr>
        <w:t xml:space="preserve"> of our Green River Project and neighbouring to the </w:t>
      </w:r>
      <w:r w:rsidR="00CD5FAC">
        <w:rPr>
          <w:rFonts w:ascii="Cambria" w:hAnsi="Cambria"/>
          <w:color w:val="000000"/>
          <w:sz w:val="22"/>
          <w:szCs w:val="22"/>
          <w:lang w:val="en-CA"/>
        </w:rPr>
        <w:t>s</w:t>
      </w:r>
      <w:r w:rsidRPr="001C7259">
        <w:rPr>
          <w:rFonts w:ascii="Cambria" w:hAnsi="Cambria"/>
          <w:color w:val="000000"/>
          <w:sz w:val="22"/>
          <w:szCs w:val="22"/>
          <w:lang w:val="en-CA"/>
        </w:rPr>
        <w:t xml:space="preserve">outh. Anson has a large initial resource, robust </w:t>
      </w:r>
      <w:r w:rsidR="00CD5FAC">
        <w:rPr>
          <w:rFonts w:ascii="Cambria" w:hAnsi="Cambria"/>
          <w:color w:val="000000"/>
          <w:sz w:val="22"/>
          <w:szCs w:val="22"/>
          <w:lang w:val="en-CA"/>
        </w:rPr>
        <w:t>definitive feasibility study</w:t>
      </w:r>
      <w:r w:rsidRPr="001C7259">
        <w:rPr>
          <w:rFonts w:ascii="Cambria" w:hAnsi="Cambria"/>
          <w:color w:val="000000"/>
          <w:sz w:val="22"/>
          <w:szCs w:val="22"/>
          <w:lang w:val="en-CA"/>
        </w:rPr>
        <w:t xml:space="preserve"> and has commenced piloting operations through its partnership with Koch Technology Solutions (“</w:t>
      </w:r>
      <w:r w:rsidRPr="009418E6">
        <w:rPr>
          <w:rFonts w:ascii="Cambria" w:hAnsi="Cambria"/>
          <w:b/>
          <w:bCs/>
          <w:color w:val="000000"/>
          <w:sz w:val="22"/>
          <w:szCs w:val="22"/>
          <w:lang w:val="en-CA"/>
        </w:rPr>
        <w:t>KTS</w:t>
      </w:r>
      <w:r w:rsidRPr="001C7259">
        <w:rPr>
          <w:rFonts w:ascii="Cambria" w:hAnsi="Cambria"/>
          <w:color w:val="000000"/>
          <w:sz w:val="22"/>
          <w:szCs w:val="22"/>
          <w:lang w:val="en-CA"/>
        </w:rPr>
        <w:t xml:space="preserve">”), </w:t>
      </w:r>
      <w:r w:rsidR="00CD5FAC">
        <w:rPr>
          <w:rFonts w:ascii="Cambria" w:hAnsi="Cambria"/>
          <w:color w:val="000000"/>
          <w:sz w:val="22"/>
          <w:szCs w:val="22"/>
          <w:lang w:val="en-CA"/>
        </w:rPr>
        <w:t>as well as</w:t>
      </w:r>
      <w:r w:rsidRPr="001C7259">
        <w:rPr>
          <w:rFonts w:ascii="Cambria" w:hAnsi="Cambria"/>
          <w:color w:val="000000"/>
          <w:sz w:val="22"/>
          <w:szCs w:val="22"/>
          <w:lang w:val="en-CA"/>
        </w:rPr>
        <w:t xml:space="preserve"> an offtake agreement with LG Energy Solution. The Anson exploration targets encompasses the combined Mississippian Leadville Formation and the Pennsylvanian Paradox Formation brine-bearing clastic layers, which </w:t>
      </w:r>
      <w:r w:rsidR="00CD5FAC">
        <w:rPr>
          <w:rFonts w:ascii="Cambria" w:hAnsi="Cambria"/>
          <w:color w:val="000000"/>
          <w:sz w:val="22"/>
          <w:szCs w:val="22"/>
          <w:lang w:val="en-CA"/>
        </w:rPr>
        <w:t xml:space="preserve">also </w:t>
      </w:r>
      <w:r w:rsidRPr="001C7259">
        <w:rPr>
          <w:rFonts w:ascii="Cambria" w:hAnsi="Cambria"/>
          <w:color w:val="000000"/>
          <w:sz w:val="22"/>
          <w:szCs w:val="22"/>
          <w:lang w:val="en-CA"/>
        </w:rPr>
        <w:t xml:space="preserve">underlie </w:t>
      </w:r>
      <w:r w:rsidR="002311C6">
        <w:rPr>
          <w:rFonts w:ascii="Cambria" w:hAnsi="Cambria"/>
          <w:color w:val="000000"/>
          <w:sz w:val="22"/>
          <w:szCs w:val="22"/>
          <w:lang w:val="en-CA"/>
        </w:rPr>
        <w:t>American Critical Minerals</w:t>
      </w:r>
      <w:r w:rsidR="002311C6" w:rsidRPr="001C7259">
        <w:rPr>
          <w:rFonts w:ascii="Cambria" w:hAnsi="Cambria"/>
          <w:color w:val="000000"/>
          <w:sz w:val="22"/>
          <w:szCs w:val="22"/>
          <w:lang w:val="en-CA"/>
        </w:rPr>
        <w:t>’</w:t>
      </w:r>
      <w:r w:rsidRPr="001C7259">
        <w:rPr>
          <w:rFonts w:ascii="Cambria" w:hAnsi="Cambria"/>
          <w:color w:val="000000"/>
          <w:sz w:val="22"/>
          <w:szCs w:val="22"/>
          <w:lang w:val="en-CA"/>
        </w:rPr>
        <w:t xml:space="preserve"> entire project area</w:t>
      </w:r>
      <w:r w:rsidR="00CD5FAC">
        <w:rPr>
          <w:rFonts w:ascii="Cambria" w:hAnsi="Cambria"/>
          <w:color w:val="000000"/>
          <w:sz w:val="22"/>
          <w:szCs w:val="22"/>
          <w:lang w:val="en-CA"/>
        </w:rPr>
        <w:t>.</w:t>
      </w:r>
      <w:r w:rsidRPr="001C7259">
        <w:rPr>
          <w:rFonts w:ascii="Cambria" w:hAnsi="Cambria"/>
          <w:color w:val="000000"/>
          <w:sz w:val="22"/>
          <w:szCs w:val="22"/>
          <w:lang w:val="en-CA"/>
        </w:rPr>
        <w:t xml:space="preserve"> ( </w:t>
      </w:r>
      <w:hyperlink r:id="rId12" w:history="1">
        <w:r w:rsidRPr="001C7259">
          <w:rPr>
            <w:rStyle w:val="Hyperlink"/>
            <w:rFonts w:ascii="Cambria" w:hAnsi="Cambria"/>
            <w:sz w:val="22"/>
            <w:szCs w:val="22"/>
            <w:lang w:val="en-CA"/>
          </w:rPr>
          <w:t>www.ansonresources.com</w:t>
        </w:r>
      </w:hyperlink>
      <w:r w:rsidRPr="001C7259">
        <w:rPr>
          <w:rFonts w:ascii="Cambria" w:hAnsi="Cambria"/>
          <w:color w:val="000000"/>
          <w:sz w:val="22"/>
          <w:szCs w:val="22"/>
          <w:lang w:val="en-CA"/>
        </w:rPr>
        <w:t> )</w:t>
      </w:r>
    </w:p>
    <w:p w14:paraId="64236459" w14:textId="77777777" w:rsidR="00A769BD" w:rsidRPr="001C7259" w:rsidRDefault="00A769BD" w:rsidP="001C7259">
      <w:pPr>
        <w:jc w:val="both"/>
        <w:rPr>
          <w:rFonts w:ascii="Cambria" w:hAnsi="Cambria"/>
          <w:color w:val="000000"/>
          <w:sz w:val="22"/>
          <w:szCs w:val="22"/>
          <w:lang w:val="en-CA"/>
        </w:rPr>
      </w:pPr>
    </w:p>
    <w:p w14:paraId="6691323F" w14:textId="4F7C03B0" w:rsidR="001C7259" w:rsidRPr="001C7259" w:rsidRDefault="001C7259" w:rsidP="001C7259">
      <w:pPr>
        <w:jc w:val="both"/>
        <w:rPr>
          <w:rFonts w:ascii="Cambria" w:hAnsi="Cambria"/>
          <w:color w:val="000000"/>
          <w:sz w:val="22"/>
          <w:szCs w:val="22"/>
          <w:lang w:val="en-CA"/>
        </w:rPr>
      </w:pPr>
      <w:r w:rsidRPr="001C7259">
        <w:rPr>
          <w:rFonts w:ascii="Cambria" w:hAnsi="Cambria"/>
          <w:color w:val="000000"/>
          <w:sz w:val="22"/>
          <w:szCs w:val="22"/>
          <w:lang w:val="en-CA"/>
        </w:rPr>
        <w:t xml:space="preserve">In 2022, the U.S. imported approx. 96.5% of its annual potash requirements with domestic producers receiving a higher sales price due to proximity to market (intrepidpotash.com/ August 15, 2024, Investor Presentation). In March 2024, the US Senate introduce a Bill to include key fertilizers and potash on US Department of Interior list of Critical Minerals which already includes </w:t>
      </w:r>
      <w:r w:rsidR="00CD5FAC">
        <w:rPr>
          <w:rFonts w:ascii="Cambria" w:hAnsi="Cambria"/>
          <w:color w:val="000000"/>
          <w:sz w:val="22"/>
          <w:szCs w:val="22"/>
          <w:lang w:val="en-CA"/>
        </w:rPr>
        <w:t>l</w:t>
      </w:r>
      <w:r w:rsidRPr="001C7259">
        <w:rPr>
          <w:rFonts w:ascii="Cambria" w:hAnsi="Cambria"/>
          <w:color w:val="000000"/>
          <w:sz w:val="22"/>
          <w:szCs w:val="22"/>
          <w:lang w:val="en-CA"/>
        </w:rPr>
        <w:t xml:space="preserve">ithium. Recent </w:t>
      </w:r>
      <w:r w:rsidR="00CD5FAC">
        <w:rPr>
          <w:rFonts w:ascii="Cambria" w:hAnsi="Cambria"/>
          <w:color w:val="000000"/>
          <w:sz w:val="22"/>
          <w:szCs w:val="22"/>
          <w:lang w:val="en-CA"/>
        </w:rPr>
        <w:t>m</w:t>
      </w:r>
      <w:r w:rsidRPr="001C7259">
        <w:rPr>
          <w:rFonts w:ascii="Cambria" w:hAnsi="Cambria"/>
          <w:color w:val="000000"/>
          <w:sz w:val="22"/>
          <w:szCs w:val="22"/>
          <w:lang w:val="en-CA"/>
        </w:rPr>
        <w:t xml:space="preserve">arket </w:t>
      </w:r>
      <w:r w:rsidR="00CD5FAC">
        <w:rPr>
          <w:rFonts w:ascii="Cambria" w:hAnsi="Cambria"/>
          <w:color w:val="000000"/>
          <w:sz w:val="22"/>
          <w:szCs w:val="22"/>
          <w:lang w:val="en-CA"/>
        </w:rPr>
        <w:t>e</w:t>
      </w:r>
      <w:r w:rsidRPr="001C7259">
        <w:rPr>
          <w:rFonts w:ascii="Cambria" w:hAnsi="Cambria"/>
          <w:color w:val="000000"/>
          <w:sz w:val="22"/>
          <w:szCs w:val="22"/>
          <w:lang w:val="en-CA"/>
        </w:rPr>
        <w:t xml:space="preserve">stimates suggest that the </w:t>
      </w:r>
      <w:r w:rsidR="00CD5FAC">
        <w:rPr>
          <w:rFonts w:ascii="Cambria" w:hAnsi="Cambria"/>
          <w:color w:val="000000"/>
          <w:sz w:val="22"/>
          <w:szCs w:val="22"/>
          <w:lang w:val="en-CA"/>
        </w:rPr>
        <w:t>g</w:t>
      </w:r>
      <w:r w:rsidRPr="001C7259">
        <w:rPr>
          <w:rFonts w:ascii="Cambria" w:hAnsi="Cambria"/>
          <w:color w:val="000000"/>
          <w:sz w:val="22"/>
          <w:szCs w:val="22"/>
          <w:lang w:val="en-CA"/>
        </w:rPr>
        <w:t xml:space="preserve">lobal </w:t>
      </w:r>
      <w:r w:rsidR="00CD5FAC">
        <w:rPr>
          <w:rFonts w:ascii="Cambria" w:hAnsi="Cambria"/>
          <w:color w:val="000000"/>
          <w:sz w:val="22"/>
          <w:szCs w:val="22"/>
          <w:lang w:val="en-CA"/>
        </w:rPr>
        <w:t>p</w:t>
      </w:r>
      <w:r w:rsidRPr="001C7259">
        <w:rPr>
          <w:rFonts w:ascii="Cambria" w:hAnsi="Cambria"/>
          <w:color w:val="000000"/>
          <w:sz w:val="22"/>
          <w:szCs w:val="22"/>
          <w:lang w:val="en-CA"/>
        </w:rPr>
        <w:t xml:space="preserve">otash </w:t>
      </w:r>
      <w:r w:rsidR="00CD5FAC">
        <w:rPr>
          <w:rFonts w:ascii="Cambria" w:hAnsi="Cambria"/>
          <w:color w:val="000000"/>
          <w:sz w:val="22"/>
          <w:szCs w:val="22"/>
          <w:lang w:val="en-CA"/>
        </w:rPr>
        <w:t>m</w:t>
      </w:r>
      <w:r w:rsidRPr="001C7259">
        <w:rPr>
          <w:rFonts w:ascii="Cambria" w:hAnsi="Cambria"/>
          <w:color w:val="000000"/>
          <w:sz w:val="22"/>
          <w:szCs w:val="22"/>
          <w:lang w:val="en-CA"/>
        </w:rPr>
        <w:t xml:space="preserve">arket is </w:t>
      </w:r>
      <w:r w:rsidRPr="001C7259">
        <w:rPr>
          <w:rFonts w:ascii="Cambria" w:hAnsi="Cambria"/>
          <w:color w:val="000000"/>
          <w:sz w:val="22"/>
          <w:szCs w:val="22"/>
          <w:lang w:val="en-CA"/>
        </w:rPr>
        <w:lastRenderedPageBreak/>
        <w:t>over US$50 billion annually and growing at a compound annual growth rate (“</w:t>
      </w:r>
      <w:r w:rsidRPr="009418E6">
        <w:rPr>
          <w:rFonts w:ascii="Cambria" w:hAnsi="Cambria"/>
          <w:b/>
          <w:bCs/>
          <w:color w:val="000000"/>
          <w:sz w:val="22"/>
          <w:szCs w:val="22"/>
          <w:lang w:val="en-CA"/>
        </w:rPr>
        <w:t>CAGR</w:t>
      </w:r>
      <w:r w:rsidRPr="001C7259">
        <w:rPr>
          <w:rFonts w:ascii="Cambria" w:hAnsi="Cambria"/>
          <w:color w:val="000000"/>
          <w:sz w:val="22"/>
          <w:szCs w:val="22"/>
          <w:lang w:val="en-CA"/>
        </w:rPr>
        <w:t>”) of close to 5%. Lithium demand is now estimated to be over 1</w:t>
      </w:r>
      <w:r w:rsidR="00CD5FAC">
        <w:rPr>
          <w:rFonts w:ascii="Cambria" w:hAnsi="Cambria"/>
          <w:color w:val="000000"/>
          <w:sz w:val="22"/>
          <w:szCs w:val="22"/>
          <w:lang w:val="en-CA"/>
        </w:rPr>
        <w:t xml:space="preserve"> </w:t>
      </w:r>
      <w:r w:rsidRPr="001C7259">
        <w:rPr>
          <w:rFonts w:ascii="Cambria" w:hAnsi="Cambria"/>
          <w:color w:val="000000"/>
          <w:sz w:val="22"/>
          <w:szCs w:val="22"/>
          <w:lang w:val="en-CA"/>
        </w:rPr>
        <w:t>m</w:t>
      </w:r>
      <w:r w:rsidR="00CD5FAC">
        <w:rPr>
          <w:rFonts w:ascii="Cambria" w:hAnsi="Cambria"/>
          <w:color w:val="000000"/>
          <w:sz w:val="22"/>
          <w:szCs w:val="22"/>
          <w:lang w:val="en-CA"/>
        </w:rPr>
        <w:t>illion</w:t>
      </w:r>
      <w:r w:rsidRPr="001C7259">
        <w:rPr>
          <w:rFonts w:ascii="Cambria" w:hAnsi="Cambria"/>
          <w:color w:val="000000"/>
          <w:sz w:val="22"/>
          <w:szCs w:val="22"/>
          <w:lang w:val="en-CA"/>
        </w:rPr>
        <w:t xml:space="preserve"> tonnes globally and growing at close to a 20% CAGR.</w:t>
      </w:r>
    </w:p>
    <w:p w14:paraId="0290192C" w14:textId="77777777" w:rsidR="00565F91" w:rsidRDefault="00565F91" w:rsidP="00097907">
      <w:pPr>
        <w:jc w:val="both"/>
        <w:rPr>
          <w:rFonts w:ascii="Cambria" w:hAnsi="Cambria"/>
          <w:color w:val="000000"/>
          <w:sz w:val="22"/>
          <w:szCs w:val="22"/>
        </w:rPr>
      </w:pPr>
    </w:p>
    <w:p w14:paraId="2C0312A3" w14:textId="6FFE6648" w:rsidR="00565F91" w:rsidRPr="00565F91" w:rsidRDefault="00565F91" w:rsidP="00F72FFD">
      <w:pPr>
        <w:jc w:val="both"/>
        <w:rPr>
          <w:rFonts w:ascii="Cambria" w:hAnsi="Cambria"/>
          <w:b/>
          <w:bCs/>
          <w:color w:val="000000"/>
          <w:sz w:val="22"/>
          <w:szCs w:val="22"/>
        </w:rPr>
      </w:pPr>
      <w:r w:rsidRPr="00565F91">
        <w:rPr>
          <w:rFonts w:ascii="Cambria" w:hAnsi="Cambria"/>
          <w:b/>
          <w:bCs/>
          <w:color w:val="000000"/>
          <w:sz w:val="22"/>
          <w:szCs w:val="22"/>
        </w:rPr>
        <w:t>Qualified Person</w:t>
      </w:r>
    </w:p>
    <w:p w14:paraId="640A4E7E" w14:textId="77777777" w:rsidR="00565F91" w:rsidRDefault="00565F91" w:rsidP="00F72FFD">
      <w:pPr>
        <w:jc w:val="both"/>
        <w:rPr>
          <w:rFonts w:ascii="Cambria" w:hAnsi="Cambria"/>
          <w:b/>
          <w:bCs/>
          <w:color w:val="000000"/>
          <w:sz w:val="22"/>
          <w:szCs w:val="22"/>
        </w:rPr>
      </w:pPr>
    </w:p>
    <w:p w14:paraId="54541857" w14:textId="74F82FFC" w:rsidR="00565F91" w:rsidRPr="00565F91" w:rsidRDefault="00565F91" w:rsidP="00F72FFD">
      <w:pPr>
        <w:jc w:val="both"/>
        <w:rPr>
          <w:rFonts w:ascii="Cambria" w:hAnsi="Cambria"/>
          <w:color w:val="000000"/>
          <w:sz w:val="22"/>
          <w:szCs w:val="22"/>
          <w:lang w:val="en-CA"/>
        </w:rPr>
      </w:pPr>
      <w:r w:rsidRPr="00565F91">
        <w:rPr>
          <w:rFonts w:ascii="Cambria" w:hAnsi="Cambria"/>
          <w:color w:val="000000"/>
          <w:sz w:val="22"/>
          <w:szCs w:val="22"/>
          <w:lang w:val="en-CA"/>
        </w:rPr>
        <w:t>The Technical content of this news release has been reviewed and approved by Dean Besserer, P.Geo.</w:t>
      </w:r>
      <w:r w:rsidR="00231DED">
        <w:rPr>
          <w:rFonts w:ascii="Cambria" w:hAnsi="Cambria"/>
          <w:color w:val="000000"/>
          <w:sz w:val="22"/>
          <w:szCs w:val="22"/>
          <w:lang w:val="en-CA"/>
        </w:rPr>
        <w:t>,</w:t>
      </w:r>
      <w:r w:rsidRPr="00565F91">
        <w:rPr>
          <w:rFonts w:ascii="Cambria" w:hAnsi="Cambria"/>
          <w:color w:val="000000"/>
          <w:sz w:val="22"/>
          <w:szCs w:val="22"/>
          <w:lang w:val="en-CA"/>
        </w:rPr>
        <w:t xml:space="preserve"> the Chief Operations Officer (“</w:t>
      </w:r>
      <w:r w:rsidRPr="009418E6">
        <w:rPr>
          <w:rFonts w:ascii="Cambria" w:hAnsi="Cambria"/>
          <w:b/>
          <w:bCs/>
          <w:color w:val="000000"/>
          <w:sz w:val="22"/>
          <w:szCs w:val="22"/>
          <w:lang w:val="en-CA"/>
        </w:rPr>
        <w:t>COO</w:t>
      </w:r>
      <w:r w:rsidRPr="00565F91">
        <w:rPr>
          <w:rFonts w:ascii="Cambria" w:hAnsi="Cambria"/>
          <w:color w:val="000000"/>
          <w:sz w:val="22"/>
          <w:szCs w:val="22"/>
          <w:lang w:val="en-CA"/>
        </w:rPr>
        <w:t>”) of the Company and a qualified person for the purposes of NI 43-101.</w:t>
      </w:r>
    </w:p>
    <w:p w14:paraId="3FFA27C8" w14:textId="77777777" w:rsidR="00004B76" w:rsidRDefault="00004B76" w:rsidP="005D006E">
      <w:pPr>
        <w:jc w:val="both"/>
        <w:rPr>
          <w:rFonts w:ascii="Cambria" w:hAnsi="Cambria"/>
          <w:color w:val="000000"/>
          <w:sz w:val="22"/>
          <w:szCs w:val="22"/>
          <w:lang w:val="en-CA"/>
        </w:rPr>
      </w:pPr>
    </w:p>
    <w:p w14:paraId="54FFE5FC" w14:textId="1FE1D56D" w:rsidR="00004B76" w:rsidRPr="00004B76" w:rsidRDefault="00004B76" w:rsidP="005D006E">
      <w:pPr>
        <w:jc w:val="both"/>
        <w:rPr>
          <w:rFonts w:ascii="Cambria" w:hAnsi="Cambria"/>
          <w:b/>
          <w:bCs/>
          <w:color w:val="000000"/>
          <w:sz w:val="22"/>
          <w:szCs w:val="22"/>
          <w:lang w:val="en-CA"/>
        </w:rPr>
      </w:pPr>
      <w:r w:rsidRPr="00004B76">
        <w:rPr>
          <w:rFonts w:ascii="Cambria" w:hAnsi="Cambria"/>
          <w:b/>
          <w:bCs/>
          <w:color w:val="000000"/>
          <w:sz w:val="22"/>
          <w:szCs w:val="22"/>
          <w:lang w:val="en-CA"/>
        </w:rPr>
        <w:t xml:space="preserve">Engagement of </w:t>
      </w:r>
      <w:r w:rsidR="00A769BD">
        <w:rPr>
          <w:rFonts w:ascii="Cambria" w:hAnsi="Cambria"/>
          <w:b/>
          <w:bCs/>
          <w:color w:val="000000"/>
          <w:sz w:val="22"/>
          <w:szCs w:val="22"/>
          <w:lang w:val="en-CA"/>
        </w:rPr>
        <w:t>SmallCap Communications Inc.</w:t>
      </w:r>
    </w:p>
    <w:p w14:paraId="04FEEFAC" w14:textId="77777777" w:rsidR="00004B76" w:rsidRDefault="00004B76" w:rsidP="005D006E">
      <w:pPr>
        <w:jc w:val="both"/>
        <w:rPr>
          <w:rFonts w:ascii="Cambria" w:hAnsi="Cambria"/>
          <w:color w:val="000000"/>
          <w:sz w:val="22"/>
          <w:szCs w:val="22"/>
          <w:lang w:val="en-CA"/>
        </w:rPr>
      </w:pPr>
    </w:p>
    <w:p w14:paraId="4D180966" w14:textId="773DFE36" w:rsidR="00004B76" w:rsidRDefault="00A769BD" w:rsidP="00A769BD">
      <w:pPr>
        <w:jc w:val="both"/>
        <w:rPr>
          <w:rFonts w:ascii="Cambria" w:hAnsi="Cambria"/>
          <w:color w:val="000000"/>
          <w:sz w:val="22"/>
          <w:szCs w:val="22"/>
          <w:lang w:val="en-CA"/>
        </w:rPr>
      </w:pPr>
      <w:r w:rsidRPr="00A769BD">
        <w:rPr>
          <w:rFonts w:ascii="Cambria" w:hAnsi="Cambria"/>
          <w:color w:val="000000"/>
          <w:sz w:val="22"/>
          <w:szCs w:val="22"/>
          <w:lang w:val="en-CA"/>
        </w:rPr>
        <w:t>The Company also announces it has entered into an agreement with SmallCap Communications Inc., to provide strategic digital marketing services including; advertising and creative content development, lead generation campaign</w:t>
      </w:r>
      <w:r w:rsidR="00355EB6">
        <w:rPr>
          <w:rFonts w:ascii="Cambria" w:hAnsi="Cambria"/>
          <w:color w:val="000000"/>
          <w:sz w:val="22"/>
          <w:szCs w:val="22"/>
          <w:lang w:val="en-CA"/>
        </w:rPr>
        <w:t>s</w:t>
      </w:r>
      <w:r w:rsidRPr="00A769BD">
        <w:rPr>
          <w:rFonts w:ascii="Cambria" w:hAnsi="Cambria"/>
          <w:color w:val="000000"/>
          <w:sz w:val="22"/>
          <w:szCs w:val="22"/>
          <w:lang w:val="en-CA"/>
        </w:rPr>
        <w:t>, email campaign</w:t>
      </w:r>
      <w:r w:rsidR="00355EB6">
        <w:rPr>
          <w:rFonts w:ascii="Cambria" w:hAnsi="Cambria"/>
          <w:color w:val="000000"/>
          <w:sz w:val="22"/>
          <w:szCs w:val="22"/>
          <w:lang w:val="en-CA"/>
        </w:rPr>
        <w:t>s</w:t>
      </w:r>
      <w:r w:rsidRPr="00A769BD">
        <w:rPr>
          <w:rFonts w:ascii="Cambria" w:hAnsi="Cambria"/>
          <w:color w:val="000000"/>
          <w:sz w:val="22"/>
          <w:szCs w:val="22"/>
          <w:lang w:val="en-CA"/>
        </w:rPr>
        <w:t>, general consulting and strategic direction. The term of the engagement is for a</w:t>
      </w:r>
      <w:r>
        <w:rPr>
          <w:rFonts w:ascii="Cambria" w:hAnsi="Cambria"/>
          <w:color w:val="000000"/>
          <w:sz w:val="22"/>
          <w:szCs w:val="22"/>
          <w:lang w:val="en-CA"/>
        </w:rPr>
        <w:t>n initial</w:t>
      </w:r>
      <w:r w:rsidRPr="00A769BD">
        <w:rPr>
          <w:rFonts w:ascii="Cambria" w:hAnsi="Cambria"/>
          <w:color w:val="000000"/>
          <w:sz w:val="22"/>
          <w:szCs w:val="22"/>
          <w:lang w:val="en-CA"/>
        </w:rPr>
        <w:t xml:space="preserve"> period of four months commencing January </w:t>
      </w:r>
      <w:r>
        <w:rPr>
          <w:rFonts w:ascii="Cambria" w:hAnsi="Cambria"/>
          <w:color w:val="000000"/>
          <w:sz w:val="22"/>
          <w:szCs w:val="22"/>
          <w:lang w:val="en-CA"/>
        </w:rPr>
        <w:t xml:space="preserve">14, </w:t>
      </w:r>
      <w:r w:rsidRPr="00A769BD">
        <w:rPr>
          <w:rFonts w:ascii="Cambria" w:hAnsi="Cambria"/>
          <w:color w:val="000000"/>
          <w:sz w:val="22"/>
          <w:szCs w:val="22"/>
          <w:lang w:val="en-CA"/>
        </w:rPr>
        <w:t xml:space="preserve">2025 for aggregate cash consideration of C$150,000. SmallCap Communications Inc. and its principals are arm’s length to the Company and as of the date hereof, to the Company’s knowledge, SmallCap Communications Inc. (including its directors and officers) do not own any securities of the Company. </w:t>
      </w:r>
      <w:r w:rsidR="00090D7C" w:rsidRPr="00090D7C">
        <w:rPr>
          <w:rFonts w:ascii="Cambria" w:hAnsi="Cambria"/>
          <w:color w:val="000000"/>
          <w:sz w:val="22"/>
          <w:szCs w:val="22"/>
        </w:rPr>
        <w:t xml:space="preserve">The </w:t>
      </w:r>
      <w:r w:rsidR="00090D7C">
        <w:rPr>
          <w:rFonts w:ascii="Cambria" w:hAnsi="Cambria"/>
          <w:color w:val="000000"/>
          <w:sz w:val="22"/>
          <w:szCs w:val="22"/>
        </w:rPr>
        <w:t>C</w:t>
      </w:r>
      <w:r w:rsidR="00090D7C" w:rsidRPr="00090D7C">
        <w:rPr>
          <w:rFonts w:ascii="Cambria" w:hAnsi="Cambria"/>
          <w:color w:val="000000"/>
          <w:sz w:val="22"/>
          <w:szCs w:val="22"/>
        </w:rPr>
        <w:t xml:space="preserve">ompany does not propose to issue any securities to </w:t>
      </w:r>
      <w:r w:rsidR="00090D7C" w:rsidRPr="00A769BD">
        <w:rPr>
          <w:rFonts w:ascii="Cambria" w:hAnsi="Cambria"/>
          <w:color w:val="000000"/>
          <w:sz w:val="22"/>
          <w:szCs w:val="22"/>
          <w:lang w:val="en-CA"/>
        </w:rPr>
        <w:t>SmallCap Communications Inc.</w:t>
      </w:r>
      <w:r w:rsidR="00090D7C" w:rsidRPr="00090D7C">
        <w:rPr>
          <w:rFonts w:ascii="Cambria" w:hAnsi="Cambria"/>
          <w:color w:val="000000"/>
          <w:sz w:val="22"/>
          <w:szCs w:val="22"/>
        </w:rPr>
        <w:t xml:space="preserve"> in consideration for the services to be provided to the </w:t>
      </w:r>
      <w:r w:rsidR="00090D7C">
        <w:rPr>
          <w:rFonts w:ascii="Cambria" w:hAnsi="Cambria"/>
          <w:color w:val="000000"/>
          <w:sz w:val="22"/>
          <w:szCs w:val="22"/>
        </w:rPr>
        <w:t>C</w:t>
      </w:r>
      <w:r w:rsidR="00090D7C" w:rsidRPr="00090D7C">
        <w:rPr>
          <w:rFonts w:ascii="Cambria" w:hAnsi="Cambria"/>
          <w:color w:val="000000"/>
          <w:sz w:val="22"/>
          <w:szCs w:val="22"/>
        </w:rPr>
        <w:t>ompany.</w:t>
      </w:r>
      <w:r w:rsidR="00090D7C">
        <w:rPr>
          <w:rFonts w:ascii="Cambria" w:hAnsi="Cambria"/>
          <w:color w:val="000000"/>
          <w:sz w:val="22"/>
          <w:szCs w:val="22"/>
        </w:rPr>
        <w:t xml:space="preserve"> </w:t>
      </w:r>
      <w:r w:rsidRPr="00A769BD">
        <w:rPr>
          <w:rFonts w:ascii="Cambria" w:hAnsi="Cambria"/>
          <w:color w:val="000000"/>
          <w:sz w:val="22"/>
          <w:szCs w:val="22"/>
          <w:lang w:val="en-CA"/>
        </w:rPr>
        <w:t xml:space="preserve">SmallCap Communications Inc. can be reached at: 1245-200 Granville Street, Vancouver, BC, V6C 1S4 and </w:t>
      </w:r>
      <w:hyperlink r:id="rId13" w:history="1">
        <w:r w:rsidRPr="00A769BD">
          <w:rPr>
            <w:rStyle w:val="Hyperlink"/>
            <w:rFonts w:ascii="Cambria" w:hAnsi="Cambria"/>
            <w:sz w:val="22"/>
            <w:szCs w:val="22"/>
            <w:lang w:val="en-CA"/>
          </w:rPr>
          <w:t>rebecca@smallcapcommunications.com</w:t>
        </w:r>
      </w:hyperlink>
      <w:r w:rsidR="00B664AC">
        <w:rPr>
          <w:rFonts w:ascii="Cambria" w:hAnsi="Cambria"/>
          <w:color w:val="000000"/>
          <w:sz w:val="22"/>
          <w:szCs w:val="22"/>
          <w:lang w:val="en-CA"/>
        </w:rPr>
        <w:t>.</w:t>
      </w:r>
    </w:p>
    <w:p w14:paraId="4A11F7BD" w14:textId="77777777" w:rsidR="00D75349" w:rsidRDefault="00D75349" w:rsidP="005D006E">
      <w:pPr>
        <w:jc w:val="both"/>
        <w:rPr>
          <w:rFonts w:ascii="Cambria" w:hAnsi="Cambria"/>
          <w:color w:val="000000"/>
          <w:sz w:val="22"/>
          <w:szCs w:val="22"/>
          <w:lang w:val="en-CA"/>
        </w:rPr>
      </w:pPr>
    </w:p>
    <w:p w14:paraId="6A0CB5E8" w14:textId="706708AF" w:rsidR="002A663B" w:rsidRDefault="00A80F8E" w:rsidP="002A663B">
      <w:pPr>
        <w:rPr>
          <w:rFonts w:eastAsia="Times New Roman" w:cs="Times New Roman"/>
          <w:b/>
          <w:sz w:val="22"/>
          <w:szCs w:val="22"/>
        </w:rPr>
      </w:pPr>
      <w:r w:rsidRPr="0023408E">
        <w:rPr>
          <w:rFonts w:eastAsia="Times New Roman" w:cs="Times New Roman"/>
          <w:b/>
          <w:sz w:val="22"/>
          <w:szCs w:val="22"/>
        </w:rPr>
        <w:t>On behalf of the Board of Directors</w:t>
      </w:r>
      <w:r w:rsidR="002A663B">
        <w:rPr>
          <w:rFonts w:eastAsia="Times New Roman" w:cs="Times New Roman"/>
          <w:b/>
          <w:sz w:val="22"/>
          <w:szCs w:val="22"/>
        </w:rPr>
        <w:t xml:space="preserve"> </w:t>
      </w:r>
    </w:p>
    <w:p w14:paraId="1C83F6B7" w14:textId="77777777" w:rsidR="00430417" w:rsidRDefault="00430417" w:rsidP="002A663B">
      <w:pPr>
        <w:rPr>
          <w:rFonts w:eastAsia="Times New Roman" w:cs="Times New Roman"/>
          <w:b/>
          <w:sz w:val="22"/>
          <w:szCs w:val="22"/>
        </w:rPr>
      </w:pPr>
    </w:p>
    <w:p w14:paraId="1B3218FC" w14:textId="488B2129" w:rsidR="00A80F8E" w:rsidRDefault="002A663B" w:rsidP="002A663B">
      <w:pPr>
        <w:rPr>
          <w:rFonts w:eastAsia="Times New Roman" w:cs="Times New Roman"/>
          <w:b/>
          <w:sz w:val="22"/>
          <w:szCs w:val="22"/>
        </w:rPr>
      </w:pPr>
      <w:r>
        <w:rPr>
          <w:rFonts w:eastAsia="Times New Roman" w:cs="Times New Roman"/>
          <w:b/>
          <w:sz w:val="22"/>
          <w:szCs w:val="22"/>
        </w:rPr>
        <w:t>Simon Clarke</w:t>
      </w:r>
      <w:r w:rsidR="00A80F8E" w:rsidRPr="0023408E">
        <w:rPr>
          <w:rFonts w:eastAsia="Times New Roman" w:cs="Times New Roman"/>
          <w:b/>
          <w:sz w:val="22"/>
          <w:szCs w:val="22"/>
        </w:rPr>
        <w:t>, President &amp; CEO</w:t>
      </w:r>
    </w:p>
    <w:p w14:paraId="6AB9D944" w14:textId="77777777" w:rsidR="00B20427" w:rsidRDefault="00B20427" w:rsidP="002A663B">
      <w:pPr>
        <w:rPr>
          <w:rFonts w:eastAsia="Times New Roman" w:cs="Times New Roman"/>
          <w:b/>
          <w:sz w:val="22"/>
          <w:szCs w:val="22"/>
        </w:rPr>
      </w:pPr>
    </w:p>
    <w:p w14:paraId="7BA4EE9B" w14:textId="39B35093" w:rsidR="00B20427" w:rsidRDefault="00B20427" w:rsidP="00B20427">
      <w:pPr>
        <w:pBdr>
          <w:top w:val="nil"/>
          <w:left w:val="nil"/>
          <w:bottom w:val="nil"/>
          <w:right w:val="nil"/>
          <w:between w:val="nil"/>
        </w:pBdr>
        <w:jc w:val="both"/>
        <w:rPr>
          <w:rFonts w:eastAsia="Times New Roman" w:cs="Times New Roman"/>
          <w:b/>
          <w:sz w:val="22"/>
          <w:szCs w:val="22"/>
        </w:rPr>
      </w:pPr>
      <w:r w:rsidRPr="00B20427">
        <w:rPr>
          <w:rFonts w:eastAsia="Times New Roman" w:cs="Times New Roman"/>
          <w:b/>
          <w:sz w:val="22"/>
          <w:szCs w:val="22"/>
        </w:rPr>
        <w:t xml:space="preserve">Contact: </w:t>
      </w:r>
      <w:r>
        <w:rPr>
          <w:rFonts w:eastAsia="Times New Roman" w:cs="Times New Roman"/>
          <w:b/>
          <w:sz w:val="22"/>
          <w:szCs w:val="22"/>
        </w:rPr>
        <w:t>(604)-551-9665</w:t>
      </w:r>
    </w:p>
    <w:p w14:paraId="584ABAD5" w14:textId="77777777" w:rsidR="00A769BD" w:rsidRDefault="00A769BD" w:rsidP="00B20427">
      <w:pPr>
        <w:pBdr>
          <w:top w:val="nil"/>
          <w:left w:val="nil"/>
          <w:bottom w:val="nil"/>
          <w:right w:val="nil"/>
          <w:between w:val="nil"/>
        </w:pBdr>
        <w:jc w:val="both"/>
        <w:rPr>
          <w:rFonts w:eastAsia="Times New Roman" w:cs="Times New Roman"/>
          <w:b/>
          <w:sz w:val="22"/>
          <w:szCs w:val="22"/>
        </w:rPr>
      </w:pPr>
    </w:p>
    <w:p w14:paraId="221D3053" w14:textId="77777777" w:rsidR="00A769BD" w:rsidRPr="00A769BD" w:rsidRDefault="00A769BD" w:rsidP="00A769BD">
      <w:pPr>
        <w:pBdr>
          <w:top w:val="nil"/>
          <w:left w:val="nil"/>
          <w:bottom w:val="nil"/>
          <w:right w:val="nil"/>
          <w:between w:val="nil"/>
        </w:pBdr>
        <w:jc w:val="both"/>
        <w:rPr>
          <w:rFonts w:eastAsia="Times New Roman" w:cs="Times New Roman"/>
          <w:b/>
          <w:sz w:val="22"/>
          <w:szCs w:val="22"/>
        </w:rPr>
      </w:pPr>
      <w:r w:rsidRPr="00A769BD">
        <w:rPr>
          <w:rFonts w:eastAsia="Times New Roman" w:cs="Times New Roman"/>
          <w:bCs/>
          <w:sz w:val="22"/>
          <w:szCs w:val="22"/>
        </w:rPr>
        <w:t>*</w:t>
      </w:r>
      <w:r w:rsidRPr="00A769BD">
        <w:rPr>
          <w:rFonts w:eastAsia="Times New Roman" w:cs="Times New Roman"/>
          <w:bCs/>
          <w:i/>
          <w:iCs/>
          <w:sz w:val="22"/>
          <w:szCs w:val="22"/>
        </w:rPr>
        <w:t>Agapito Associates Inc. Technical report (October 2012) quantifies the Green River Potash Project’s potash exploration potential in the form of a NI 43-101 Exploration Target. The Exploration Target estimate was prepared in accordance with the National Instrument 43-101 –Standards of Disclosure for Mineral Projects ("</w:t>
      </w:r>
      <w:r w:rsidRPr="009418E6">
        <w:rPr>
          <w:rFonts w:eastAsia="Times New Roman" w:cs="Times New Roman"/>
          <w:b/>
          <w:i/>
          <w:iCs/>
          <w:sz w:val="22"/>
          <w:szCs w:val="22"/>
        </w:rPr>
        <w:t>NI 43-101</w:t>
      </w:r>
      <w:r w:rsidRPr="00A769BD">
        <w:rPr>
          <w:rFonts w:eastAsia="Times New Roman" w:cs="Times New Roman"/>
          <w:bCs/>
          <w:i/>
          <w:iCs/>
          <w:sz w:val="22"/>
          <w:szCs w:val="22"/>
        </w:rPr>
        <w:t>"). It should be noted that Exploration Targets are conceptual in nature and there has been insufficient exploration to define them as Mineral Resources, and, while reasonable potential may exist, it is uncertain whether further exploration will result in the determination of a Mineral Resource under NI 43-101. The Exploration Target stated in the Agapito Report is not being reported as part of any Mineral Resource or Mineral Reserve</w:t>
      </w:r>
      <w:r w:rsidRPr="00A769BD">
        <w:rPr>
          <w:rFonts w:eastAsia="Times New Roman" w:cs="Times New Roman"/>
          <w:b/>
          <w:i/>
          <w:iCs/>
          <w:sz w:val="22"/>
          <w:szCs w:val="22"/>
        </w:rPr>
        <w:t>.</w:t>
      </w:r>
    </w:p>
    <w:p w14:paraId="47C604D8" w14:textId="77777777" w:rsidR="00A769BD" w:rsidRDefault="00A769BD" w:rsidP="00B20427">
      <w:pPr>
        <w:pBdr>
          <w:top w:val="nil"/>
          <w:left w:val="nil"/>
          <w:bottom w:val="nil"/>
          <w:right w:val="nil"/>
          <w:between w:val="nil"/>
        </w:pBdr>
        <w:jc w:val="both"/>
        <w:rPr>
          <w:rFonts w:eastAsia="Times New Roman" w:cs="Times New Roman"/>
          <w:b/>
          <w:sz w:val="22"/>
          <w:szCs w:val="22"/>
        </w:rPr>
      </w:pPr>
    </w:p>
    <w:p w14:paraId="37714DD0" w14:textId="02F28F26" w:rsidR="00A769BD" w:rsidRPr="00A769BD" w:rsidRDefault="00A769BD" w:rsidP="00B20427">
      <w:pPr>
        <w:pBdr>
          <w:top w:val="nil"/>
          <w:left w:val="nil"/>
          <w:bottom w:val="nil"/>
          <w:right w:val="nil"/>
          <w:between w:val="nil"/>
        </w:pBdr>
        <w:jc w:val="both"/>
        <w:rPr>
          <w:rFonts w:eastAsia="Times New Roman" w:cs="Times New Roman"/>
          <w:bCs/>
          <w:i/>
          <w:iCs/>
          <w:sz w:val="22"/>
          <w:szCs w:val="22"/>
        </w:rPr>
      </w:pPr>
      <w:r w:rsidRPr="00A769BD">
        <w:rPr>
          <w:rFonts w:eastAsia="Times New Roman" w:cs="Times New Roman"/>
          <w:bCs/>
          <w:i/>
          <w:iCs/>
          <w:sz w:val="22"/>
          <w:szCs w:val="22"/>
        </w:rPr>
        <w:t>**United States Geological Survey, Mineral Commodity Summaries, January 2024 (</w:t>
      </w:r>
      <w:hyperlink r:id="rId14" w:history="1">
        <w:r w:rsidRPr="00A769BD">
          <w:rPr>
            <w:rStyle w:val="Hyperlink"/>
            <w:rFonts w:eastAsia="Times New Roman" w:cs="Times New Roman"/>
            <w:bCs/>
            <w:i/>
            <w:iCs/>
            <w:sz w:val="22"/>
            <w:szCs w:val="22"/>
          </w:rPr>
          <w:t>https://pubs.usgs.gov/periodicals/mcs2024/mcs2024-potash.pdf</w:t>
        </w:r>
      </w:hyperlink>
      <w:r w:rsidRPr="00A769BD">
        <w:rPr>
          <w:rFonts w:eastAsia="Times New Roman" w:cs="Times New Roman"/>
          <w:bCs/>
          <w:i/>
          <w:iCs/>
          <w:sz w:val="22"/>
          <w:szCs w:val="22"/>
        </w:rPr>
        <w:t>).</w:t>
      </w:r>
    </w:p>
    <w:p w14:paraId="11AB85E1" w14:textId="77777777" w:rsidR="006C61EC" w:rsidRDefault="006C61EC" w:rsidP="00D426BC">
      <w:pPr>
        <w:keepNext/>
        <w:keepLines/>
        <w:jc w:val="both"/>
        <w:rPr>
          <w:rFonts w:ascii="Arial" w:hAnsi="Arial" w:cs="Arial"/>
          <w:i/>
          <w:sz w:val="18"/>
          <w:szCs w:val="18"/>
          <w:u w:val="single"/>
        </w:rPr>
      </w:pPr>
    </w:p>
    <w:p w14:paraId="0C35DA68" w14:textId="71E5A302" w:rsidR="00D426BC" w:rsidRDefault="00D426BC" w:rsidP="00D426BC">
      <w:pPr>
        <w:keepNext/>
        <w:keepLines/>
        <w:jc w:val="both"/>
        <w:rPr>
          <w:rFonts w:ascii="Arial" w:hAnsi="Arial" w:cs="Arial"/>
          <w:i/>
          <w:sz w:val="18"/>
          <w:szCs w:val="18"/>
          <w:u w:val="single"/>
        </w:rPr>
      </w:pPr>
      <w:r w:rsidRPr="00081129">
        <w:rPr>
          <w:rFonts w:ascii="Arial" w:hAnsi="Arial" w:cs="Arial"/>
          <w:i/>
          <w:sz w:val="18"/>
          <w:szCs w:val="18"/>
          <w:u w:val="single"/>
        </w:rPr>
        <w:t>Cautionary Statements Regarding Forward Looking Information</w:t>
      </w:r>
    </w:p>
    <w:p w14:paraId="26A2F75B" w14:textId="77777777" w:rsidR="00D426BC" w:rsidRPr="00081129" w:rsidRDefault="00D426BC" w:rsidP="00D426BC">
      <w:pPr>
        <w:keepNext/>
        <w:keepLines/>
        <w:jc w:val="both"/>
        <w:rPr>
          <w:rFonts w:ascii="Arial" w:hAnsi="Arial" w:cs="Arial"/>
          <w:sz w:val="18"/>
          <w:szCs w:val="18"/>
        </w:rPr>
      </w:pPr>
    </w:p>
    <w:p w14:paraId="2B6EF067" w14:textId="63A65F29" w:rsidR="00A80F8E" w:rsidRPr="00D426BC" w:rsidRDefault="00D426BC" w:rsidP="00D426BC">
      <w:pPr>
        <w:keepNext/>
        <w:keepLines/>
        <w:jc w:val="both"/>
        <w:rPr>
          <w:rFonts w:ascii="Arial" w:hAnsi="Arial" w:cs="Arial"/>
          <w:bCs/>
          <w:i/>
          <w:sz w:val="18"/>
          <w:szCs w:val="18"/>
          <w:lang w:val="en"/>
        </w:rPr>
      </w:pPr>
      <w:r w:rsidRPr="001F6506">
        <w:rPr>
          <w:rFonts w:ascii="Arial" w:hAnsi="Arial" w:cs="Arial"/>
          <w:bCs/>
          <w:i/>
          <w:sz w:val="18"/>
          <w:szCs w:val="18"/>
          <w:lang w:val="en"/>
        </w:rPr>
        <w:t xml:space="preserve">This news release contains forward-looking information within the meaning of applicable securities legislation. Forward-looking information is typically identified by words such as: believe, </w:t>
      </w:r>
      <w:r w:rsidR="00A769BD" w:rsidRPr="001F6506">
        <w:rPr>
          <w:rFonts w:ascii="Arial" w:hAnsi="Arial" w:cs="Arial"/>
          <w:bCs/>
          <w:i/>
          <w:sz w:val="18"/>
          <w:szCs w:val="18"/>
          <w:lang w:val="en"/>
        </w:rPr>
        <w:t>uncertainties and other factors that could cause actual events or results to differ materially from those projected in the forward-looking information. Important factors that could cause actual results to differ from this forward-looking information include</w:t>
      </w:r>
      <w:r w:rsidR="00A769BD">
        <w:rPr>
          <w:rFonts w:ascii="Arial" w:hAnsi="Arial" w:cs="Arial"/>
          <w:bCs/>
          <w:i/>
          <w:sz w:val="18"/>
          <w:szCs w:val="18"/>
          <w:lang w:val="en"/>
        </w:rPr>
        <w:t xml:space="preserve"> </w:t>
      </w:r>
      <w:r w:rsidR="00A769BD" w:rsidRPr="001F6506">
        <w:rPr>
          <w:rFonts w:ascii="Arial" w:hAnsi="Arial" w:cs="Arial"/>
          <w:bCs/>
          <w:i/>
          <w:sz w:val="18"/>
          <w:szCs w:val="18"/>
          <w:lang w:val="en"/>
        </w:rPr>
        <w:t xml:space="preserve">those described under the heading </w:t>
      </w:r>
      <w:bookmarkStart w:id="14" w:name="_9kMML5YVt8956GK"/>
      <w:r w:rsidR="00A769BD">
        <w:rPr>
          <w:rFonts w:ascii="Arial" w:hAnsi="Arial" w:cs="Arial"/>
          <w:bCs/>
          <w:i/>
          <w:sz w:val="18"/>
          <w:szCs w:val="18"/>
          <w:lang w:val="en"/>
        </w:rPr>
        <w:t>“</w:t>
      </w:r>
      <w:bookmarkStart w:id="15" w:name="_9kR3WTr1AB49BZOwz0rnrZetl1H1r5HDzA"/>
      <w:bookmarkStart w:id="16" w:name="_9kR3WTr24449FdOwz0rnrZetl1H1r5HDzA"/>
      <w:bookmarkStart w:id="17" w:name="_9kR3WTr1AB4DLfOwz0rnrZetl1H1r5HDzA"/>
      <w:bookmarkStart w:id="18" w:name="_9kR3WTr2444EGZOwz0rnrZetl1H1r5HDzA"/>
      <w:bookmarkEnd w:id="14"/>
      <w:r w:rsidR="00A769BD" w:rsidRPr="001F6506">
        <w:rPr>
          <w:rFonts w:ascii="Arial" w:hAnsi="Arial" w:cs="Arial"/>
          <w:bCs/>
          <w:i/>
          <w:sz w:val="18"/>
          <w:szCs w:val="18"/>
          <w:lang w:val="en"/>
        </w:rPr>
        <w:t>Risks and Uncertaintie</w:t>
      </w:r>
      <w:bookmarkStart w:id="19" w:name="_9kMNM5YVt8956GK"/>
      <w:r w:rsidR="00A769BD" w:rsidRPr="001F6506">
        <w:rPr>
          <w:rFonts w:ascii="Arial" w:hAnsi="Arial" w:cs="Arial"/>
          <w:bCs/>
          <w:i/>
          <w:sz w:val="18"/>
          <w:szCs w:val="18"/>
          <w:lang w:val="en"/>
        </w:rPr>
        <w:t>s</w:t>
      </w:r>
      <w:bookmarkEnd w:id="15"/>
      <w:bookmarkEnd w:id="16"/>
      <w:bookmarkEnd w:id="17"/>
      <w:bookmarkEnd w:id="18"/>
      <w:bookmarkEnd w:id="19"/>
      <w:r w:rsidR="00A769BD">
        <w:rPr>
          <w:rFonts w:ascii="Arial" w:hAnsi="Arial" w:cs="Arial"/>
          <w:bCs/>
          <w:i/>
          <w:sz w:val="18"/>
          <w:szCs w:val="18"/>
          <w:lang w:val="en"/>
        </w:rPr>
        <w:t>”</w:t>
      </w:r>
      <w:r w:rsidR="00A769BD" w:rsidRPr="001F6506">
        <w:rPr>
          <w:rFonts w:ascii="Arial" w:hAnsi="Arial" w:cs="Arial"/>
          <w:bCs/>
          <w:i/>
          <w:sz w:val="18"/>
          <w:szCs w:val="18"/>
          <w:lang w:val="en"/>
        </w:rPr>
        <w:t xml:space="preserve"> in </w:t>
      </w:r>
      <w:r w:rsidR="00A769BD">
        <w:rPr>
          <w:rFonts w:ascii="Arial" w:hAnsi="Arial" w:cs="Arial"/>
          <w:bCs/>
          <w:i/>
          <w:sz w:val="18"/>
          <w:szCs w:val="18"/>
          <w:lang w:val="en"/>
        </w:rPr>
        <w:t>th</w:t>
      </w:r>
      <w:bookmarkStart w:id="20" w:name="_9kR3WTr6734EN"/>
      <w:r w:rsidR="00A769BD">
        <w:rPr>
          <w:rFonts w:ascii="Arial" w:hAnsi="Arial" w:cs="Arial"/>
          <w:bCs/>
          <w:i/>
          <w:sz w:val="18"/>
          <w:szCs w:val="18"/>
          <w:lang w:val="en"/>
        </w:rPr>
        <w:t>e Company</w:t>
      </w:r>
      <w:bookmarkEnd w:id="20"/>
      <w:r w:rsidR="00A769BD">
        <w:rPr>
          <w:rFonts w:ascii="Arial" w:hAnsi="Arial" w:cs="Arial"/>
          <w:bCs/>
          <w:i/>
          <w:sz w:val="18"/>
          <w:szCs w:val="18"/>
          <w:lang w:val="en"/>
        </w:rPr>
        <w:t>’</w:t>
      </w:r>
      <w:r w:rsidR="00A769BD" w:rsidRPr="001F6506">
        <w:rPr>
          <w:rFonts w:ascii="Arial" w:hAnsi="Arial" w:cs="Arial"/>
          <w:bCs/>
          <w:i/>
          <w:sz w:val="18"/>
          <w:szCs w:val="18"/>
          <w:lang w:val="en"/>
        </w:rPr>
        <w:t xml:space="preserve">s </w:t>
      </w:r>
      <w:r w:rsidR="00A769BD">
        <w:rPr>
          <w:rFonts w:ascii="Arial" w:hAnsi="Arial" w:cs="Arial"/>
          <w:bCs/>
          <w:i/>
          <w:sz w:val="18"/>
          <w:szCs w:val="18"/>
          <w:lang w:val="en"/>
        </w:rPr>
        <w:t>most recently filed MD&amp;A. The Company</w:t>
      </w:r>
      <w:r w:rsidR="00A769BD" w:rsidRPr="001F6506">
        <w:rPr>
          <w:rFonts w:ascii="Arial" w:hAnsi="Arial" w:cs="Arial"/>
          <w:bCs/>
          <w:i/>
          <w:sz w:val="18"/>
          <w:szCs w:val="18"/>
          <w:lang w:val="en"/>
        </w:rPr>
        <w:t xml:space="preserve"> does not intend, and expressly disclaims any obligation to, update or revise the forward-looking information contained in this news release, except as required by law. Readers are cautioned not to place undue reliance on forward-looking </w:t>
      </w:r>
      <w:r w:rsidRPr="001F6506">
        <w:rPr>
          <w:rFonts w:ascii="Arial" w:hAnsi="Arial" w:cs="Arial"/>
          <w:bCs/>
          <w:i/>
          <w:sz w:val="18"/>
          <w:szCs w:val="18"/>
          <w:lang w:val="en"/>
        </w:rPr>
        <w:t>expect, anticipate, intend, estimate, postulate and similar expressions, or are those, which, by their nature, refer to future events. Such statements include, without limitation, statements regarding</w:t>
      </w:r>
      <w:r w:rsidR="0021058B">
        <w:rPr>
          <w:rFonts w:ascii="Arial" w:hAnsi="Arial" w:cs="Arial"/>
          <w:bCs/>
          <w:i/>
          <w:sz w:val="18"/>
          <w:szCs w:val="18"/>
          <w:lang w:val="en"/>
        </w:rPr>
        <w:t xml:space="preserve"> future confirmation drilling and its intended outcomes</w:t>
      </w:r>
      <w:r w:rsidRPr="001F6506">
        <w:rPr>
          <w:rFonts w:ascii="Arial" w:hAnsi="Arial" w:cs="Arial"/>
          <w:bCs/>
          <w:i/>
          <w:sz w:val="18"/>
          <w:szCs w:val="18"/>
          <w:lang w:val="en"/>
        </w:rPr>
        <w:t xml:space="preserve"> </w:t>
      </w:r>
      <w:r w:rsidR="0021058B">
        <w:rPr>
          <w:rFonts w:ascii="Arial" w:hAnsi="Arial" w:cs="Arial"/>
          <w:bCs/>
          <w:i/>
          <w:sz w:val="18"/>
          <w:szCs w:val="18"/>
          <w:lang w:val="en"/>
        </w:rPr>
        <w:t xml:space="preserve">and </w:t>
      </w:r>
      <w:r w:rsidRPr="001F6506">
        <w:rPr>
          <w:rFonts w:ascii="Arial" w:hAnsi="Arial" w:cs="Arial"/>
          <w:bCs/>
          <w:i/>
          <w:sz w:val="18"/>
          <w:szCs w:val="18"/>
          <w:lang w:val="en"/>
        </w:rPr>
        <w:t xml:space="preserve">the </w:t>
      </w:r>
      <w:r w:rsidR="00D34199">
        <w:rPr>
          <w:rFonts w:ascii="Arial" w:hAnsi="Arial" w:cs="Arial"/>
          <w:bCs/>
          <w:i/>
          <w:sz w:val="18"/>
          <w:szCs w:val="18"/>
          <w:lang w:val="en"/>
        </w:rPr>
        <w:t xml:space="preserve">intended use of proceeds from the </w:t>
      </w:r>
      <w:r w:rsidR="00544411">
        <w:rPr>
          <w:rFonts w:ascii="Arial" w:hAnsi="Arial" w:cs="Arial"/>
          <w:bCs/>
          <w:i/>
          <w:sz w:val="18"/>
          <w:szCs w:val="18"/>
          <w:lang w:val="en"/>
        </w:rPr>
        <w:t>oversubscribed financing</w:t>
      </w:r>
      <w:r w:rsidRPr="00A2726C">
        <w:rPr>
          <w:rFonts w:ascii="Arial" w:hAnsi="Arial" w:cs="Arial"/>
          <w:bCs/>
          <w:i/>
          <w:sz w:val="18"/>
          <w:szCs w:val="18"/>
          <w:lang w:val="en"/>
        </w:rPr>
        <w:t xml:space="preserve">. </w:t>
      </w:r>
      <w:r w:rsidRPr="001F6506">
        <w:rPr>
          <w:rFonts w:ascii="Arial" w:hAnsi="Arial" w:cs="Arial"/>
          <w:bCs/>
          <w:i/>
          <w:sz w:val="18"/>
          <w:szCs w:val="18"/>
          <w:lang w:val="en"/>
        </w:rPr>
        <w:t>Although the Company believes that such statements are reasonable, it can give no assurances that such expectations will prove to be correct</w:t>
      </w:r>
      <w:bookmarkStart w:id="21" w:name="_9kMON5YVt7FC78B"/>
      <w:r w:rsidRPr="001F6506">
        <w:rPr>
          <w:rFonts w:ascii="Arial" w:hAnsi="Arial" w:cs="Arial"/>
          <w:bCs/>
          <w:i/>
          <w:sz w:val="18"/>
          <w:szCs w:val="18"/>
          <w:lang w:val="en"/>
        </w:rPr>
        <w:t>.</w:t>
      </w:r>
      <w:bookmarkEnd w:id="21"/>
      <w:r w:rsidRPr="001F6506">
        <w:rPr>
          <w:rFonts w:ascii="Arial" w:hAnsi="Arial" w:cs="Arial"/>
          <w:bCs/>
          <w:i/>
          <w:sz w:val="18"/>
          <w:szCs w:val="18"/>
          <w:lang w:val="en"/>
        </w:rPr>
        <w:t xml:space="preserve">  All such forward-looking information is based on certain assumptions and analyses made by</w:t>
      </w:r>
      <w:r>
        <w:rPr>
          <w:rFonts w:ascii="Arial" w:hAnsi="Arial" w:cs="Arial"/>
          <w:bCs/>
          <w:i/>
          <w:sz w:val="18"/>
          <w:szCs w:val="18"/>
          <w:lang w:val="en"/>
        </w:rPr>
        <w:t xml:space="preserve"> the Company</w:t>
      </w:r>
      <w:r w:rsidRPr="001F6506">
        <w:rPr>
          <w:rFonts w:ascii="Arial" w:hAnsi="Arial" w:cs="Arial"/>
          <w:bCs/>
          <w:i/>
          <w:sz w:val="18"/>
          <w:szCs w:val="18"/>
          <w:lang w:val="en"/>
        </w:rPr>
        <w:t xml:space="preserve"> in light of their experience and perception of historical trends, current conditions and expected future developments, as well as other factors management believes are appropriate in the circumstances. This information, however, is subject to a variety of </w:t>
      </w:r>
      <w:bookmarkStart w:id="22" w:name="_9kMHG5YVt4666BHfQy12tptbgvn3J3t7JF1C"/>
      <w:bookmarkStart w:id="23" w:name="_9kMHG5YVt4666GIbQy12tptbgvn3J3t7JF1C"/>
      <w:r w:rsidRPr="001F6506">
        <w:rPr>
          <w:rFonts w:ascii="Arial" w:hAnsi="Arial" w:cs="Arial"/>
          <w:bCs/>
          <w:i/>
          <w:sz w:val="18"/>
          <w:szCs w:val="18"/>
          <w:lang w:val="en"/>
        </w:rPr>
        <w:t xml:space="preserve">risks and </w:t>
      </w:r>
      <w:bookmarkEnd w:id="22"/>
      <w:bookmarkEnd w:id="23"/>
      <w:r w:rsidRPr="001F6506">
        <w:rPr>
          <w:rFonts w:ascii="Arial" w:hAnsi="Arial" w:cs="Arial"/>
          <w:bCs/>
          <w:i/>
          <w:sz w:val="18"/>
          <w:szCs w:val="18"/>
          <w:lang w:val="en"/>
        </w:rPr>
        <w:t>information.</w:t>
      </w:r>
      <w:bookmarkStart w:id="24" w:name="_Hlk187568465"/>
      <w:bookmarkEnd w:id="24"/>
    </w:p>
    <w:sectPr w:rsidR="00A80F8E" w:rsidRPr="00D426BC" w:rsidSect="007B5628">
      <w:footerReference w:type="default" r:id="rId15"/>
      <w:footerReference w:type="first" r:id="rId16"/>
      <w:pgSz w:w="12240" w:h="15840"/>
      <w:pgMar w:top="423" w:right="720" w:bottom="720" w:left="720"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8C9B2D" w14:textId="77777777" w:rsidR="007F1C1A" w:rsidRDefault="007F1C1A" w:rsidP="005300DB">
      <w:r>
        <w:separator/>
      </w:r>
    </w:p>
  </w:endnote>
  <w:endnote w:type="continuationSeparator" w:id="0">
    <w:p w14:paraId="43471FC5" w14:textId="77777777" w:rsidR="007F1C1A" w:rsidRDefault="007F1C1A" w:rsidP="005300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FD1798" w14:textId="599EFBC8" w:rsidR="00C158E3" w:rsidRDefault="007B5628">
    <w:pPr>
      <w:pStyle w:val="Footer"/>
    </w:pPr>
    <w:r>
      <w:rPr>
        <w:noProof/>
        <w:sz w:val="20"/>
        <w:szCs w:val="20"/>
      </w:rPr>
      <mc:AlternateContent>
        <mc:Choice Requires="wps">
          <w:drawing>
            <wp:anchor distT="0" distB="0" distL="114300" distR="114300" simplePos="0" relativeHeight="251657216" behindDoc="0" locked="0" layoutInCell="1" allowOverlap="1" wp14:anchorId="66326071" wp14:editId="35AAB9AD">
              <wp:simplePos x="0" y="0"/>
              <wp:positionH relativeFrom="column">
                <wp:posOffset>4402183</wp:posOffset>
              </wp:positionH>
              <wp:positionV relativeFrom="paragraph">
                <wp:posOffset>175895</wp:posOffset>
              </wp:positionV>
              <wp:extent cx="2286000" cy="24384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2286000" cy="243840"/>
                      </a:xfrm>
                      <a:prstGeom prst="rect">
                        <a:avLst/>
                      </a:prstGeom>
                      <a:noFill/>
                      <a:ln>
                        <a:noFill/>
                      </a:ln>
                      <a:effectLst/>
                      <a:extLst>
                        <a:ext uri="{C572A759-6A51-4108-AA02-DFA0A04FC94B}">
                          <ma14:wrappingTextBoxFlag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5B5D7133" w14:textId="77777777" w:rsidR="007B5628" w:rsidRPr="00C158E3" w:rsidRDefault="007B5628" w:rsidP="007B5628">
                          <w:pPr>
                            <w:spacing w:line="360" w:lineRule="auto"/>
                            <w:jc w:val="right"/>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326071" id="_x0000_t202" coordsize="21600,21600" o:spt="202" path="m,l,21600r21600,l21600,xe">
              <v:stroke joinstyle="miter"/>
              <v:path gradientshapeok="t" o:connecttype="rect"/>
            </v:shapetype>
            <v:shape id="Text Box 10" o:spid="_x0000_s1029" type="#_x0000_t202" style="position:absolute;margin-left:346.65pt;margin-top:13.85pt;width:180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" filled="f" stroked="f">
              <v:textbox>
                <w:txbxContent>
                  <w:p w14:paraId="5B5D7133" w14:textId="77777777" w:rsidR="007B5628" w:rsidRPr="00C158E3" w:rsidRDefault="007B5628" w:rsidP="007B5628">
                    <w:pPr>
                      <w:spacing w:line="360" w:lineRule="auto"/>
                      <w:jc w:val="right"/>
                      <w:rPr>
                        <w:rFonts w:ascii="Arial" w:hAnsi="Arial" w:cs="Arial"/>
                        <w:sz w:val="20"/>
                        <w:szCs w:val="20"/>
                      </w:rPr>
                    </w:pPr>
                  </w:p>
                </w:txbxContent>
              </v:textbox>
              <w10:wrap type="square"/>
            </v:shape>
          </w:pict>
        </mc:Fallback>
      </mc:AlternateContent>
    </w:r>
    <w:r w:rsidR="009418E6">
      <w:rPr>
        <w:noProof/>
      </w:rPr>
      <w:pict w14:anchorId="122C62CC">
        <v:shapetype id="_x0000_t202" coordsize="21600,21600" o:spt="202" path="m,l,21600r21600,l21600,xe">
          <v:stroke joinstyle="miter"/>
          <v:path gradientshapeok="t" o:connecttype="rect"/>
        </v:shapetype>
        <v:shape id="zzmpTrailer_1078_19" o:spid="_x0000_s1054" type="#_x0000_t202" style="position:absolute;margin-left:0;margin-top:0;width:201.6pt;height:20.1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" filled="f" stroked="f">
          <v:textbox inset="0,0,0,0">
            <w:txbxContent>
              <w:p w14:paraId="0DC7E99B" w14:textId="377B0C07" w:rsidR="00090D7C" w:rsidRDefault="00090D7C">
                <w:pPr>
                  <w:pStyle w:val="MacPacTrailer"/>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BB9684" w14:textId="7F998153" w:rsidR="00E40A46" w:rsidRDefault="009418E6">
    <w:pPr>
      <w:pStyle w:val="Footer"/>
      <w:ind w:left="-144"/>
    </w:pPr>
    <w:r>
      <w:rPr>
        <w:noProof/>
        <w:lang w:val="en-GB" w:eastAsia="en-GB"/>
      </w:rPr>
      <w:pict w14:anchorId="6656DB49">
        <v:shapetype id="_x0000_t202" coordsize="21600,21600" o:spt="202" path="m,l,21600r21600,l21600,xe">
          <v:stroke joinstyle="miter"/>
          <v:path gradientshapeok="t" o:connecttype="rect"/>
        </v:shapetype>
        <v:shape id="Text Box 1" o:spid="_x0000_s1025" type="#_x0000_t202" style="position:absolute;left:0;text-align:left;margin-left:0;margin-top:0;width:201.6pt;height:50.4pt;z-index:-251658240;visibility:visible;mso-position-horizontal-relative:margin;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" filled="f" stroked="f">
          <o:lock v:ext="edit" aspectratio="t" verticies="t" text="t" shapetype="t"/>
          <v:textbox style="mso-next-textbox:#Text Box 1" inset="0,0,0,0">
            <w:txbxContent>
              <w:p w14:paraId="0A1AA737" w14:textId="77777777" w:rsidR="007B5628" w:rsidRPr="00C158E3" w:rsidRDefault="007B5628" w:rsidP="007B5628">
                <w:pPr>
                  <w:spacing w:line="360" w:lineRule="auto"/>
                  <w:jc w:val="right"/>
                  <w:rPr>
                    <w:rFonts w:ascii="Arial" w:hAnsi="Arial" w:cs="Arial"/>
                    <w:sz w:val="20"/>
                    <w:szCs w:val="20"/>
                  </w:rPr>
                </w:pPr>
              </w:p>
            </w:txbxContent>
          </v:textbox>
          <w10:wrap anchorx="margin" anchory="page"/>
        </v:shape>
      </w:pict>
    </w:r>
    <w:r>
      <w:rPr>
        <w:noProof/>
      </w:rPr>
      <w:pict w14:anchorId="421738B7">
        <v:shape id="_x0000_s1026" type="#_x0000_t202" style="position:absolute;left:0;text-align:left;margin-left:0;margin-top:0;width:1in;height:1in;z-index:251659264">
          <v:textbox>
            <w:txbxContent>
              <w:p w14:paraId="4041F097" w14:textId="77777777" w:rsidR="007B5628" w:rsidRPr="00C158E3" w:rsidRDefault="007B5628" w:rsidP="007B5628">
                <w:pPr>
                  <w:spacing w:line="360" w:lineRule="auto"/>
                  <w:jc w:val="right"/>
                  <w:rPr>
                    <w:rFonts w:ascii="Arial" w:hAnsi="Arial" w:cs="Arial"/>
                    <w:sz w:val="20"/>
                    <w:szCs w:val="20"/>
                  </w:rPr>
                </w:pPr>
              </w:p>
            </w:txbxContent>
          </v:textbox>
        </v:shape>
      </w:pict>
    </w:r>
    <w:r>
      <w:rPr>
        <w:noProof/>
      </w:rPr>
      <w:pict w14:anchorId="76E78833">
        <v:shape id="zzmpTrailer_1078_1B" o:spid="_x0000_s1055" type="#_x0000_t202" style="position:absolute;left:0;text-align:left;margin-left:0;margin-top:0;width:201.6pt;height:20.1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" filled="f" stroked="f">
          <v:textbox inset="0,0,0,0">
            <w:txbxContent>
              <w:p w14:paraId="2B60FCD9" w14:textId="720DC071" w:rsidR="00090D7C" w:rsidRDefault="00090D7C">
                <w:pPr>
                  <w:pStyle w:val="MacPacTrailer"/>
                </w:pPr>
                <w:r>
                  <w:t>LEGAL*67125862.1</w:t>
                </w:r>
              </w:p>
              <w:p w14:paraId="42D0CF19" w14:textId="003C5490" w:rsidR="00090D7C" w:rsidRDefault="00090D7C">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13D0C0" w14:textId="77777777" w:rsidR="007F1C1A" w:rsidRDefault="007F1C1A" w:rsidP="005300DB">
      <w:r>
        <w:separator/>
      </w:r>
    </w:p>
  </w:footnote>
  <w:footnote w:type="continuationSeparator" w:id="0">
    <w:p w14:paraId="6C64B53B" w14:textId="77777777" w:rsidR="007F1C1A" w:rsidRDefault="007F1C1A" w:rsidP="005300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860A7"/>
    <w:multiLevelType w:val="multilevel"/>
    <w:tmpl w:val="69BAA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89D585F"/>
    <w:multiLevelType w:val="multilevel"/>
    <w:tmpl w:val="DEAC01B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 w15:restartNumberingAfterBreak="0">
    <w:nsid w:val="2AC759FA"/>
    <w:multiLevelType w:val="multilevel"/>
    <w:tmpl w:val="128E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3AE4EC3"/>
    <w:multiLevelType w:val="multilevel"/>
    <w:tmpl w:val="8DF80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E6031FF"/>
    <w:multiLevelType w:val="hybridMultilevel"/>
    <w:tmpl w:val="091A6F8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2F03018"/>
    <w:multiLevelType w:val="multilevel"/>
    <w:tmpl w:val="7D34C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58305A2"/>
    <w:multiLevelType w:val="multilevel"/>
    <w:tmpl w:val="901C215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7" w15:restartNumberingAfterBreak="0">
    <w:nsid w:val="4C145C62"/>
    <w:multiLevelType w:val="multilevel"/>
    <w:tmpl w:val="AC8AC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D8934B3"/>
    <w:multiLevelType w:val="multilevel"/>
    <w:tmpl w:val="E016366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num w:numId="1" w16cid:durableId="632948363">
    <w:abstractNumId w:val="4"/>
  </w:num>
  <w:num w:numId="2" w16cid:durableId="1140154765">
    <w:abstractNumId w:val="2"/>
  </w:num>
  <w:num w:numId="3" w16cid:durableId="1975866665">
    <w:abstractNumId w:val="3"/>
  </w:num>
  <w:num w:numId="4" w16cid:durableId="1198934187">
    <w:abstractNumId w:val="6"/>
  </w:num>
  <w:num w:numId="5" w16cid:durableId="1173448688">
    <w:abstractNumId w:val="8"/>
  </w:num>
  <w:num w:numId="6" w16cid:durableId="1002975580">
    <w:abstractNumId w:val="1"/>
  </w:num>
  <w:num w:numId="7" w16cid:durableId="1088309104">
    <w:abstractNumId w:val="5"/>
  </w:num>
  <w:num w:numId="8" w16cid:durableId="713232100">
    <w:abstractNumId w:val="7"/>
  </w:num>
  <w:num w:numId="9" w16cid:durableId="554706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MS_Work10" w:val="0~LEGAL||1~67125862||2~1||3~American Critical Minerals Corp. - News Release - Corporate Update (January 2025)||5~SCOLE||6~SCOLE||7~WORDX||8~DOC||10~1/12/2025 6:00:58 PM||11~1/12/2025 6:00:58 PM||13~66193||14~False||17~public||18~SCOLE||19~SCOLE||21~True||22~True||23~False||25~062036||26~062036-00001||29~SCOLE||53~002||60~AMERICAN CRITICAL MINERALS CORP.||61~CORPORATE AND SECURITIES MATTERS||64~Cole, Sam||72~Business Law||74~Cole, Sam||75~Cole, Sam||76~Microsoft Word DOCX||77~Document||82~docx||85~1/12/2025 6:01:05 PM||99~1/1/0001 12:00:00 AM||106~C:\Users\scole\AppData\Roaming\iManage\Work\Recent\AMERICAN CRITICAL MINERALS CORP. re CORPORATE AND SECURITIES MATTERS - 062036-00001\American Critical Minerals Corp. - News Release - Corporate Update(67125862.1).docx||107~1/1/0001 12:00:00 AM||109~1/12/2025 6:00:59 PM||113~1/12/2025 6:00:58 PM||114~1/12/2025 6:00:58 PM||124~False||"/>
    <w:docVar w:name="ForteTempFile" w:val="C:\Users\Natalie\AppData\Local\Temp\4230e271-e7f3-4da7-8153-6599d259be9e.docx"/>
    <w:docVar w:name="zzmp10LastTrailerInserted" w:val="^`~#mp!@H(B#⌆┘┪24&gt;||řm}ÒQ⌌Ɩ6⌖‪çp-Ï⌈F)h?⌝ª©æ!Ð⌓․&amp;‪HìÄÜ⌟yc@]O⌅⌍Pqx%|ûx&lt;P⌍ƃœt°Ö\yåÍÌH*⌞qj*pëÓ‡Zcæ©ó—±⌒P⌔mÝô@⌠þť¿⌝yÅ|­»i3©•T`k&gt; .⌘£òZÐí-.L•ÂXuť²ù⌇]à*{`]8NH2N011"/>
    <w:docVar w:name="zzmp10LastTrailerInserted_1078" w:val="^`~#mp!@H(B#⌆┘┪24&gt;||řm}ÒQ⌌Ɩ6⌖‪çp-Ï⌈F)h?⌝ª©æ!Ð⌓․&amp;‪HìÄÜ⌟yc@]O⌅⌍Pqx%|ûx&lt;P⌍ƃœt°Ö\yåÍÌH*⌞qj*pëÓ‡Zcæ©ó—±⌒P⌔mÝô@⌠þť¿⌝yÅ|­»i3©•T`k&gt; .⌘£òZÐí-.L•ÂXuť²ù⌇]à*{`]8NH2N011"/>
    <w:docVar w:name="zzmp10mSEGsValidated" w:val="1"/>
    <w:docVar w:name="zzmpCompatibilityMode" w:val="15"/>
    <w:docVar w:name="zzmpLegacyTrailerRemoved" w:val="True"/>
  </w:docVars>
  <w:rsids>
    <w:rsidRoot w:val="00270C74"/>
    <w:rsid w:val="00004B76"/>
    <w:rsid w:val="00005A48"/>
    <w:rsid w:val="000066F4"/>
    <w:rsid w:val="000109CB"/>
    <w:rsid w:val="00014B42"/>
    <w:rsid w:val="00023399"/>
    <w:rsid w:val="00025FDF"/>
    <w:rsid w:val="00035B8D"/>
    <w:rsid w:val="000454D8"/>
    <w:rsid w:val="00053BAD"/>
    <w:rsid w:val="00061454"/>
    <w:rsid w:val="000620FF"/>
    <w:rsid w:val="000758C4"/>
    <w:rsid w:val="00083FE9"/>
    <w:rsid w:val="000869F0"/>
    <w:rsid w:val="00090D7C"/>
    <w:rsid w:val="000947C4"/>
    <w:rsid w:val="00097907"/>
    <w:rsid w:val="00097B96"/>
    <w:rsid w:val="000A4805"/>
    <w:rsid w:val="000A5762"/>
    <w:rsid w:val="000A62FB"/>
    <w:rsid w:val="000A7627"/>
    <w:rsid w:val="000B05D1"/>
    <w:rsid w:val="000B4B76"/>
    <w:rsid w:val="000B5014"/>
    <w:rsid w:val="000C21D5"/>
    <w:rsid w:val="000D0FDB"/>
    <w:rsid w:val="000D696D"/>
    <w:rsid w:val="000E3E66"/>
    <w:rsid w:val="000F1466"/>
    <w:rsid w:val="000F1FA5"/>
    <w:rsid w:val="000F6B6F"/>
    <w:rsid w:val="00113D54"/>
    <w:rsid w:val="001178E7"/>
    <w:rsid w:val="00126CC5"/>
    <w:rsid w:val="0013048F"/>
    <w:rsid w:val="00130FB3"/>
    <w:rsid w:val="00136AAD"/>
    <w:rsid w:val="00146E5E"/>
    <w:rsid w:val="00150A60"/>
    <w:rsid w:val="0015440B"/>
    <w:rsid w:val="00155EBE"/>
    <w:rsid w:val="001676FF"/>
    <w:rsid w:val="001729A9"/>
    <w:rsid w:val="00174EFA"/>
    <w:rsid w:val="001766CB"/>
    <w:rsid w:val="0018514A"/>
    <w:rsid w:val="001867C0"/>
    <w:rsid w:val="00197226"/>
    <w:rsid w:val="001A1106"/>
    <w:rsid w:val="001A2FF4"/>
    <w:rsid w:val="001A7CF0"/>
    <w:rsid w:val="001B2C4C"/>
    <w:rsid w:val="001B4E73"/>
    <w:rsid w:val="001C6BD6"/>
    <w:rsid w:val="001C7259"/>
    <w:rsid w:val="001D18CE"/>
    <w:rsid w:val="001D271C"/>
    <w:rsid w:val="001D4712"/>
    <w:rsid w:val="001D5314"/>
    <w:rsid w:val="001D7E49"/>
    <w:rsid w:val="001E1BDC"/>
    <w:rsid w:val="001F3569"/>
    <w:rsid w:val="00200BF5"/>
    <w:rsid w:val="00207590"/>
    <w:rsid w:val="0021058B"/>
    <w:rsid w:val="002175AC"/>
    <w:rsid w:val="002311C6"/>
    <w:rsid w:val="00231DED"/>
    <w:rsid w:val="0024735E"/>
    <w:rsid w:val="00262B94"/>
    <w:rsid w:val="00262C63"/>
    <w:rsid w:val="00267225"/>
    <w:rsid w:val="00270C74"/>
    <w:rsid w:val="002735DF"/>
    <w:rsid w:val="0027774C"/>
    <w:rsid w:val="002862A3"/>
    <w:rsid w:val="00286909"/>
    <w:rsid w:val="002A16BF"/>
    <w:rsid w:val="002A663B"/>
    <w:rsid w:val="002B26BF"/>
    <w:rsid w:val="002C5D11"/>
    <w:rsid w:val="002D19C5"/>
    <w:rsid w:val="002D5A04"/>
    <w:rsid w:val="002D675A"/>
    <w:rsid w:val="002E5580"/>
    <w:rsid w:val="002F72AA"/>
    <w:rsid w:val="003015B4"/>
    <w:rsid w:val="00302230"/>
    <w:rsid w:val="00304DF4"/>
    <w:rsid w:val="003077D7"/>
    <w:rsid w:val="00313603"/>
    <w:rsid w:val="00315EF7"/>
    <w:rsid w:val="00316842"/>
    <w:rsid w:val="003208CD"/>
    <w:rsid w:val="00322A14"/>
    <w:rsid w:val="0033031F"/>
    <w:rsid w:val="003312E7"/>
    <w:rsid w:val="00332462"/>
    <w:rsid w:val="003445D6"/>
    <w:rsid w:val="00355B7C"/>
    <w:rsid w:val="00355EB6"/>
    <w:rsid w:val="003706DC"/>
    <w:rsid w:val="00370AC5"/>
    <w:rsid w:val="00371F78"/>
    <w:rsid w:val="003767FF"/>
    <w:rsid w:val="00397AC4"/>
    <w:rsid w:val="003A2F2D"/>
    <w:rsid w:val="003A330A"/>
    <w:rsid w:val="003B1985"/>
    <w:rsid w:val="003B206C"/>
    <w:rsid w:val="003B6A6A"/>
    <w:rsid w:val="003B704F"/>
    <w:rsid w:val="003D071B"/>
    <w:rsid w:val="003D6104"/>
    <w:rsid w:val="003E1782"/>
    <w:rsid w:val="003E3E79"/>
    <w:rsid w:val="003F001A"/>
    <w:rsid w:val="003F098F"/>
    <w:rsid w:val="003F7D9B"/>
    <w:rsid w:val="00403902"/>
    <w:rsid w:val="0041364C"/>
    <w:rsid w:val="004148C8"/>
    <w:rsid w:val="00416B97"/>
    <w:rsid w:val="00424672"/>
    <w:rsid w:val="00430417"/>
    <w:rsid w:val="00434718"/>
    <w:rsid w:val="0043630D"/>
    <w:rsid w:val="00443B00"/>
    <w:rsid w:val="00444BD2"/>
    <w:rsid w:val="0044567A"/>
    <w:rsid w:val="00447E32"/>
    <w:rsid w:val="004519E5"/>
    <w:rsid w:val="0045455C"/>
    <w:rsid w:val="00460E53"/>
    <w:rsid w:val="00460F70"/>
    <w:rsid w:val="00463F05"/>
    <w:rsid w:val="00464C1B"/>
    <w:rsid w:val="004771B4"/>
    <w:rsid w:val="00483020"/>
    <w:rsid w:val="00490161"/>
    <w:rsid w:val="004A175C"/>
    <w:rsid w:val="004A3A04"/>
    <w:rsid w:val="004A5359"/>
    <w:rsid w:val="004C5D2B"/>
    <w:rsid w:val="004D2AB1"/>
    <w:rsid w:val="004D63DE"/>
    <w:rsid w:val="004E0C09"/>
    <w:rsid w:val="004E4C18"/>
    <w:rsid w:val="00503492"/>
    <w:rsid w:val="0050378A"/>
    <w:rsid w:val="00505391"/>
    <w:rsid w:val="005064B4"/>
    <w:rsid w:val="00527165"/>
    <w:rsid w:val="005300DB"/>
    <w:rsid w:val="00535CA4"/>
    <w:rsid w:val="0053689E"/>
    <w:rsid w:val="00544411"/>
    <w:rsid w:val="005547DE"/>
    <w:rsid w:val="00565F91"/>
    <w:rsid w:val="0057354B"/>
    <w:rsid w:val="0058235B"/>
    <w:rsid w:val="0058326B"/>
    <w:rsid w:val="00587EB6"/>
    <w:rsid w:val="005903DB"/>
    <w:rsid w:val="005B72A6"/>
    <w:rsid w:val="005C38C4"/>
    <w:rsid w:val="005D006E"/>
    <w:rsid w:val="005D0139"/>
    <w:rsid w:val="005D22DF"/>
    <w:rsid w:val="005D4972"/>
    <w:rsid w:val="005E3250"/>
    <w:rsid w:val="005F10EC"/>
    <w:rsid w:val="005F2EBE"/>
    <w:rsid w:val="005F5F13"/>
    <w:rsid w:val="0060379D"/>
    <w:rsid w:val="0060617D"/>
    <w:rsid w:val="006203F2"/>
    <w:rsid w:val="00621C7A"/>
    <w:rsid w:val="00622A46"/>
    <w:rsid w:val="0062584C"/>
    <w:rsid w:val="00646028"/>
    <w:rsid w:val="00653AA0"/>
    <w:rsid w:val="00656743"/>
    <w:rsid w:val="006579DD"/>
    <w:rsid w:val="00661B8C"/>
    <w:rsid w:val="00667EAB"/>
    <w:rsid w:val="006711A0"/>
    <w:rsid w:val="0067431A"/>
    <w:rsid w:val="00676BAD"/>
    <w:rsid w:val="00681653"/>
    <w:rsid w:val="006940FD"/>
    <w:rsid w:val="0069535E"/>
    <w:rsid w:val="006B3D64"/>
    <w:rsid w:val="006B44D2"/>
    <w:rsid w:val="006C61EC"/>
    <w:rsid w:val="006D0CB5"/>
    <w:rsid w:val="006D4ED8"/>
    <w:rsid w:val="006F6E66"/>
    <w:rsid w:val="006F7228"/>
    <w:rsid w:val="006F78CB"/>
    <w:rsid w:val="0070116A"/>
    <w:rsid w:val="00720EAD"/>
    <w:rsid w:val="0072137C"/>
    <w:rsid w:val="00725621"/>
    <w:rsid w:val="00732A27"/>
    <w:rsid w:val="00732F78"/>
    <w:rsid w:val="007405E3"/>
    <w:rsid w:val="007432E3"/>
    <w:rsid w:val="00745626"/>
    <w:rsid w:val="007618C2"/>
    <w:rsid w:val="007622FB"/>
    <w:rsid w:val="00766CDD"/>
    <w:rsid w:val="00783265"/>
    <w:rsid w:val="007948B3"/>
    <w:rsid w:val="007A3F7F"/>
    <w:rsid w:val="007B0875"/>
    <w:rsid w:val="007B5628"/>
    <w:rsid w:val="007B59FF"/>
    <w:rsid w:val="007C5E11"/>
    <w:rsid w:val="007C7B0A"/>
    <w:rsid w:val="007D2980"/>
    <w:rsid w:val="007D67AF"/>
    <w:rsid w:val="007E2006"/>
    <w:rsid w:val="007E3438"/>
    <w:rsid w:val="007E4F3F"/>
    <w:rsid w:val="007F1C1A"/>
    <w:rsid w:val="007F453E"/>
    <w:rsid w:val="00803CD6"/>
    <w:rsid w:val="00814837"/>
    <w:rsid w:val="00815707"/>
    <w:rsid w:val="00815B83"/>
    <w:rsid w:val="00815F27"/>
    <w:rsid w:val="008160A1"/>
    <w:rsid w:val="00824421"/>
    <w:rsid w:val="00830873"/>
    <w:rsid w:val="00831616"/>
    <w:rsid w:val="00831CCE"/>
    <w:rsid w:val="00833C30"/>
    <w:rsid w:val="00835348"/>
    <w:rsid w:val="00843276"/>
    <w:rsid w:val="0085051B"/>
    <w:rsid w:val="00863710"/>
    <w:rsid w:val="00864B1D"/>
    <w:rsid w:val="00875627"/>
    <w:rsid w:val="008769E2"/>
    <w:rsid w:val="008A1C55"/>
    <w:rsid w:val="008A43C3"/>
    <w:rsid w:val="008B2F7C"/>
    <w:rsid w:val="008B37FA"/>
    <w:rsid w:val="008D3784"/>
    <w:rsid w:val="008E2210"/>
    <w:rsid w:val="008E389B"/>
    <w:rsid w:val="008F0A60"/>
    <w:rsid w:val="0090694A"/>
    <w:rsid w:val="00907C1C"/>
    <w:rsid w:val="00922965"/>
    <w:rsid w:val="009319F3"/>
    <w:rsid w:val="0093287D"/>
    <w:rsid w:val="009418E6"/>
    <w:rsid w:val="00941A80"/>
    <w:rsid w:val="0094306E"/>
    <w:rsid w:val="0095079B"/>
    <w:rsid w:val="0095260C"/>
    <w:rsid w:val="00956433"/>
    <w:rsid w:val="00956B5E"/>
    <w:rsid w:val="00961196"/>
    <w:rsid w:val="009A3128"/>
    <w:rsid w:val="009C1F66"/>
    <w:rsid w:val="009C321F"/>
    <w:rsid w:val="009C5503"/>
    <w:rsid w:val="009C74E4"/>
    <w:rsid w:val="009D3EA4"/>
    <w:rsid w:val="009D6C7D"/>
    <w:rsid w:val="009E269E"/>
    <w:rsid w:val="009E3F4B"/>
    <w:rsid w:val="009E4223"/>
    <w:rsid w:val="009F7037"/>
    <w:rsid w:val="00A03E39"/>
    <w:rsid w:val="00A16BBB"/>
    <w:rsid w:val="00A2361B"/>
    <w:rsid w:val="00A24302"/>
    <w:rsid w:val="00A30EA2"/>
    <w:rsid w:val="00A5169B"/>
    <w:rsid w:val="00A52652"/>
    <w:rsid w:val="00A53AB4"/>
    <w:rsid w:val="00A656AA"/>
    <w:rsid w:val="00A67479"/>
    <w:rsid w:val="00A769BD"/>
    <w:rsid w:val="00A76EB4"/>
    <w:rsid w:val="00A770DD"/>
    <w:rsid w:val="00A80CAF"/>
    <w:rsid w:val="00A80F3B"/>
    <w:rsid w:val="00A80F8E"/>
    <w:rsid w:val="00A8619A"/>
    <w:rsid w:val="00A91157"/>
    <w:rsid w:val="00A92C29"/>
    <w:rsid w:val="00A935E6"/>
    <w:rsid w:val="00A96951"/>
    <w:rsid w:val="00AA0325"/>
    <w:rsid w:val="00AA5485"/>
    <w:rsid w:val="00AB0116"/>
    <w:rsid w:val="00AB3E84"/>
    <w:rsid w:val="00AB4783"/>
    <w:rsid w:val="00AC0DBA"/>
    <w:rsid w:val="00AC5496"/>
    <w:rsid w:val="00AC5A09"/>
    <w:rsid w:val="00AD40E1"/>
    <w:rsid w:val="00AD50F3"/>
    <w:rsid w:val="00AD6824"/>
    <w:rsid w:val="00AD694E"/>
    <w:rsid w:val="00AD6AA6"/>
    <w:rsid w:val="00AE164E"/>
    <w:rsid w:val="00AE49E9"/>
    <w:rsid w:val="00AF220B"/>
    <w:rsid w:val="00AF7B0C"/>
    <w:rsid w:val="00B021BA"/>
    <w:rsid w:val="00B02C79"/>
    <w:rsid w:val="00B034A0"/>
    <w:rsid w:val="00B123A3"/>
    <w:rsid w:val="00B20427"/>
    <w:rsid w:val="00B227E4"/>
    <w:rsid w:val="00B25245"/>
    <w:rsid w:val="00B31FFF"/>
    <w:rsid w:val="00B354A9"/>
    <w:rsid w:val="00B4160C"/>
    <w:rsid w:val="00B42139"/>
    <w:rsid w:val="00B44F77"/>
    <w:rsid w:val="00B54573"/>
    <w:rsid w:val="00B55BD7"/>
    <w:rsid w:val="00B621CF"/>
    <w:rsid w:val="00B664AC"/>
    <w:rsid w:val="00B77512"/>
    <w:rsid w:val="00B80CC2"/>
    <w:rsid w:val="00B86D32"/>
    <w:rsid w:val="00B91EA6"/>
    <w:rsid w:val="00B956EE"/>
    <w:rsid w:val="00B958FC"/>
    <w:rsid w:val="00B95B2E"/>
    <w:rsid w:val="00BA4709"/>
    <w:rsid w:val="00BB0E9C"/>
    <w:rsid w:val="00BB1ADD"/>
    <w:rsid w:val="00BC0A82"/>
    <w:rsid w:val="00BC298C"/>
    <w:rsid w:val="00BD289E"/>
    <w:rsid w:val="00BE2F37"/>
    <w:rsid w:val="00BE61F3"/>
    <w:rsid w:val="00C00151"/>
    <w:rsid w:val="00C06118"/>
    <w:rsid w:val="00C06FC6"/>
    <w:rsid w:val="00C1151E"/>
    <w:rsid w:val="00C154BA"/>
    <w:rsid w:val="00C158E3"/>
    <w:rsid w:val="00C45E11"/>
    <w:rsid w:val="00C51459"/>
    <w:rsid w:val="00C519B7"/>
    <w:rsid w:val="00C56E21"/>
    <w:rsid w:val="00C5752C"/>
    <w:rsid w:val="00C609A4"/>
    <w:rsid w:val="00C62CE6"/>
    <w:rsid w:val="00C64A31"/>
    <w:rsid w:val="00C653CB"/>
    <w:rsid w:val="00C66F50"/>
    <w:rsid w:val="00C747F4"/>
    <w:rsid w:val="00C74D92"/>
    <w:rsid w:val="00C81817"/>
    <w:rsid w:val="00C8675D"/>
    <w:rsid w:val="00C90336"/>
    <w:rsid w:val="00C918A3"/>
    <w:rsid w:val="00CA3E44"/>
    <w:rsid w:val="00CA6E0C"/>
    <w:rsid w:val="00CB2260"/>
    <w:rsid w:val="00CB28DB"/>
    <w:rsid w:val="00CB5740"/>
    <w:rsid w:val="00CC3F09"/>
    <w:rsid w:val="00CC3F85"/>
    <w:rsid w:val="00CC706E"/>
    <w:rsid w:val="00CD1AE0"/>
    <w:rsid w:val="00CD5FAC"/>
    <w:rsid w:val="00CE1698"/>
    <w:rsid w:val="00CE5198"/>
    <w:rsid w:val="00CE5A06"/>
    <w:rsid w:val="00CF405C"/>
    <w:rsid w:val="00D076AE"/>
    <w:rsid w:val="00D07DC4"/>
    <w:rsid w:val="00D10B65"/>
    <w:rsid w:val="00D2124D"/>
    <w:rsid w:val="00D25343"/>
    <w:rsid w:val="00D257B1"/>
    <w:rsid w:val="00D34199"/>
    <w:rsid w:val="00D41DB5"/>
    <w:rsid w:val="00D426BC"/>
    <w:rsid w:val="00D50C45"/>
    <w:rsid w:val="00D51AC7"/>
    <w:rsid w:val="00D60289"/>
    <w:rsid w:val="00D61D90"/>
    <w:rsid w:val="00D64B5F"/>
    <w:rsid w:val="00D75349"/>
    <w:rsid w:val="00D77AE5"/>
    <w:rsid w:val="00D80BED"/>
    <w:rsid w:val="00D9654B"/>
    <w:rsid w:val="00DC05A3"/>
    <w:rsid w:val="00DC3379"/>
    <w:rsid w:val="00DC7428"/>
    <w:rsid w:val="00DD20E2"/>
    <w:rsid w:val="00DD4583"/>
    <w:rsid w:val="00DD7A94"/>
    <w:rsid w:val="00DE72ED"/>
    <w:rsid w:val="00E01229"/>
    <w:rsid w:val="00E0391F"/>
    <w:rsid w:val="00E174B6"/>
    <w:rsid w:val="00E26216"/>
    <w:rsid w:val="00E278CB"/>
    <w:rsid w:val="00E27CD4"/>
    <w:rsid w:val="00E404D9"/>
    <w:rsid w:val="00E40A46"/>
    <w:rsid w:val="00E513CC"/>
    <w:rsid w:val="00E73556"/>
    <w:rsid w:val="00E7362A"/>
    <w:rsid w:val="00E76581"/>
    <w:rsid w:val="00E777A6"/>
    <w:rsid w:val="00E77E6C"/>
    <w:rsid w:val="00E8740A"/>
    <w:rsid w:val="00E925B1"/>
    <w:rsid w:val="00E9585D"/>
    <w:rsid w:val="00E96226"/>
    <w:rsid w:val="00EA50B2"/>
    <w:rsid w:val="00EA789C"/>
    <w:rsid w:val="00EB0DF3"/>
    <w:rsid w:val="00EB4FDB"/>
    <w:rsid w:val="00EB6FA0"/>
    <w:rsid w:val="00EB793E"/>
    <w:rsid w:val="00EC1771"/>
    <w:rsid w:val="00ED23D7"/>
    <w:rsid w:val="00EF0509"/>
    <w:rsid w:val="00EF10EF"/>
    <w:rsid w:val="00F0367F"/>
    <w:rsid w:val="00F1229D"/>
    <w:rsid w:val="00F13ABE"/>
    <w:rsid w:val="00F16067"/>
    <w:rsid w:val="00F16EB0"/>
    <w:rsid w:val="00F1710E"/>
    <w:rsid w:val="00F2409D"/>
    <w:rsid w:val="00F30D91"/>
    <w:rsid w:val="00F30DA3"/>
    <w:rsid w:val="00F42192"/>
    <w:rsid w:val="00F427D9"/>
    <w:rsid w:val="00F44EBB"/>
    <w:rsid w:val="00F52249"/>
    <w:rsid w:val="00F6137D"/>
    <w:rsid w:val="00F62437"/>
    <w:rsid w:val="00F632B0"/>
    <w:rsid w:val="00F65D37"/>
    <w:rsid w:val="00F72FFD"/>
    <w:rsid w:val="00F7618B"/>
    <w:rsid w:val="00F7796E"/>
    <w:rsid w:val="00F8006D"/>
    <w:rsid w:val="00F92B68"/>
    <w:rsid w:val="00F935B5"/>
    <w:rsid w:val="00F97E59"/>
    <w:rsid w:val="00FA6787"/>
    <w:rsid w:val="00FC10BA"/>
    <w:rsid w:val="00FC7A6C"/>
    <w:rsid w:val="00FE3EF3"/>
    <w:rsid w:val="00FE4A31"/>
    <w:rsid w:val="00FF0184"/>
    <w:rsid w:val="00FF0483"/>
    <w:rsid w:val="00FF16BD"/>
    <w:rsid w:val="00FF61B7"/>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CF19FF"/>
  <w14:defaultImageDpi w14:val="330"/>
  <w15:docId w15:val="{902C8438-3F81-49B4-9F6F-D40D47949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0DB"/>
    <w:pPr>
      <w:tabs>
        <w:tab w:val="center" w:pos="4320"/>
        <w:tab w:val="right" w:pos="8640"/>
      </w:tabs>
    </w:pPr>
  </w:style>
  <w:style w:type="character" w:customStyle="1" w:styleId="HeaderChar">
    <w:name w:val="Header Char"/>
    <w:basedOn w:val="DefaultParagraphFont"/>
    <w:link w:val="Header"/>
    <w:uiPriority w:val="99"/>
    <w:rsid w:val="005300DB"/>
  </w:style>
  <w:style w:type="paragraph" w:styleId="Footer">
    <w:name w:val="footer"/>
    <w:basedOn w:val="Normal"/>
    <w:link w:val="FooterChar"/>
    <w:uiPriority w:val="99"/>
    <w:unhideWhenUsed/>
    <w:rsid w:val="005300DB"/>
    <w:pPr>
      <w:tabs>
        <w:tab w:val="center" w:pos="4320"/>
        <w:tab w:val="right" w:pos="8640"/>
      </w:tabs>
    </w:pPr>
  </w:style>
  <w:style w:type="character" w:customStyle="1" w:styleId="FooterChar">
    <w:name w:val="Footer Char"/>
    <w:basedOn w:val="DefaultParagraphFont"/>
    <w:link w:val="Footer"/>
    <w:uiPriority w:val="99"/>
    <w:rsid w:val="005300DB"/>
  </w:style>
  <w:style w:type="character" w:styleId="Hyperlink">
    <w:name w:val="Hyperlink"/>
    <w:basedOn w:val="DefaultParagraphFont"/>
    <w:uiPriority w:val="99"/>
    <w:unhideWhenUsed/>
    <w:rsid w:val="00E925B1"/>
    <w:rPr>
      <w:color w:val="0000FF" w:themeColor="hyperlink"/>
      <w:u w:val="single"/>
    </w:rPr>
  </w:style>
  <w:style w:type="character" w:customStyle="1" w:styleId="UnresolvedMention1">
    <w:name w:val="Unresolved Mention1"/>
    <w:basedOn w:val="DefaultParagraphFont"/>
    <w:uiPriority w:val="99"/>
    <w:semiHidden/>
    <w:unhideWhenUsed/>
    <w:rsid w:val="004D2AB1"/>
    <w:rPr>
      <w:color w:val="605E5C"/>
      <w:shd w:val="clear" w:color="auto" w:fill="E1DFDD"/>
    </w:rPr>
  </w:style>
  <w:style w:type="paragraph" w:styleId="NormalWeb">
    <w:name w:val="Normal (Web)"/>
    <w:basedOn w:val="Normal"/>
    <w:uiPriority w:val="99"/>
    <w:semiHidden/>
    <w:unhideWhenUsed/>
    <w:rsid w:val="00C158E3"/>
    <w:pPr>
      <w:spacing w:before="100" w:beforeAutospacing="1" w:after="100" w:afterAutospacing="1"/>
    </w:pPr>
    <w:rPr>
      <w:rFonts w:ascii="Times New Roman" w:eastAsia="Times New Roman" w:hAnsi="Times New Roman" w:cs="Times New Roman"/>
      <w:lang w:val="en-CA"/>
    </w:rPr>
  </w:style>
  <w:style w:type="paragraph" w:styleId="BodyText">
    <w:name w:val="Body Text"/>
    <w:basedOn w:val="Normal"/>
    <w:link w:val="BodyTextChar"/>
    <w:qFormat/>
    <w:rsid w:val="00A80F8E"/>
    <w:pPr>
      <w:spacing w:after="240"/>
      <w:jc w:val="both"/>
    </w:pPr>
    <w:rPr>
      <w:rFonts w:ascii="Times New Roman" w:eastAsia="Times New Roman" w:hAnsi="Times New Roman" w:cs="Times New Roman"/>
    </w:rPr>
  </w:style>
  <w:style w:type="character" w:customStyle="1" w:styleId="BodyTextChar">
    <w:name w:val="Body Text Char"/>
    <w:basedOn w:val="DefaultParagraphFont"/>
    <w:link w:val="BodyText"/>
    <w:rsid w:val="00A80F8E"/>
    <w:rPr>
      <w:rFonts w:ascii="Times New Roman" w:eastAsia="Times New Roman" w:hAnsi="Times New Roman" w:cs="Times New Roman"/>
    </w:rPr>
  </w:style>
  <w:style w:type="paragraph" w:customStyle="1" w:styleId="MacPacTrailer">
    <w:name w:val="MacPac Trailer"/>
    <w:rsid w:val="00090D7C"/>
    <w:pPr>
      <w:widowControl w:val="0"/>
      <w:spacing w:line="200" w:lineRule="exact"/>
    </w:pPr>
    <w:rPr>
      <w:rFonts w:ascii="Arial" w:eastAsia="Times New Roman" w:hAnsi="Arial" w:cs="Times New Roman"/>
      <w:sz w:val="16"/>
      <w:szCs w:val="22"/>
    </w:rPr>
  </w:style>
  <w:style w:type="character" w:styleId="PlaceholderText">
    <w:name w:val="Placeholder Text"/>
    <w:basedOn w:val="DefaultParagraphFont"/>
    <w:uiPriority w:val="99"/>
    <w:semiHidden/>
    <w:rsid w:val="00424672"/>
    <w:rPr>
      <w:color w:val="808080"/>
    </w:rPr>
  </w:style>
  <w:style w:type="character" w:styleId="UnresolvedMention">
    <w:name w:val="Unresolved Mention"/>
    <w:basedOn w:val="DefaultParagraphFont"/>
    <w:uiPriority w:val="99"/>
    <w:semiHidden/>
    <w:unhideWhenUsed/>
    <w:rsid w:val="00667EAB"/>
    <w:rPr>
      <w:color w:val="605E5C"/>
      <w:shd w:val="clear" w:color="auto" w:fill="E1DFDD"/>
    </w:rPr>
  </w:style>
  <w:style w:type="character" w:styleId="FollowedHyperlink">
    <w:name w:val="FollowedHyperlink"/>
    <w:basedOn w:val="DefaultParagraphFont"/>
    <w:uiPriority w:val="99"/>
    <w:semiHidden/>
    <w:unhideWhenUsed/>
    <w:rsid w:val="00B95B2E"/>
    <w:rPr>
      <w:color w:val="800080" w:themeColor="followedHyperlink"/>
      <w:u w:val="single"/>
    </w:rPr>
  </w:style>
  <w:style w:type="paragraph" w:styleId="ListParagraph">
    <w:name w:val="List Paragraph"/>
    <w:basedOn w:val="Normal"/>
    <w:uiPriority w:val="34"/>
    <w:qFormat/>
    <w:rsid w:val="007D67AF"/>
    <w:pPr>
      <w:ind w:left="720"/>
      <w:contextualSpacing/>
    </w:pPr>
  </w:style>
  <w:style w:type="paragraph" w:styleId="Revision">
    <w:name w:val="Revision"/>
    <w:hidden/>
    <w:uiPriority w:val="99"/>
    <w:semiHidden/>
    <w:rsid w:val="001867C0"/>
  </w:style>
  <w:style w:type="character" w:styleId="Strong">
    <w:name w:val="Strong"/>
    <w:basedOn w:val="DefaultParagraphFont"/>
    <w:uiPriority w:val="22"/>
    <w:qFormat/>
    <w:rsid w:val="004136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028274">
      <w:bodyDiv w:val="1"/>
      <w:marLeft w:val="0"/>
      <w:marRight w:val="0"/>
      <w:marTop w:val="0"/>
      <w:marBottom w:val="0"/>
      <w:divBdr>
        <w:top w:val="none" w:sz="0" w:space="0" w:color="auto"/>
        <w:left w:val="none" w:sz="0" w:space="0" w:color="auto"/>
        <w:bottom w:val="none" w:sz="0" w:space="0" w:color="auto"/>
        <w:right w:val="none" w:sz="0" w:space="0" w:color="auto"/>
      </w:divBdr>
    </w:div>
    <w:div w:id="54210157">
      <w:bodyDiv w:val="1"/>
      <w:marLeft w:val="0"/>
      <w:marRight w:val="0"/>
      <w:marTop w:val="0"/>
      <w:marBottom w:val="0"/>
      <w:divBdr>
        <w:top w:val="none" w:sz="0" w:space="0" w:color="auto"/>
        <w:left w:val="none" w:sz="0" w:space="0" w:color="auto"/>
        <w:bottom w:val="none" w:sz="0" w:space="0" w:color="auto"/>
        <w:right w:val="none" w:sz="0" w:space="0" w:color="auto"/>
      </w:divBdr>
    </w:div>
    <w:div w:id="69886035">
      <w:bodyDiv w:val="1"/>
      <w:marLeft w:val="0"/>
      <w:marRight w:val="0"/>
      <w:marTop w:val="0"/>
      <w:marBottom w:val="0"/>
      <w:divBdr>
        <w:top w:val="none" w:sz="0" w:space="0" w:color="auto"/>
        <w:left w:val="none" w:sz="0" w:space="0" w:color="auto"/>
        <w:bottom w:val="none" w:sz="0" w:space="0" w:color="auto"/>
        <w:right w:val="none" w:sz="0" w:space="0" w:color="auto"/>
      </w:divBdr>
    </w:div>
    <w:div w:id="120997671">
      <w:bodyDiv w:val="1"/>
      <w:marLeft w:val="0"/>
      <w:marRight w:val="0"/>
      <w:marTop w:val="0"/>
      <w:marBottom w:val="0"/>
      <w:divBdr>
        <w:top w:val="none" w:sz="0" w:space="0" w:color="auto"/>
        <w:left w:val="none" w:sz="0" w:space="0" w:color="auto"/>
        <w:bottom w:val="none" w:sz="0" w:space="0" w:color="auto"/>
        <w:right w:val="none" w:sz="0" w:space="0" w:color="auto"/>
      </w:divBdr>
    </w:div>
    <w:div w:id="184365468">
      <w:bodyDiv w:val="1"/>
      <w:marLeft w:val="0"/>
      <w:marRight w:val="0"/>
      <w:marTop w:val="0"/>
      <w:marBottom w:val="0"/>
      <w:divBdr>
        <w:top w:val="none" w:sz="0" w:space="0" w:color="auto"/>
        <w:left w:val="none" w:sz="0" w:space="0" w:color="auto"/>
        <w:bottom w:val="none" w:sz="0" w:space="0" w:color="auto"/>
        <w:right w:val="none" w:sz="0" w:space="0" w:color="auto"/>
      </w:divBdr>
    </w:div>
    <w:div w:id="282344907">
      <w:bodyDiv w:val="1"/>
      <w:marLeft w:val="0"/>
      <w:marRight w:val="0"/>
      <w:marTop w:val="0"/>
      <w:marBottom w:val="0"/>
      <w:divBdr>
        <w:top w:val="none" w:sz="0" w:space="0" w:color="auto"/>
        <w:left w:val="none" w:sz="0" w:space="0" w:color="auto"/>
        <w:bottom w:val="none" w:sz="0" w:space="0" w:color="auto"/>
        <w:right w:val="none" w:sz="0" w:space="0" w:color="auto"/>
      </w:divBdr>
    </w:div>
    <w:div w:id="411972604">
      <w:bodyDiv w:val="1"/>
      <w:marLeft w:val="0"/>
      <w:marRight w:val="0"/>
      <w:marTop w:val="0"/>
      <w:marBottom w:val="0"/>
      <w:divBdr>
        <w:top w:val="none" w:sz="0" w:space="0" w:color="auto"/>
        <w:left w:val="none" w:sz="0" w:space="0" w:color="auto"/>
        <w:bottom w:val="none" w:sz="0" w:space="0" w:color="auto"/>
        <w:right w:val="none" w:sz="0" w:space="0" w:color="auto"/>
      </w:divBdr>
    </w:div>
    <w:div w:id="565576970">
      <w:bodyDiv w:val="1"/>
      <w:marLeft w:val="0"/>
      <w:marRight w:val="0"/>
      <w:marTop w:val="0"/>
      <w:marBottom w:val="0"/>
      <w:divBdr>
        <w:top w:val="none" w:sz="0" w:space="0" w:color="auto"/>
        <w:left w:val="none" w:sz="0" w:space="0" w:color="auto"/>
        <w:bottom w:val="none" w:sz="0" w:space="0" w:color="auto"/>
        <w:right w:val="none" w:sz="0" w:space="0" w:color="auto"/>
      </w:divBdr>
    </w:div>
    <w:div w:id="810758020">
      <w:bodyDiv w:val="1"/>
      <w:marLeft w:val="0"/>
      <w:marRight w:val="0"/>
      <w:marTop w:val="0"/>
      <w:marBottom w:val="0"/>
      <w:divBdr>
        <w:top w:val="none" w:sz="0" w:space="0" w:color="auto"/>
        <w:left w:val="none" w:sz="0" w:space="0" w:color="auto"/>
        <w:bottom w:val="none" w:sz="0" w:space="0" w:color="auto"/>
        <w:right w:val="none" w:sz="0" w:space="0" w:color="auto"/>
      </w:divBdr>
    </w:div>
    <w:div w:id="918363913">
      <w:bodyDiv w:val="1"/>
      <w:marLeft w:val="0"/>
      <w:marRight w:val="0"/>
      <w:marTop w:val="0"/>
      <w:marBottom w:val="0"/>
      <w:divBdr>
        <w:top w:val="none" w:sz="0" w:space="0" w:color="auto"/>
        <w:left w:val="none" w:sz="0" w:space="0" w:color="auto"/>
        <w:bottom w:val="none" w:sz="0" w:space="0" w:color="auto"/>
        <w:right w:val="none" w:sz="0" w:space="0" w:color="auto"/>
      </w:divBdr>
    </w:div>
    <w:div w:id="1250456815">
      <w:bodyDiv w:val="1"/>
      <w:marLeft w:val="0"/>
      <w:marRight w:val="0"/>
      <w:marTop w:val="0"/>
      <w:marBottom w:val="0"/>
      <w:divBdr>
        <w:top w:val="none" w:sz="0" w:space="0" w:color="auto"/>
        <w:left w:val="none" w:sz="0" w:space="0" w:color="auto"/>
        <w:bottom w:val="none" w:sz="0" w:space="0" w:color="auto"/>
        <w:right w:val="none" w:sz="0" w:space="0" w:color="auto"/>
      </w:divBdr>
    </w:div>
    <w:div w:id="1553541287">
      <w:bodyDiv w:val="1"/>
      <w:marLeft w:val="0"/>
      <w:marRight w:val="0"/>
      <w:marTop w:val="0"/>
      <w:marBottom w:val="0"/>
      <w:divBdr>
        <w:top w:val="none" w:sz="0" w:space="0" w:color="auto"/>
        <w:left w:val="none" w:sz="0" w:space="0" w:color="auto"/>
        <w:bottom w:val="none" w:sz="0" w:space="0" w:color="auto"/>
        <w:right w:val="none" w:sz="0" w:space="0" w:color="auto"/>
      </w:divBdr>
    </w:div>
    <w:div w:id="1571454959">
      <w:bodyDiv w:val="1"/>
      <w:marLeft w:val="0"/>
      <w:marRight w:val="0"/>
      <w:marTop w:val="0"/>
      <w:marBottom w:val="0"/>
      <w:divBdr>
        <w:top w:val="none" w:sz="0" w:space="0" w:color="auto"/>
        <w:left w:val="none" w:sz="0" w:space="0" w:color="auto"/>
        <w:bottom w:val="none" w:sz="0" w:space="0" w:color="auto"/>
        <w:right w:val="none" w:sz="0" w:space="0" w:color="auto"/>
      </w:divBdr>
    </w:div>
    <w:div w:id="1586723559">
      <w:bodyDiv w:val="1"/>
      <w:marLeft w:val="0"/>
      <w:marRight w:val="0"/>
      <w:marTop w:val="0"/>
      <w:marBottom w:val="0"/>
      <w:divBdr>
        <w:top w:val="none" w:sz="0" w:space="0" w:color="auto"/>
        <w:left w:val="none" w:sz="0" w:space="0" w:color="auto"/>
        <w:bottom w:val="none" w:sz="0" w:space="0" w:color="auto"/>
        <w:right w:val="none" w:sz="0" w:space="0" w:color="auto"/>
      </w:divBdr>
    </w:div>
    <w:div w:id="1792433184">
      <w:bodyDiv w:val="1"/>
      <w:marLeft w:val="0"/>
      <w:marRight w:val="0"/>
      <w:marTop w:val="0"/>
      <w:marBottom w:val="0"/>
      <w:divBdr>
        <w:top w:val="none" w:sz="0" w:space="0" w:color="auto"/>
        <w:left w:val="none" w:sz="0" w:space="0" w:color="auto"/>
        <w:bottom w:val="none" w:sz="0" w:space="0" w:color="auto"/>
        <w:right w:val="none" w:sz="0" w:space="0" w:color="auto"/>
      </w:divBdr>
    </w:div>
    <w:div w:id="1828588684">
      <w:bodyDiv w:val="1"/>
      <w:marLeft w:val="0"/>
      <w:marRight w:val="0"/>
      <w:marTop w:val="0"/>
      <w:marBottom w:val="0"/>
      <w:divBdr>
        <w:top w:val="none" w:sz="0" w:space="0" w:color="auto"/>
        <w:left w:val="none" w:sz="0" w:space="0" w:color="auto"/>
        <w:bottom w:val="none" w:sz="0" w:space="0" w:color="auto"/>
        <w:right w:val="none" w:sz="0" w:space="0" w:color="auto"/>
      </w:divBdr>
    </w:div>
    <w:div w:id="1871650810">
      <w:bodyDiv w:val="1"/>
      <w:marLeft w:val="0"/>
      <w:marRight w:val="0"/>
      <w:marTop w:val="0"/>
      <w:marBottom w:val="0"/>
      <w:divBdr>
        <w:top w:val="none" w:sz="0" w:space="0" w:color="auto"/>
        <w:left w:val="none" w:sz="0" w:space="0" w:color="auto"/>
        <w:bottom w:val="none" w:sz="0" w:space="0" w:color="auto"/>
        <w:right w:val="none" w:sz="0" w:space="0" w:color="auto"/>
      </w:divBdr>
    </w:div>
    <w:div w:id="202790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ebecca@smallcapcommunications.com"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ansonresources.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ntrepidpotash.com/"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ansonresources.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url.uk.m.mimecastprotect.com/s/I99CCq9RTzw6XqiZfxHE5qoP?domain=pubs.usg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92C8A3-8965-4B10-900A-25A639051FB7}">
  <ds:schemaRefs>
    <ds:schemaRef ds:uri="http://www.imanage.com/work/xmlschema"/>
  </ds:schemaRefs>
</ds:datastoreItem>
</file>

<file path=customXml/itemProps2.xml><?xml version="1.0" encoding="utf-8"?>
<ds:datastoreItem xmlns:ds="http://schemas.openxmlformats.org/officeDocument/2006/customXml" ds:itemID="{17D1577B-E813-40B6-8BAD-DD569195B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1951</Words>
  <Characters>11123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j george geological</Company>
  <LinksUpToDate>false</LinksUpToDate>
  <CharactersWithSpaces>13048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Lawrence Cheung</cp:lastModifiedBy>
  <cp:revision>3</cp:revision>
  <cp:lastPrinted>2025-01-14T01:19:00Z</cp:lastPrinted>
  <dcterms:created xsi:type="dcterms:W3CDTF">2025-01-13T22:08:00Z</dcterms:created>
  <dcterms:modified xsi:type="dcterms:W3CDTF">2025-01-14T01:22:00Z</dcterms:modified>
</cp:coreProperties>
</file>