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B2516" w14:textId="77777777" w:rsidR="0041250A" w:rsidRDefault="003470D6">
      <w:pPr>
        <w:rPr>
          <w:b/>
        </w:rPr>
      </w:pPr>
      <w:r>
        <w:rPr>
          <w:b/>
        </w:rPr>
        <w:t>LQR House Inc. Maintains Steady Year-Over-Year Revenue Despite Eliminating Paid Advertising, Showcasing SEO Strength While Advancing Profitability Strategy</w:t>
      </w:r>
    </w:p>
    <w:p w14:paraId="58AA8AC4" w14:textId="77777777" w:rsidR="0041250A" w:rsidRDefault="0041250A"/>
    <w:p w14:paraId="219A6FE0" w14:textId="5BFAAC16" w:rsidR="0041250A" w:rsidRDefault="003470D6">
      <w:r>
        <w:t xml:space="preserve">MIAMI BEACH, FL / ACCESSWIRE / February </w:t>
      </w:r>
      <w:r w:rsidR="003011FE">
        <w:t>24</w:t>
      </w:r>
      <w:r>
        <w:t xml:space="preserve"> 2025 / LQR House Inc. (the “Company” or “LQR House”) (</w:t>
      </w:r>
      <w:proofErr w:type="gramStart"/>
      <w:r>
        <w:t>NASDAQ:</w:t>
      </w:r>
      <w:r w:rsidR="003011FE">
        <w:t>YHC</w:t>
      </w:r>
      <w:proofErr w:type="gramEnd"/>
      <w:r>
        <w:t>), a niche ecommerce platform specializing in the spirits and beverage industry, today announced that despite completely eliminating paid advertising on Google and Meta in January 2025, its flagship website, CWSpirits.com, experienced only a 1.30</w:t>
      </w:r>
      <w:r w:rsidR="00255BE5">
        <w:t>9</w:t>
      </w:r>
      <w:r>
        <w:t>% year-over-year revenue decline compared to January 2024. T</w:t>
      </w:r>
      <w:r w:rsidR="00255BE5">
        <w:t>he Company believes that t</w:t>
      </w:r>
      <w:r>
        <w:t>his outcome demonstrates the powerful impact of LQR House’s advanced search engine optimization (SEO) strategy, as well as the strength of its proprietary UI/UX design and high-converting product offerings.</w:t>
      </w:r>
    </w:p>
    <w:p w14:paraId="3CC2A2B7" w14:textId="25BCC124" w:rsidR="0041250A" w:rsidRDefault="003470D6">
      <w:pPr>
        <w:spacing w:before="240" w:after="240"/>
      </w:pPr>
      <w:r>
        <w:t xml:space="preserve">In January 2025, LQR House recorded revenues of $151,635.94, compared to $153,647.17 in January 2024, despite halting all paid digital marketing. Notably, January is historically a slower month for alcohol sales </w:t>
      </w:r>
      <w:r w:rsidR="00255BE5">
        <w:t xml:space="preserve">in the U.S. </w:t>
      </w:r>
      <w:r>
        <w:t>due to the “Dry January” movement, an annual health campaign encouraging people to abstain from alcohol. Even amid seasonal headwinds, the Company’s minimal revenue decline highlights its ability to drive organic traffic and maintain customer engagement without relying on paid acquisition channels.</w:t>
      </w:r>
    </w:p>
    <w:p w14:paraId="11E9251E" w14:textId="77777777" w:rsidR="0041250A" w:rsidRDefault="003470D6">
      <w:pPr>
        <w:spacing w:before="240" w:after="240"/>
        <w:rPr>
          <w:b/>
        </w:rPr>
      </w:pPr>
      <w:r>
        <w:rPr>
          <w:b/>
        </w:rPr>
        <w:t>SEO: A High-Value, Long-Term Competitive Advantage</w:t>
      </w:r>
    </w:p>
    <w:p w14:paraId="3841B32F" w14:textId="535FBFB2" w:rsidR="0041250A" w:rsidRDefault="003470D6">
      <w:pPr>
        <w:spacing w:before="240" w:after="240"/>
      </w:pPr>
      <w:r>
        <w:t xml:space="preserve">Unlike short-term paid ads, SEO provides sustainable, compounding value by ensuring a brand remains highly visible in search engines without ongoing advertising costs. As February 14, 2025, CWSpirits.com ranks within the top </w:t>
      </w:r>
      <w:r w:rsidR="00E469F7">
        <w:t xml:space="preserve">five </w:t>
      </w:r>
      <w:r>
        <w:t>positions on Google</w:t>
      </w:r>
      <w:r w:rsidR="00E469F7">
        <w:t xml:space="preserve"> in the U.S.</w:t>
      </w:r>
      <w:r>
        <w:t xml:space="preserve"> for high-value industry keywords such as “Tequila,” “Brandy,” “Bourbon,” “Vodka,” “Whiskey,” “Cognac,” “Scotch,” “Best Tequila,” “Best Bourbon,” </w:t>
      </w:r>
      <w:proofErr w:type="gramStart"/>
      <w:r>
        <w:t>“ Vodka</w:t>
      </w:r>
      <w:proofErr w:type="gramEnd"/>
      <w:r>
        <w:t xml:space="preserve"> Brands,” “Tequila Brands,” “Remy Martin,” and “Don Julio.” These coveted rankings position the website for consistent organic traffic and strong sales conversion rates, further reinforcing LQR House’s strategic emphasis on long-term digital growth.</w:t>
      </w:r>
    </w:p>
    <w:p w14:paraId="4B83F042" w14:textId="77777777" w:rsidR="0041250A" w:rsidRDefault="003470D6">
      <w:pPr>
        <w:spacing w:before="240" w:after="240"/>
        <w:rPr>
          <w:i/>
        </w:rPr>
      </w:pPr>
      <w:r>
        <w:rPr>
          <w:i/>
        </w:rPr>
        <w:t>"When our new board members proposed cutting paid ads to optimize costs and focus on profitability, January—historically a slower month for alcohol sales—was the perfect time to test the impact,"</w:t>
      </w:r>
      <w:r>
        <w:t xml:space="preserve"> said </w:t>
      </w:r>
      <w:r>
        <w:rPr>
          <w:b/>
        </w:rPr>
        <w:t>Sean Dollinger, CEO of LQR House</w:t>
      </w:r>
      <w:r>
        <w:t xml:space="preserve">. </w:t>
      </w:r>
      <w:r>
        <w:rPr>
          <w:i/>
        </w:rPr>
        <w:t>"I have to say, I’m incredibly impressed with the results. A mere 1% decline in year-over-year sales, without any paid advertising, is a testament to the power of our SEO strategy and platform optimization. I’ve always been proud of our top-ranking positions on Google for major spirits-related keywords, but this data proves just how valuable that really is. The ability to maintain strong revenue numbers organically sets us apart in the industry and positions us for long-term, cost-efficient growth.”</w:t>
      </w:r>
    </w:p>
    <w:p w14:paraId="1FA4FA2E" w14:textId="77777777" w:rsidR="0041250A" w:rsidRDefault="003470D6">
      <w:pPr>
        <w:spacing w:before="240" w:after="240"/>
        <w:rPr>
          <w:i/>
        </w:rPr>
      </w:pPr>
      <w:r>
        <w:t xml:space="preserve">By prioritizing organic traffic growth, conversion optimization, and operational efficiency, LQR House is strategically cutting back on traditional paid advertising and doubling down on SEO-driven profitability. To further enhance margins, the Company is optimizing cost of goods sold (COGS) to below 50%, ensuring a sustainable path to profitability. This cost-efficient strategy </w:t>
      </w:r>
      <w:r>
        <w:lastRenderedPageBreak/>
        <w:t>allows LQR House to reduce reliance on Google Ads, fully leverage the power of organic search, and scale inventory strategically to meet growing consumer demand—solidifying its position in the competitive spirits e-commerce market.</w:t>
      </w:r>
    </w:p>
    <w:p w14:paraId="171E8743" w14:textId="77777777" w:rsidR="0041250A" w:rsidRDefault="003470D6">
      <w:pPr>
        <w:rPr>
          <w:b/>
        </w:rPr>
      </w:pPr>
      <w:r>
        <w:rPr>
          <w:b/>
        </w:rPr>
        <w:t>About LQR House Inc.</w:t>
      </w:r>
    </w:p>
    <w:p w14:paraId="0937D2EF" w14:textId="77777777" w:rsidR="0041250A" w:rsidRDefault="003470D6">
      <w:pPr>
        <w:jc w:val="both"/>
      </w:pPr>
      <w:r>
        <w:t xml:space="preserve"> </w:t>
      </w:r>
    </w:p>
    <w:p w14:paraId="3DA3DA24" w14:textId="77777777" w:rsidR="0041250A" w:rsidRDefault="003470D6">
      <w:pPr>
        <w:jc w:val="both"/>
      </w:pPr>
      <w:r>
        <w:t>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51F45D36" w14:textId="77777777" w:rsidR="0041250A" w:rsidRDefault="003470D6">
      <w:pPr>
        <w:jc w:val="both"/>
        <w:rPr>
          <w:b/>
        </w:rPr>
      </w:pPr>
      <w:r>
        <w:rPr>
          <w:b/>
        </w:rPr>
        <w:t xml:space="preserve"> </w:t>
      </w:r>
    </w:p>
    <w:p w14:paraId="26A8BB0F" w14:textId="77777777" w:rsidR="0041250A" w:rsidRDefault="003470D6">
      <w:pPr>
        <w:jc w:val="both"/>
        <w:rPr>
          <w:b/>
        </w:rPr>
      </w:pPr>
      <w:r>
        <w:rPr>
          <w:b/>
        </w:rPr>
        <w:t>Forward-Looking Statements</w:t>
      </w:r>
    </w:p>
    <w:p w14:paraId="321CEB24" w14:textId="77777777" w:rsidR="0041250A" w:rsidRDefault="003470D6">
      <w:pPr>
        <w:jc w:val="both"/>
      </w:pPr>
      <w:r>
        <w:t xml:space="preserve"> </w:t>
      </w:r>
    </w:p>
    <w:p w14:paraId="1A75A2DD" w14:textId="77777777" w:rsidR="0041250A" w:rsidRDefault="003470D6">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w:t>
      </w:r>
      <w:r>
        <w:lastRenderedPageBreak/>
        <w:t>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7">
        <w:r>
          <w:rPr>
            <w:color w:val="0000FF"/>
          </w:rPr>
          <w:t xml:space="preserve"> </w:t>
        </w:r>
      </w:hyperlink>
      <w:hyperlink r:id="rId8">
        <w:r>
          <w:rPr>
            <w:color w:val="1155CC"/>
            <w:u w:val="single"/>
          </w:rPr>
          <w:t>www.sec.gov</w:t>
        </w:r>
      </w:hyperlink>
      <w:r>
        <w:t>. References and links to websites have been provided as a convenience, and the information contained on such websites has not been incorporated by reference into this press release.</w:t>
      </w:r>
    </w:p>
    <w:p w14:paraId="2DF5C982" w14:textId="77777777" w:rsidR="0041250A" w:rsidRDefault="003470D6">
      <w:pPr>
        <w:jc w:val="both"/>
      </w:pPr>
      <w:r>
        <w:t xml:space="preserve"> </w:t>
      </w:r>
    </w:p>
    <w:p w14:paraId="4940562B" w14:textId="77777777" w:rsidR="0041250A" w:rsidRDefault="003470D6">
      <w:pPr>
        <w:jc w:val="both"/>
      </w:pPr>
      <w:r>
        <w:t>Investor and Media Contact:</w:t>
      </w:r>
    </w:p>
    <w:p w14:paraId="44369693" w14:textId="77777777" w:rsidR="0041250A" w:rsidRDefault="003470D6">
      <w:pPr>
        <w:jc w:val="both"/>
      </w:pPr>
      <w:r>
        <w:t>info@lqrhouse.com</w:t>
      </w:r>
    </w:p>
    <w:p w14:paraId="7D3B4EE7" w14:textId="77777777" w:rsidR="0041250A" w:rsidRDefault="0041250A">
      <w:pPr>
        <w:rPr>
          <w:b/>
        </w:rPr>
      </w:pPr>
    </w:p>
    <w:sectPr w:rsidR="0041250A">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6BAAD" w14:textId="77777777" w:rsidR="00A17B2A" w:rsidRDefault="00A17B2A">
      <w:pPr>
        <w:spacing w:line="240" w:lineRule="auto"/>
      </w:pPr>
      <w:r>
        <w:separator/>
      </w:r>
    </w:p>
  </w:endnote>
  <w:endnote w:type="continuationSeparator" w:id="0">
    <w:p w14:paraId="0ED58F4E" w14:textId="77777777" w:rsidR="00A17B2A" w:rsidRDefault="00A17B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3CA0A" w14:textId="77777777" w:rsidR="00A17B2A" w:rsidRDefault="00A17B2A">
      <w:pPr>
        <w:spacing w:line="240" w:lineRule="auto"/>
      </w:pPr>
      <w:r>
        <w:separator/>
      </w:r>
    </w:p>
  </w:footnote>
  <w:footnote w:type="continuationSeparator" w:id="0">
    <w:p w14:paraId="58AE02B3" w14:textId="77777777" w:rsidR="00A17B2A" w:rsidRDefault="00A17B2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B69EE" w14:textId="77777777" w:rsidR="0041250A" w:rsidRDefault="003470D6">
    <w:r>
      <w:rPr>
        <w:noProof/>
      </w:rPr>
      <w:drawing>
        <wp:inline distT="114300" distB="114300" distL="114300" distR="114300" wp14:anchorId="4FD5E373" wp14:editId="5B838C9D">
          <wp:extent cx="1211382" cy="623888"/>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239B9226" w14:textId="77777777" w:rsidR="0041250A" w:rsidRDefault="0041250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50A"/>
    <w:rsid w:val="00255BE5"/>
    <w:rsid w:val="003011FE"/>
    <w:rsid w:val="003470D6"/>
    <w:rsid w:val="0041250A"/>
    <w:rsid w:val="004A50EE"/>
    <w:rsid w:val="00990D0A"/>
    <w:rsid w:val="00A17B2A"/>
    <w:rsid w:val="00D0248F"/>
    <w:rsid w:val="00E12DD4"/>
    <w:rsid w:val="00E469F7"/>
    <w:rsid w:val="00F80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09AEE"/>
  <w15:docId w15:val="{9A58DF62-4AAF-481B-B59E-2EDA78EBF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E66827"/>
    <w:rPr>
      <w:sz w:val="16"/>
      <w:szCs w:val="16"/>
    </w:rPr>
  </w:style>
  <w:style w:type="paragraph" w:styleId="CommentText">
    <w:name w:val="annotation text"/>
    <w:basedOn w:val="Normal"/>
    <w:link w:val="CommentTextChar"/>
    <w:uiPriority w:val="99"/>
    <w:unhideWhenUsed/>
    <w:rsid w:val="00E66827"/>
    <w:pPr>
      <w:spacing w:line="240" w:lineRule="auto"/>
    </w:pPr>
    <w:rPr>
      <w:sz w:val="20"/>
      <w:szCs w:val="20"/>
    </w:rPr>
  </w:style>
  <w:style w:type="character" w:customStyle="1" w:styleId="CommentTextChar">
    <w:name w:val="Comment Text Char"/>
    <w:basedOn w:val="DefaultParagraphFont"/>
    <w:link w:val="CommentText"/>
    <w:uiPriority w:val="99"/>
    <w:rsid w:val="00E66827"/>
    <w:rPr>
      <w:sz w:val="20"/>
      <w:szCs w:val="20"/>
    </w:rPr>
  </w:style>
  <w:style w:type="paragraph" w:styleId="CommentSubject">
    <w:name w:val="annotation subject"/>
    <w:basedOn w:val="CommentText"/>
    <w:next w:val="CommentText"/>
    <w:link w:val="CommentSubjectChar"/>
    <w:uiPriority w:val="99"/>
    <w:semiHidden/>
    <w:unhideWhenUsed/>
    <w:rsid w:val="00E66827"/>
    <w:rPr>
      <w:b/>
      <w:bCs/>
    </w:rPr>
  </w:style>
  <w:style w:type="character" w:customStyle="1" w:styleId="CommentSubjectChar">
    <w:name w:val="Comment Subject Char"/>
    <w:basedOn w:val="CommentTextChar"/>
    <w:link w:val="CommentSubject"/>
    <w:uiPriority w:val="99"/>
    <w:semiHidden/>
    <w:rsid w:val="00E66827"/>
    <w:rPr>
      <w:b/>
      <w:bCs/>
      <w:sz w:val="20"/>
      <w:szCs w:val="20"/>
    </w:rPr>
  </w:style>
  <w:style w:type="paragraph" w:styleId="Revision">
    <w:name w:val="Revision"/>
    <w:hidden/>
    <w:uiPriority w:val="99"/>
    <w:semiHidden/>
    <w:rsid w:val="00E66827"/>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OomuyRgx/UWKFeV9gLl+1JsSg==">CgMxLjA4AHIhMVF0UzNTLVEyV1lUbElGWTEycS1EdzdlZkd3SWFMQnN5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Chaykina</dc:creator>
  <cp:lastModifiedBy>Alex Hoff</cp:lastModifiedBy>
  <cp:revision>2</cp:revision>
  <dcterms:created xsi:type="dcterms:W3CDTF">2025-02-24T00:55:00Z</dcterms:created>
  <dcterms:modified xsi:type="dcterms:W3CDTF">2025-02-24T00:55:00Z</dcterms:modified>
</cp:coreProperties>
</file>