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D6191E" w14:textId="63816BF7" w:rsidR="009851B3" w:rsidRDefault="00C915F2">
      <w:pPr>
        <w:pStyle w:val="Heading1"/>
        <w:jc w:val="both"/>
        <w:rPr>
          <w:b w:val="0"/>
        </w:rPr>
      </w:pPr>
      <w:bookmarkStart w:id="0" w:name="_wo7hjt1j295w" w:colFirst="0" w:colLast="0"/>
      <w:bookmarkEnd w:id="0"/>
      <w:r>
        <w:rPr>
          <w:b w:val="0"/>
        </w:rPr>
        <w:t>Biodexa</w:t>
      </w:r>
      <w:r w:rsidR="009851B3">
        <w:rPr>
          <w:b w:val="0"/>
        </w:rPr>
        <w:t>’s</w:t>
      </w:r>
      <w:r>
        <w:rPr>
          <w:b w:val="0"/>
        </w:rPr>
        <w:t xml:space="preserve"> </w:t>
      </w:r>
      <w:r w:rsidR="009851B3">
        <w:rPr>
          <w:b w:val="0"/>
        </w:rPr>
        <w:t>MX-110 Continues to Show Promise in</w:t>
      </w:r>
      <w:r>
        <w:rPr>
          <w:b w:val="0"/>
        </w:rPr>
        <w:t xml:space="preserve"> Recurrent Glioblastoma</w:t>
      </w:r>
      <w:r w:rsidR="001D0FEE">
        <w:rPr>
          <w:b w:val="0"/>
        </w:rPr>
        <w:t xml:space="preserve"> (rGBM)</w:t>
      </w:r>
      <w:r w:rsidR="007C247E">
        <w:rPr>
          <w:b w:val="0"/>
        </w:rPr>
        <w:t>, the Deadliest</w:t>
      </w:r>
      <w:r w:rsidR="00FD522F">
        <w:rPr>
          <w:b w:val="0"/>
        </w:rPr>
        <w:t xml:space="preserve"> </w:t>
      </w:r>
      <w:r w:rsidR="007C247E">
        <w:rPr>
          <w:b w:val="0"/>
        </w:rPr>
        <w:t>Brain Cancer</w:t>
      </w:r>
    </w:p>
    <w:p w14:paraId="68339C61" w14:textId="25185F52" w:rsidR="002821E2" w:rsidRPr="00A629B7" w:rsidRDefault="009851B3">
      <w:pPr>
        <w:pStyle w:val="Heading1"/>
        <w:jc w:val="both"/>
        <w:rPr>
          <w:i/>
          <w:iCs/>
          <w:sz w:val="36"/>
          <w:szCs w:val="36"/>
        </w:rPr>
      </w:pPr>
      <w:r w:rsidRPr="00A629B7">
        <w:rPr>
          <w:b w:val="0"/>
          <w:i/>
          <w:iCs/>
          <w:sz w:val="36"/>
          <w:szCs w:val="36"/>
        </w:rPr>
        <w:t>In a small but important Phase 1 study, M</w:t>
      </w:r>
      <w:r w:rsidR="00A3074D">
        <w:rPr>
          <w:b w:val="0"/>
          <w:i/>
          <w:iCs/>
          <w:sz w:val="36"/>
          <w:szCs w:val="36"/>
        </w:rPr>
        <w:t>T</w:t>
      </w:r>
      <w:r w:rsidRPr="00A629B7">
        <w:rPr>
          <w:b w:val="0"/>
          <w:i/>
          <w:iCs/>
          <w:sz w:val="36"/>
          <w:szCs w:val="36"/>
        </w:rPr>
        <w:t xml:space="preserve">X110 </w:t>
      </w:r>
      <w:r w:rsidR="007C247E">
        <w:rPr>
          <w:b w:val="0"/>
          <w:i/>
          <w:iCs/>
          <w:sz w:val="36"/>
          <w:szCs w:val="36"/>
        </w:rPr>
        <w:t xml:space="preserve">is </w:t>
      </w:r>
      <w:r w:rsidRPr="00A629B7">
        <w:rPr>
          <w:b w:val="0"/>
          <w:i/>
          <w:iCs/>
          <w:sz w:val="36"/>
          <w:szCs w:val="36"/>
        </w:rPr>
        <w:t>outperform</w:t>
      </w:r>
      <w:r w:rsidR="007C247E">
        <w:rPr>
          <w:b w:val="0"/>
          <w:i/>
          <w:iCs/>
          <w:sz w:val="36"/>
          <w:szCs w:val="36"/>
        </w:rPr>
        <w:t>ing</w:t>
      </w:r>
      <w:r w:rsidRPr="00A629B7">
        <w:rPr>
          <w:b w:val="0"/>
          <w:i/>
          <w:iCs/>
          <w:sz w:val="36"/>
          <w:szCs w:val="36"/>
        </w:rPr>
        <w:t xml:space="preserve"> historic norms </w:t>
      </w:r>
      <w:r w:rsidR="001D0FEE">
        <w:rPr>
          <w:b w:val="0"/>
          <w:i/>
          <w:iCs/>
          <w:sz w:val="36"/>
          <w:szCs w:val="36"/>
        </w:rPr>
        <w:t xml:space="preserve">of </w:t>
      </w:r>
      <w:r w:rsidRPr="00A629B7">
        <w:rPr>
          <w:b w:val="0"/>
          <w:i/>
          <w:iCs/>
          <w:sz w:val="36"/>
          <w:szCs w:val="36"/>
        </w:rPr>
        <w:t xml:space="preserve">progression free </w:t>
      </w:r>
      <w:r w:rsidR="001D0FEE">
        <w:rPr>
          <w:b w:val="0"/>
          <w:i/>
          <w:iCs/>
          <w:sz w:val="36"/>
          <w:szCs w:val="36"/>
        </w:rPr>
        <w:t xml:space="preserve">and overall </w:t>
      </w:r>
      <w:r w:rsidRPr="00A629B7">
        <w:rPr>
          <w:b w:val="0"/>
          <w:i/>
          <w:iCs/>
          <w:sz w:val="36"/>
          <w:szCs w:val="36"/>
        </w:rPr>
        <w:t>survival</w:t>
      </w:r>
      <w:r w:rsidRPr="00A629B7">
        <w:rPr>
          <w:i/>
          <w:iCs/>
          <w:sz w:val="36"/>
          <w:szCs w:val="36"/>
        </w:rPr>
        <w:t xml:space="preserve">  </w:t>
      </w:r>
    </w:p>
    <w:p w14:paraId="1F032928" w14:textId="075A5D46" w:rsidR="002821E2" w:rsidRDefault="002F69F6" w:rsidP="00137421">
      <w:pPr>
        <w:pBdr>
          <w:top w:val="nil"/>
          <w:left w:val="nil"/>
          <w:bottom w:val="nil"/>
          <w:right w:val="nil"/>
          <w:between w:val="nil"/>
        </w:pBdr>
        <w:spacing w:line="240" w:lineRule="auto"/>
        <w:jc w:val="center"/>
        <w:rPr>
          <w:rFonts w:ascii="Arial" w:eastAsia="Arial" w:hAnsi="Arial" w:cs="Arial"/>
          <w:color w:val="000000"/>
          <w:sz w:val="24"/>
          <w:szCs w:val="24"/>
        </w:rPr>
      </w:pPr>
      <w:r>
        <w:rPr>
          <w:noProof/>
        </w:rPr>
        <w:drawing>
          <wp:inline distT="0" distB="0" distL="0" distR="0" wp14:anchorId="30B8EC45" wp14:editId="414CE27E">
            <wp:extent cx="3971925" cy="4443663"/>
            <wp:effectExtent l="0" t="0" r="0" b="0"/>
            <wp:docPr id="1466422331" name="Picture 1" descr="A close-up of a brain sc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422331" name="Picture 1" descr="A close-up of a brain scan&#10;&#10;Description automatically generated"/>
                    <pic:cNvPicPr/>
                  </pic:nvPicPr>
                  <pic:blipFill>
                    <a:blip r:embed="rId6"/>
                    <a:stretch>
                      <a:fillRect/>
                    </a:stretch>
                  </pic:blipFill>
                  <pic:spPr>
                    <a:xfrm>
                      <a:off x="0" y="0"/>
                      <a:ext cx="3990287" cy="4464206"/>
                    </a:xfrm>
                    <a:prstGeom prst="rect">
                      <a:avLst/>
                    </a:prstGeom>
                  </pic:spPr>
                </pic:pic>
              </a:graphicData>
            </a:graphic>
          </wp:inline>
        </w:drawing>
      </w:r>
    </w:p>
    <w:p w14:paraId="3EBE5C07" w14:textId="77777777" w:rsidR="00205597" w:rsidRDefault="00205597">
      <w:pPr>
        <w:jc w:val="both"/>
        <w:rPr>
          <w:rFonts w:ascii="Arial" w:eastAsia="Arial" w:hAnsi="Arial" w:cs="Arial"/>
          <w:b/>
          <w:sz w:val="24"/>
          <w:szCs w:val="24"/>
        </w:rPr>
      </w:pPr>
    </w:p>
    <w:p w14:paraId="574E96EE" w14:textId="64BE384C" w:rsidR="002821E2" w:rsidRDefault="00683E19">
      <w:pPr>
        <w:jc w:val="both"/>
        <w:rPr>
          <w:rFonts w:ascii="Arial" w:eastAsia="Arial" w:hAnsi="Arial" w:cs="Arial"/>
          <w:sz w:val="24"/>
          <w:szCs w:val="24"/>
        </w:rPr>
      </w:pPr>
      <w:r w:rsidRPr="00683E19">
        <w:rPr>
          <w:rFonts w:ascii="Arial" w:eastAsia="Arial" w:hAnsi="Arial" w:cs="Arial"/>
          <w:b/>
          <w:bCs/>
          <w:sz w:val="24"/>
          <w:szCs w:val="24"/>
        </w:rPr>
        <w:t xml:space="preserve">CARDIFF, UK / ACCESSWIRE / </w:t>
      </w:r>
      <w:r>
        <w:rPr>
          <w:rFonts w:ascii="Arial" w:eastAsia="Arial" w:hAnsi="Arial" w:cs="Arial"/>
          <w:b/>
          <w:bCs/>
          <w:sz w:val="24"/>
          <w:szCs w:val="24"/>
        </w:rPr>
        <w:t>Oct. 17</w:t>
      </w:r>
      <w:r w:rsidRPr="00683E19">
        <w:rPr>
          <w:rFonts w:ascii="Arial" w:eastAsia="Arial" w:hAnsi="Arial" w:cs="Arial"/>
          <w:b/>
          <w:bCs/>
          <w:sz w:val="24"/>
          <w:szCs w:val="24"/>
        </w:rPr>
        <w:t>, 2024 / Biodexa Pharmaceuticals PLC</w:t>
      </w:r>
      <w:r w:rsidRPr="00683E19">
        <w:rPr>
          <w:rFonts w:ascii="Arial" w:eastAsia="Arial" w:hAnsi="Arial" w:cs="Arial"/>
          <w:b/>
          <w:sz w:val="24"/>
          <w:szCs w:val="24"/>
        </w:rPr>
        <w:t> </w:t>
      </w:r>
      <w:r w:rsidRPr="00683E19">
        <w:rPr>
          <w:rFonts w:ascii="Arial" w:eastAsia="Arial" w:hAnsi="Arial" w:cs="Arial"/>
          <w:b/>
          <w:sz w:val="24"/>
          <w:szCs w:val="24"/>
        </w:rPr>
        <w:t xml:space="preserve"> </w:t>
      </w:r>
      <w:r w:rsidR="00C915F2">
        <w:rPr>
          <w:rFonts w:ascii="Arial" w:eastAsia="Arial" w:hAnsi="Arial" w:cs="Arial"/>
          <w:sz w:val="24"/>
          <w:szCs w:val="24"/>
        </w:rPr>
        <w:t>(NASDAQ: BDRX), a</w:t>
      </w:r>
      <w:r w:rsidR="009851B3">
        <w:rPr>
          <w:rFonts w:ascii="Arial" w:eastAsia="Arial" w:hAnsi="Arial" w:cs="Arial"/>
          <w:sz w:val="24"/>
          <w:szCs w:val="24"/>
        </w:rPr>
        <w:t xml:space="preserve">n acquisition-focused </w:t>
      </w:r>
      <w:r w:rsidR="009851B3" w:rsidRPr="009851B3">
        <w:rPr>
          <w:rFonts w:ascii="Arial" w:eastAsia="Arial" w:hAnsi="Arial" w:cs="Arial"/>
          <w:sz w:val="24"/>
          <w:szCs w:val="24"/>
        </w:rPr>
        <w:t>clinical stage biopharmaceutical company developing a pipeline of innovative products for the treatment of diseases with unmet medical needs</w:t>
      </w:r>
      <w:r w:rsidR="009851B3">
        <w:rPr>
          <w:rFonts w:ascii="Arial" w:eastAsia="Arial" w:hAnsi="Arial" w:cs="Arial"/>
          <w:sz w:val="24"/>
          <w:szCs w:val="24"/>
        </w:rPr>
        <w:t>,</w:t>
      </w:r>
      <w:r w:rsidR="00C915F2">
        <w:rPr>
          <w:rFonts w:ascii="Arial" w:eastAsia="Arial" w:hAnsi="Arial" w:cs="Arial"/>
          <w:sz w:val="24"/>
          <w:szCs w:val="24"/>
        </w:rPr>
        <w:t xml:space="preserve"> released </w:t>
      </w:r>
      <w:r w:rsidR="00F64F6B">
        <w:rPr>
          <w:rFonts w:ascii="Arial" w:eastAsia="Arial" w:hAnsi="Arial" w:cs="Arial"/>
          <w:sz w:val="24"/>
          <w:szCs w:val="24"/>
        </w:rPr>
        <w:t xml:space="preserve">positive </w:t>
      </w:r>
      <w:r w:rsidR="002F1ED2">
        <w:rPr>
          <w:rFonts w:ascii="Arial" w:eastAsia="Arial" w:hAnsi="Arial" w:cs="Arial"/>
          <w:sz w:val="24"/>
          <w:szCs w:val="24"/>
        </w:rPr>
        <w:t xml:space="preserve">patient </w:t>
      </w:r>
      <w:r w:rsidR="00C915F2">
        <w:rPr>
          <w:rFonts w:ascii="Arial" w:eastAsia="Arial" w:hAnsi="Arial" w:cs="Arial"/>
          <w:sz w:val="24"/>
          <w:szCs w:val="24"/>
        </w:rPr>
        <w:t>update</w:t>
      </w:r>
      <w:r w:rsidR="00CA77B8">
        <w:rPr>
          <w:rFonts w:ascii="Arial" w:eastAsia="Arial" w:hAnsi="Arial" w:cs="Arial"/>
          <w:sz w:val="24"/>
          <w:szCs w:val="24"/>
        </w:rPr>
        <w:t>s</w:t>
      </w:r>
      <w:r w:rsidR="00C915F2">
        <w:rPr>
          <w:rFonts w:ascii="Arial" w:eastAsia="Arial" w:hAnsi="Arial" w:cs="Arial"/>
          <w:sz w:val="24"/>
          <w:szCs w:val="24"/>
        </w:rPr>
        <w:t xml:space="preserve"> on progression-free survival (PFS) and overall survival (OS) from </w:t>
      </w:r>
      <w:r w:rsidR="00862BDA">
        <w:rPr>
          <w:rFonts w:ascii="Arial" w:eastAsia="Arial" w:hAnsi="Arial" w:cs="Arial"/>
          <w:sz w:val="24"/>
          <w:szCs w:val="24"/>
        </w:rPr>
        <w:t>the</w:t>
      </w:r>
      <w:r w:rsidR="00C915F2">
        <w:rPr>
          <w:rFonts w:ascii="Arial" w:eastAsia="Arial" w:hAnsi="Arial" w:cs="Arial"/>
          <w:sz w:val="24"/>
          <w:szCs w:val="24"/>
        </w:rPr>
        <w:t xml:space="preserve"> ongoing  </w:t>
      </w:r>
      <w:r w:rsidR="006432A5">
        <w:rPr>
          <w:rFonts w:ascii="Arial" w:eastAsia="Arial" w:hAnsi="Arial" w:cs="Arial"/>
          <w:sz w:val="24"/>
          <w:szCs w:val="24"/>
        </w:rPr>
        <w:t xml:space="preserve">MAGIC-1 </w:t>
      </w:r>
      <w:r w:rsidR="00C915F2">
        <w:rPr>
          <w:rFonts w:ascii="Arial" w:eastAsia="Arial" w:hAnsi="Arial" w:cs="Arial"/>
          <w:sz w:val="24"/>
          <w:szCs w:val="24"/>
        </w:rPr>
        <w:t>study of MTX110 in recurrent glioblastoma (rGBM)</w:t>
      </w:r>
      <w:r w:rsidR="00862BDA">
        <w:rPr>
          <w:rFonts w:ascii="Arial" w:eastAsia="Arial" w:hAnsi="Arial" w:cs="Arial"/>
          <w:sz w:val="24"/>
          <w:szCs w:val="24"/>
        </w:rPr>
        <w:t xml:space="preserve">, </w:t>
      </w:r>
      <w:r w:rsidR="00A629B7">
        <w:rPr>
          <w:rFonts w:ascii="Arial" w:eastAsia="Arial" w:hAnsi="Arial" w:cs="Arial"/>
          <w:sz w:val="24"/>
          <w:szCs w:val="24"/>
        </w:rPr>
        <w:t>a</w:t>
      </w:r>
      <w:r w:rsidR="002F1ED2">
        <w:rPr>
          <w:rFonts w:ascii="Arial" w:eastAsia="Arial" w:hAnsi="Arial" w:cs="Arial"/>
          <w:sz w:val="24"/>
          <w:szCs w:val="24"/>
        </w:rPr>
        <w:t xml:space="preserve"> lethal </w:t>
      </w:r>
      <w:r w:rsidR="00A629B7">
        <w:rPr>
          <w:rFonts w:ascii="Arial" w:eastAsia="Arial" w:hAnsi="Arial" w:cs="Arial"/>
          <w:sz w:val="24"/>
          <w:szCs w:val="24"/>
        </w:rPr>
        <w:t>form of adult</w:t>
      </w:r>
      <w:r w:rsidR="002F1ED2">
        <w:rPr>
          <w:rFonts w:ascii="Arial" w:eastAsia="Arial" w:hAnsi="Arial" w:cs="Arial"/>
          <w:sz w:val="24"/>
          <w:szCs w:val="24"/>
        </w:rPr>
        <w:t xml:space="preserve"> </w:t>
      </w:r>
      <w:r w:rsidR="00862BDA">
        <w:rPr>
          <w:rFonts w:ascii="Arial" w:eastAsia="Arial" w:hAnsi="Arial" w:cs="Arial"/>
          <w:sz w:val="24"/>
          <w:szCs w:val="24"/>
        </w:rPr>
        <w:t>brain cancer</w:t>
      </w:r>
      <w:r w:rsidR="007C247E">
        <w:rPr>
          <w:rFonts w:ascii="Arial" w:eastAsia="Arial" w:hAnsi="Arial" w:cs="Arial"/>
          <w:sz w:val="24"/>
          <w:szCs w:val="24"/>
        </w:rPr>
        <w:t>.</w:t>
      </w:r>
      <w:r w:rsidR="00C915F2">
        <w:rPr>
          <w:rFonts w:ascii="Arial" w:eastAsia="Arial" w:hAnsi="Arial" w:cs="Arial"/>
          <w:sz w:val="24"/>
          <w:szCs w:val="24"/>
        </w:rPr>
        <w:t xml:space="preserve"> </w:t>
      </w:r>
    </w:p>
    <w:p w14:paraId="3A3E0E0A" w14:textId="0D20322D" w:rsidR="001D0FEE" w:rsidRDefault="001D0FEE" w:rsidP="001D0FEE">
      <w:pPr>
        <w:jc w:val="both"/>
        <w:rPr>
          <w:rFonts w:ascii="Arial" w:eastAsia="Arial" w:hAnsi="Arial" w:cs="Arial"/>
          <w:sz w:val="24"/>
          <w:szCs w:val="24"/>
        </w:rPr>
      </w:pPr>
      <w:r>
        <w:rPr>
          <w:rFonts w:ascii="Arial" w:eastAsia="Arial" w:hAnsi="Arial" w:cs="Arial"/>
          <w:sz w:val="24"/>
          <w:szCs w:val="24"/>
        </w:rPr>
        <w:lastRenderedPageBreak/>
        <w:t xml:space="preserve">The study (NCT05324501) </w:t>
      </w:r>
      <w:r w:rsidR="00A629B7">
        <w:rPr>
          <w:rFonts w:ascii="Arial" w:eastAsia="Arial" w:hAnsi="Arial" w:cs="Arial"/>
          <w:sz w:val="24"/>
          <w:szCs w:val="24"/>
        </w:rPr>
        <w:t xml:space="preserve">is </w:t>
      </w:r>
      <w:r>
        <w:rPr>
          <w:rFonts w:ascii="Arial" w:eastAsia="Arial" w:hAnsi="Arial" w:cs="Arial"/>
          <w:sz w:val="24"/>
          <w:szCs w:val="24"/>
        </w:rPr>
        <w:t xml:space="preserve">designed to evaluate the feasibility, safety and efficacy of </w:t>
      </w:r>
      <w:r w:rsidR="0099416E">
        <w:rPr>
          <w:rFonts w:ascii="Arial" w:eastAsia="Arial" w:hAnsi="Arial" w:cs="Arial"/>
          <w:sz w:val="24"/>
          <w:szCs w:val="24"/>
        </w:rPr>
        <w:t xml:space="preserve">treating rGBM patients with </w:t>
      </w:r>
      <w:r>
        <w:rPr>
          <w:rFonts w:ascii="Arial" w:eastAsia="Arial" w:hAnsi="Arial" w:cs="Arial"/>
          <w:sz w:val="24"/>
          <w:szCs w:val="24"/>
        </w:rPr>
        <w:t>MTX110</w:t>
      </w:r>
      <w:r w:rsidR="0099416E">
        <w:rPr>
          <w:rFonts w:ascii="Arial" w:eastAsia="Arial" w:hAnsi="Arial" w:cs="Arial"/>
          <w:sz w:val="24"/>
          <w:szCs w:val="24"/>
        </w:rPr>
        <w:t>.</w:t>
      </w:r>
      <w:r>
        <w:rPr>
          <w:rFonts w:ascii="Arial" w:eastAsia="Arial" w:hAnsi="Arial" w:cs="Arial"/>
          <w:sz w:val="24"/>
          <w:szCs w:val="24"/>
        </w:rPr>
        <w:t xml:space="preserve"> </w:t>
      </w:r>
    </w:p>
    <w:p w14:paraId="5D466653" w14:textId="2731A365" w:rsidR="00A629B7" w:rsidRDefault="00A629B7" w:rsidP="00A629B7">
      <w:pPr>
        <w:jc w:val="both"/>
        <w:rPr>
          <w:rFonts w:ascii="Arial" w:eastAsia="Arial" w:hAnsi="Arial" w:cs="Arial"/>
          <w:sz w:val="24"/>
          <w:szCs w:val="24"/>
        </w:rPr>
      </w:pPr>
      <w:r>
        <w:rPr>
          <w:rFonts w:ascii="Arial" w:eastAsia="Arial" w:hAnsi="Arial" w:cs="Arial"/>
          <w:sz w:val="24"/>
          <w:szCs w:val="24"/>
        </w:rPr>
        <w:t xml:space="preserve">The company earlier reported patients #1 and #2 in Cohort A achieved overall survival (OS) of 12 and 13 months, respectively. </w:t>
      </w:r>
    </w:p>
    <w:p w14:paraId="0B3BDB7E" w14:textId="31C74BF3" w:rsidR="00A3074D" w:rsidRDefault="00A629B7" w:rsidP="00CA77B8">
      <w:pPr>
        <w:jc w:val="both"/>
        <w:rPr>
          <w:rFonts w:ascii="Arial" w:eastAsia="Arial" w:hAnsi="Arial" w:cs="Arial"/>
          <w:sz w:val="24"/>
          <w:szCs w:val="24"/>
        </w:rPr>
      </w:pPr>
      <w:r>
        <w:rPr>
          <w:rFonts w:ascii="Arial" w:eastAsia="Arial" w:hAnsi="Arial" w:cs="Arial"/>
          <w:sz w:val="24"/>
          <w:szCs w:val="24"/>
        </w:rPr>
        <w:t>The remaining two</w:t>
      </w:r>
      <w:r w:rsidR="00CA77B8">
        <w:rPr>
          <w:rFonts w:ascii="Arial" w:eastAsia="Arial" w:hAnsi="Arial" w:cs="Arial"/>
          <w:sz w:val="24"/>
          <w:szCs w:val="24"/>
        </w:rPr>
        <w:t xml:space="preserve"> patients </w:t>
      </w:r>
      <w:r w:rsidR="009851B3">
        <w:rPr>
          <w:rFonts w:ascii="Arial" w:eastAsia="Arial" w:hAnsi="Arial" w:cs="Arial"/>
          <w:sz w:val="24"/>
          <w:szCs w:val="24"/>
        </w:rPr>
        <w:t xml:space="preserve">in </w:t>
      </w:r>
      <w:r w:rsidR="001D0FEE">
        <w:rPr>
          <w:rFonts w:ascii="Arial" w:eastAsia="Arial" w:hAnsi="Arial" w:cs="Arial"/>
          <w:sz w:val="24"/>
          <w:szCs w:val="24"/>
        </w:rPr>
        <w:t>Cohort</w:t>
      </w:r>
      <w:r w:rsidR="00CA77B8">
        <w:rPr>
          <w:rFonts w:ascii="Arial" w:eastAsia="Arial" w:hAnsi="Arial" w:cs="Arial"/>
          <w:sz w:val="24"/>
          <w:szCs w:val="24"/>
        </w:rPr>
        <w:t xml:space="preserve"> A remain </w:t>
      </w:r>
      <w:r w:rsidR="007C247E">
        <w:rPr>
          <w:rFonts w:ascii="Arial" w:eastAsia="Arial" w:hAnsi="Arial" w:cs="Arial"/>
          <w:sz w:val="24"/>
          <w:szCs w:val="24"/>
        </w:rPr>
        <w:t>o</w:t>
      </w:r>
      <w:r w:rsidR="00CA77B8">
        <w:rPr>
          <w:rFonts w:ascii="Arial" w:eastAsia="Arial" w:hAnsi="Arial" w:cs="Arial"/>
          <w:sz w:val="24"/>
          <w:szCs w:val="24"/>
        </w:rPr>
        <w:t>n follow-up</w:t>
      </w:r>
      <w:r w:rsidR="00162069">
        <w:rPr>
          <w:rFonts w:ascii="Arial" w:eastAsia="Arial" w:hAnsi="Arial" w:cs="Arial"/>
          <w:color w:val="0563C1"/>
          <w:sz w:val="24"/>
          <w:szCs w:val="24"/>
          <w:u w:val="single"/>
        </w:rPr>
        <w:t>.</w:t>
      </w:r>
      <w:r w:rsidR="00CA77B8">
        <w:rPr>
          <w:rFonts w:ascii="Arial" w:eastAsia="Arial" w:hAnsi="Arial" w:cs="Arial"/>
          <w:sz w:val="24"/>
          <w:szCs w:val="24"/>
        </w:rPr>
        <w:t xml:space="preserve"> Patient #3 has achieved 13 months </w:t>
      </w:r>
      <w:r w:rsidR="007C247E">
        <w:rPr>
          <w:rFonts w:ascii="Arial" w:eastAsia="Arial" w:hAnsi="Arial" w:cs="Arial"/>
          <w:sz w:val="24"/>
          <w:szCs w:val="24"/>
        </w:rPr>
        <w:t>OS</w:t>
      </w:r>
      <w:r w:rsidR="00CA77B8">
        <w:rPr>
          <w:rFonts w:ascii="Arial" w:eastAsia="Arial" w:hAnsi="Arial" w:cs="Arial"/>
          <w:sz w:val="24"/>
          <w:szCs w:val="24"/>
        </w:rPr>
        <w:t xml:space="preserve"> to date, with six months </w:t>
      </w:r>
      <w:r w:rsidR="00167536">
        <w:rPr>
          <w:rFonts w:ascii="Arial" w:eastAsia="Arial" w:hAnsi="Arial" w:cs="Arial"/>
          <w:sz w:val="24"/>
          <w:szCs w:val="24"/>
        </w:rPr>
        <w:t>progression free survival (</w:t>
      </w:r>
      <w:r w:rsidR="00CA77B8">
        <w:rPr>
          <w:rFonts w:ascii="Arial" w:eastAsia="Arial" w:hAnsi="Arial" w:cs="Arial"/>
          <w:sz w:val="24"/>
          <w:szCs w:val="24"/>
        </w:rPr>
        <w:t>PFS</w:t>
      </w:r>
      <w:r w:rsidR="00167536">
        <w:rPr>
          <w:rFonts w:ascii="Arial" w:eastAsia="Arial" w:hAnsi="Arial" w:cs="Arial"/>
          <w:sz w:val="24"/>
          <w:szCs w:val="24"/>
        </w:rPr>
        <w:t>)</w:t>
      </w:r>
      <w:r w:rsidR="00CA77B8">
        <w:rPr>
          <w:rFonts w:ascii="Arial" w:eastAsia="Arial" w:hAnsi="Arial" w:cs="Arial"/>
          <w:sz w:val="24"/>
          <w:szCs w:val="24"/>
        </w:rPr>
        <w:t xml:space="preserve">. Patient #4 has </w:t>
      </w:r>
      <w:r>
        <w:rPr>
          <w:rFonts w:ascii="Arial" w:eastAsia="Arial" w:hAnsi="Arial" w:cs="Arial"/>
          <w:sz w:val="24"/>
          <w:szCs w:val="24"/>
        </w:rPr>
        <w:t xml:space="preserve">not progressed and </w:t>
      </w:r>
      <w:r w:rsidR="00CA77B8">
        <w:rPr>
          <w:rFonts w:ascii="Arial" w:eastAsia="Arial" w:hAnsi="Arial" w:cs="Arial"/>
          <w:sz w:val="24"/>
          <w:szCs w:val="24"/>
        </w:rPr>
        <w:t xml:space="preserve">achieved 12 months PFS and </w:t>
      </w:r>
      <w:r w:rsidR="004B12C7">
        <w:rPr>
          <w:rFonts w:ascii="Arial" w:eastAsia="Arial" w:hAnsi="Arial" w:cs="Arial"/>
          <w:sz w:val="24"/>
          <w:szCs w:val="24"/>
        </w:rPr>
        <w:t xml:space="preserve">12 months </w:t>
      </w:r>
      <w:r w:rsidR="00CA77B8">
        <w:rPr>
          <w:rFonts w:ascii="Arial" w:eastAsia="Arial" w:hAnsi="Arial" w:cs="Arial"/>
          <w:sz w:val="24"/>
          <w:szCs w:val="24"/>
        </w:rPr>
        <w:t xml:space="preserve">OS to date. </w:t>
      </w:r>
    </w:p>
    <w:p w14:paraId="7CA39ED7" w14:textId="79F44452" w:rsidR="00CA77B8" w:rsidRDefault="00167536" w:rsidP="00CA77B8">
      <w:pPr>
        <w:jc w:val="both"/>
        <w:rPr>
          <w:rFonts w:ascii="Arial" w:eastAsia="Arial" w:hAnsi="Arial" w:cs="Arial"/>
          <w:sz w:val="24"/>
          <w:szCs w:val="24"/>
        </w:rPr>
      </w:pPr>
      <w:r>
        <w:rPr>
          <w:rFonts w:ascii="Arial" w:eastAsia="Arial" w:hAnsi="Arial" w:cs="Arial"/>
          <w:sz w:val="24"/>
          <w:szCs w:val="24"/>
        </w:rPr>
        <w:t xml:space="preserve">Glioblastoma is the most common and lethal form of brain cancer in adults with a universally fatal prognosis, particularly when it recurs. The median survival post-recurrence is </w:t>
      </w:r>
      <w:r w:rsidR="00B42175">
        <w:rPr>
          <w:rFonts w:ascii="Arial" w:eastAsia="Arial" w:hAnsi="Arial" w:cs="Arial"/>
          <w:sz w:val="24"/>
          <w:szCs w:val="24"/>
        </w:rPr>
        <w:t>6.5</w:t>
      </w:r>
      <w:r>
        <w:rPr>
          <w:rFonts w:ascii="Arial" w:eastAsia="Arial" w:hAnsi="Arial" w:cs="Arial"/>
          <w:sz w:val="24"/>
          <w:szCs w:val="24"/>
        </w:rPr>
        <w:t xml:space="preserve"> months, making any progress toward extending patients' lives a significant breakthrough</w:t>
      </w:r>
      <w:r w:rsidR="00B42175">
        <w:rPr>
          <w:rFonts w:ascii="Arial" w:eastAsia="Arial" w:hAnsi="Arial" w:cs="Arial"/>
          <w:sz w:val="24"/>
          <w:szCs w:val="24"/>
        </w:rPr>
        <w:t>.</w:t>
      </w:r>
    </w:p>
    <w:p w14:paraId="03C636BA" w14:textId="4F0F135C" w:rsidR="00FD522F" w:rsidRDefault="00CA77B8" w:rsidP="00D74615">
      <w:pPr>
        <w:jc w:val="both"/>
        <w:rPr>
          <w:rFonts w:ascii="Arial" w:eastAsia="Arial" w:hAnsi="Arial" w:cs="Arial"/>
          <w:sz w:val="24"/>
          <w:szCs w:val="24"/>
        </w:rPr>
      </w:pPr>
      <w:r>
        <w:rPr>
          <w:rFonts w:ascii="Arial" w:eastAsia="Arial" w:hAnsi="Arial" w:cs="Arial"/>
          <w:sz w:val="24"/>
          <w:szCs w:val="24"/>
        </w:rPr>
        <w:t xml:space="preserve">The new data builds on </w:t>
      </w:r>
      <w:hyperlink r:id="rId7">
        <w:r w:rsidRPr="00F462C5">
          <w:rPr>
            <w:rFonts w:ascii="Arial" w:eastAsia="Arial" w:hAnsi="Arial" w:cs="Arial"/>
            <w:sz w:val="24"/>
            <w:szCs w:val="24"/>
          </w:rPr>
          <w:t>earlier promising trial results</w:t>
        </w:r>
      </w:hyperlink>
      <w:r>
        <w:rPr>
          <w:rFonts w:ascii="Arial" w:eastAsia="Arial" w:hAnsi="Arial" w:cs="Arial"/>
          <w:sz w:val="24"/>
          <w:szCs w:val="24"/>
        </w:rPr>
        <w:t xml:space="preserve"> </w:t>
      </w:r>
      <w:r w:rsidR="007C247E">
        <w:rPr>
          <w:rFonts w:ascii="Arial" w:eastAsia="Arial" w:hAnsi="Arial" w:cs="Arial"/>
          <w:sz w:val="24"/>
          <w:szCs w:val="24"/>
        </w:rPr>
        <w:t xml:space="preserve">with MTX110 </w:t>
      </w:r>
      <w:r w:rsidR="004B12C7">
        <w:rPr>
          <w:rFonts w:ascii="Arial" w:eastAsia="Arial" w:hAnsi="Arial" w:cs="Arial"/>
          <w:sz w:val="24"/>
          <w:szCs w:val="24"/>
        </w:rPr>
        <w:t xml:space="preserve">in </w:t>
      </w:r>
      <w:r w:rsidR="00167536">
        <w:rPr>
          <w:rFonts w:ascii="Arial" w:eastAsia="Arial" w:hAnsi="Arial" w:cs="Arial"/>
          <w:sz w:val="24"/>
          <w:szCs w:val="24"/>
        </w:rPr>
        <w:t>Diffuse Midline Glioma (DMG)</w:t>
      </w:r>
      <w:r w:rsidR="004B12C7">
        <w:rPr>
          <w:rFonts w:ascii="Arial" w:eastAsia="Arial" w:hAnsi="Arial" w:cs="Arial"/>
          <w:sz w:val="24"/>
          <w:szCs w:val="24"/>
        </w:rPr>
        <w:t xml:space="preserve">, </w:t>
      </w:r>
      <w:r w:rsidR="00D74615">
        <w:rPr>
          <w:rFonts w:ascii="Arial" w:eastAsia="Arial" w:hAnsi="Arial" w:cs="Arial"/>
          <w:sz w:val="24"/>
          <w:szCs w:val="24"/>
        </w:rPr>
        <w:t xml:space="preserve">and could signal a potential shift in </w:t>
      </w:r>
      <w:r w:rsidR="002F1ED2">
        <w:rPr>
          <w:rFonts w:ascii="Arial" w:eastAsia="Arial" w:hAnsi="Arial" w:cs="Arial"/>
          <w:sz w:val="24"/>
          <w:szCs w:val="24"/>
        </w:rPr>
        <w:t>the standard of care</w:t>
      </w:r>
      <w:r w:rsidR="004B12C7">
        <w:rPr>
          <w:rFonts w:ascii="Arial" w:eastAsia="Arial" w:hAnsi="Arial" w:cs="Arial"/>
          <w:sz w:val="24"/>
          <w:szCs w:val="24"/>
        </w:rPr>
        <w:t>.</w:t>
      </w:r>
      <w:r w:rsidR="007C247E">
        <w:rPr>
          <w:rFonts w:ascii="Arial" w:eastAsia="Arial" w:hAnsi="Arial" w:cs="Arial"/>
          <w:sz w:val="24"/>
          <w:szCs w:val="24"/>
        </w:rPr>
        <w:t xml:space="preserve"> </w:t>
      </w:r>
      <w:r w:rsidR="0099416E">
        <w:rPr>
          <w:rFonts w:ascii="Arial" w:eastAsia="Arial" w:hAnsi="Arial" w:cs="Arial"/>
          <w:sz w:val="24"/>
          <w:szCs w:val="24"/>
        </w:rPr>
        <w:t>The GBM treatment market was $2.5 billion in 2022, project</w:t>
      </w:r>
      <w:r w:rsidR="00FD522F">
        <w:rPr>
          <w:rFonts w:ascii="Arial" w:eastAsia="Arial" w:hAnsi="Arial" w:cs="Arial"/>
          <w:sz w:val="24"/>
          <w:szCs w:val="24"/>
        </w:rPr>
        <w:t>ed</w:t>
      </w:r>
      <w:r w:rsidR="0099416E">
        <w:rPr>
          <w:rFonts w:ascii="Arial" w:eastAsia="Arial" w:hAnsi="Arial" w:cs="Arial"/>
          <w:sz w:val="24"/>
          <w:szCs w:val="24"/>
        </w:rPr>
        <w:t xml:space="preserve"> to grow </w:t>
      </w:r>
      <w:r w:rsidR="00FD522F">
        <w:rPr>
          <w:rFonts w:ascii="Arial" w:eastAsia="Arial" w:hAnsi="Arial" w:cs="Arial"/>
          <w:sz w:val="24"/>
          <w:szCs w:val="24"/>
        </w:rPr>
        <w:t>nearly 10 percent annually through 2030.</w:t>
      </w:r>
    </w:p>
    <w:p w14:paraId="062DC9C2" w14:textId="0B36C7B8" w:rsidR="00D74615" w:rsidRDefault="00FD522F" w:rsidP="00D74615">
      <w:pPr>
        <w:jc w:val="both"/>
        <w:rPr>
          <w:rFonts w:ascii="Arial" w:eastAsia="Arial" w:hAnsi="Arial" w:cs="Arial"/>
          <w:sz w:val="24"/>
          <w:szCs w:val="24"/>
        </w:rPr>
      </w:pPr>
      <w:r>
        <w:rPr>
          <w:rFonts w:ascii="Arial" w:eastAsia="Arial" w:hAnsi="Arial" w:cs="Arial"/>
          <w:sz w:val="24"/>
          <w:szCs w:val="24"/>
        </w:rPr>
        <w:t>MT</w:t>
      </w:r>
      <w:r w:rsidR="00167536">
        <w:rPr>
          <w:rFonts w:ascii="Arial" w:eastAsia="Arial" w:hAnsi="Arial" w:cs="Arial"/>
          <w:sz w:val="24"/>
          <w:szCs w:val="24"/>
        </w:rPr>
        <w:t>X</w:t>
      </w:r>
      <w:r>
        <w:rPr>
          <w:rFonts w:ascii="Arial" w:eastAsia="Arial" w:hAnsi="Arial" w:cs="Arial"/>
          <w:sz w:val="24"/>
          <w:szCs w:val="24"/>
        </w:rPr>
        <w:t xml:space="preserve">110’s value may be further enhanced by its potential </w:t>
      </w:r>
      <w:r w:rsidR="007C247E">
        <w:rPr>
          <w:rFonts w:ascii="Arial" w:eastAsia="Arial" w:hAnsi="Arial" w:cs="Arial"/>
          <w:sz w:val="24"/>
          <w:szCs w:val="24"/>
        </w:rPr>
        <w:t>in</w:t>
      </w:r>
      <w:r w:rsidR="00D74615">
        <w:rPr>
          <w:rFonts w:ascii="Arial" w:eastAsia="Arial" w:hAnsi="Arial" w:cs="Arial"/>
          <w:sz w:val="24"/>
          <w:szCs w:val="24"/>
        </w:rPr>
        <w:t xml:space="preserve"> DMG, a </w:t>
      </w:r>
      <w:r w:rsidR="00A3074D">
        <w:rPr>
          <w:rFonts w:ascii="Arial" w:eastAsia="Arial" w:hAnsi="Arial" w:cs="Arial"/>
          <w:sz w:val="24"/>
          <w:szCs w:val="24"/>
        </w:rPr>
        <w:t xml:space="preserve">mostly </w:t>
      </w:r>
      <w:r w:rsidR="00D74615">
        <w:rPr>
          <w:rFonts w:ascii="Arial" w:eastAsia="Arial" w:hAnsi="Arial" w:cs="Arial"/>
          <w:sz w:val="24"/>
          <w:szCs w:val="24"/>
        </w:rPr>
        <w:t xml:space="preserve">pediatric </w:t>
      </w:r>
      <w:r w:rsidR="00167536">
        <w:rPr>
          <w:rFonts w:ascii="Arial" w:eastAsia="Arial" w:hAnsi="Arial" w:cs="Arial"/>
          <w:sz w:val="24"/>
          <w:szCs w:val="24"/>
        </w:rPr>
        <w:t xml:space="preserve">and universally fatal </w:t>
      </w:r>
      <w:r w:rsidR="00D74615">
        <w:rPr>
          <w:rFonts w:ascii="Arial" w:eastAsia="Arial" w:hAnsi="Arial" w:cs="Arial"/>
          <w:sz w:val="24"/>
          <w:szCs w:val="24"/>
        </w:rPr>
        <w:t>brain cance</w:t>
      </w:r>
      <w:r w:rsidR="00955115">
        <w:rPr>
          <w:rFonts w:ascii="Arial" w:eastAsia="Arial" w:hAnsi="Arial" w:cs="Arial"/>
          <w:sz w:val="24"/>
          <w:szCs w:val="24"/>
        </w:rPr>
        <w:t xml:space="preserve">r. </w:t>
      </w:r>
    </w:p>
    <w:p w14:paraId="2E3D2D8E" w14:textId="6D2BA0CC" w:rsidR="002821E2" w:rsidRDefault="00C915F2">
      <w:pPr>
        <w:pStyle w:val="Heading2"/>
        <w:jc w:val="both"/>
        <w:rPr>
          <w:b w:val="0"/>
        </w:rPr>
      </w:pPr>
      <w:bookmarkStart w:id="1" w:name="_qbdjc5mszofe" w:colFirst="0" w:colLast="0"/>
      <w:bookmarkEnd w:id="1"/>
      <w:r>
        <w:rPr>
          <w:b w:val="0"/>
        </w:rPr>
        <w:t>MTX110: A Novel Approach To Treating Brain Cancers</w:t>
      </w:r>
    </w:p>
    <w:p w14:paraId="55063D9C" w14:textId="5294CA15" w:rsidR="00670075" w:rsidRDefault="00C915F2">
      <w:pPr>
        <w:jc w:val="both"/>
        <w:rPr>
          <w:rFonts w:ascii="Arial" w:eastAsia="Arial" w:hAnsi="Arial" w:cs="Arial"/>
          <w:sz w:val="24"/>
          <w:szCs w:val="24"/>
        </w:rPr>
      </w:pPr>
      <w:r>
        <w:rPr>
          <w:rFonts w:ascii="Arial" w:eastAsia="Arial" w:hAnsi="Arial" w:cs="Arial"/>
          <w:sz w:val="24"/>
          <w:szCs w:val="24"/>
        </w:rPr>
        <w:t xml:space="preserve">MTX110 is a </w:t>
      </w:r>
      <w:r w:rsidR="00670075">
        <w:rPr>
          <w:rFonts w:ascii="Arial" w:eastAsia="Arial" w:hAnsi="Arial" w:cs="Arial"/>
          <w:sz w:val="24"/>
          <w:szCs w:val="24"/>
        </w:rPr>
        <w:t xml:space="preserve">proprietary combination of </w:t>
      </w:r>
      <w:r>
        <w:rPr>
          <w:rFonts w:ascii="Arial" w:eastAsia="Arial" w:hAnsi="Arial" w:cs="Arial"/>
          <w:sz w:val="24"/>
          <w:szCs w:val="24"/>
        </w:rPr>
        <w:t xml:space="preserve">water-soluble panobinostat, an FDA-approved drug </w:t>
      </w:r>
      <w:r w:rsidR="00670075">
        <w:rPr>
          <w:rFonts w:ascii="Arial" w:eastAsia="Arial" w:hAnsi="Arial" w:cs="Arial"/>
          <w:sz w:val="24"/>
          <w:szCs w:val="24"/>
        </w:rPr>
        <w:t>for</w:t>
      </w:r>
      <w:r>
        <w:rPr>
          <w:rFonts w:ascii="Arial" w:eastAsia="Arial" w:hAnsi="Arial" w:cs="Arial"/>
          <w:sz w:val="24"/>
          <w:szCs w:val="24"/>
        </w:rPr>
        <w:t xml:space="preserve"> multiple myeloma</w:t>
      </w:r>
      <w:r w:rsidR="00670075">
        <w:rPr>
          <w:rFonts w:ascii="Arial" w:eastAsia="Arial" w:hAnsi="Arial" w:cs="Arial"/>
          <w:sz w:val="24"/>
          <w:szCs w:val="24"/>
        </w:rPr>
        <w:t xml:space="preserve">, and a </w:t>
      </w:r>
      <w:r>
        <w:rPr>
          <w:rFonts w:ascii="Arial" w:eastAsia="Arial" w:hAnsi="Arial" w:cs="Arial"/>
          <w:sz w:val="24"/>
          <w:szCs w:val="24"/>
        </w:rPr>
        <w:t>convection-enhanced delivery (CED)</w:t>
      </w:r>
      <w:r w:rsidR="00670075">
        <w:rPr>
          <w:rFonts w:ascii="Arial" w:eastAsia="Arial" w:hAnsi="Arial" w:cs="Arial"/>
          <w:sz w:val="24"/>
          <w:szCs w:val="24"/>
        </w:rPr>
        <w:t xml:space="preserve"> </w:t>
      </w:r>
      <w:r w:rsidR="002007CE">
        <w:rPr>
          <w:rFonts w:ascii="Arial" w:eastAsia="Arial" w:hAnsi="Arial" w:cs="Arial"/>
          <w:sz w:val="24"/>
          <w:szCs w:val="24"/>
        </w:rPr>
        <w:t xml:space="preserve">pump / </w:t>
      </w:r>
      <w:r w:rsidR="00670075">
        <w:rPr>
          <w:rFonts w:ascii="Arial" w:eastAsia="Arial" w:hAnsi="Arial" w:cs="Arial"/>
          <w:sz w:val="24"/>
          <w:szCs w:val="24"/>
        </w:rPr>
        <w:t xml:space="preserve">catheter </w:t>
      </w:r>
      <w:r w:rsidR="00A3074D">
        <w:rPr>
          <w:rFonts w:ascii="Arial" w:eastAsia="Arial" w:hAnsi="Arial" w:cs="Arial"/>
          <w:sz w:val="24"/>
          <w:szCs w:val="24"/>
        </w:rPr>
        <w:t xml:space="preserve">system </w:t>
      </w:r>
      <w:r w:rsidR="00670075">
        <w:rPr>
          <w:rFonts w:ascii="Arial" w:eastAsia="Arial" w:hAnsi="Arial" w:cs="Arial"/>
          <w:sz w:val="24"/>
          <w:szCs w:val="24"/>
        </w:rPr>
        <w:t xml:space="preserve">that delivers drug directly to </w:t>
      </w:r>
      <w:r w:rsidR="00955115">
        <w:rPr>
          <w:rFonts w:ascii="Arial" w:eastAsia="Arial" w:hAnsi="Arial" w:cs="Arial"/>
          <w:sz w:val="24"/>
          <w:szCs w:val="24"/>
        </w:rPr>
        <w:t xml:space="preserve">and around </w:t>
      </w:r>
      <w:r w:rsidR="00670075">
        <w:rPr>
          <w:rFonts w:ascii="Arial" w:eastAsia="Arial" w:hAnsi="Arial" w:cs="Arial"/>
          <w:sz w:val="24"/>
          <w:szCs w:val="24"/>
        </w:rPr>
        <w:t>the tumor</w:t>
      </w:r>
      <w:r w:rsidR="00955115">
        <w:rPr>
          <w:rFonts w:ascii="Arial" w:eastAsia="Arial" w:hAnsi="Arial" w:cs="Arial"/>
          <w:sz w:val="24"/>
          <w:szCs w:val="24"/>
        </w:rPr>
        <w:t>,</w:t>
      </w:r>
      <w:r w:rsidR="00670075">
        <w:rPr>
          <w:rFonts w:ascii="Arial" w:eastAsia="Arial" w:hAnsi="Arial" w:cs="Arial"/>
          <w:sz w:val="24"/>
          <w:szCs w:val="24"/>
        </w:rPr>
        <w:t xml:space="preserve"> bypassing the blood-brain barrier which typically</w:t>
      </w:r>
      <w:r w:rsidR="00955115">
        <w:rPr>
          <w:rFonts w:ascii="Arial" w:eastAsia="Arial" w:hAnsi="Arial" w:cs="Arial"/>
          <w:sz w:val="24"/>
          <w:szCs w:val="24"/>
        </w:rPr>
        <w:t xml:space="preserve"> plays </w:t>
      </w:r>
      <w:r w:rsidR="00670075">
        <w:rPr>
          <w:rFonts w:ascii="Arial" w:eastAsia="Arial" w:hAnsi="Arial" w:cs="Arial"/>
          <w:sz w:val="24"/>
          <w:szCs w:val="24"/>
        </w:rPr>
        <w:t>a</w:t>
      </w:r>
      <w:r w:rsidR="00862BDA">
        <w:rPr>
          <w:rFonts w:ascii="Arial" w:eastAsia="Arial" w:hAnsi="Arial" w:cs="Arial"/>
          <w:sz w:val="24"/>
          <w:szCs w:val="24"/>
        </w:rPr>
        <w:t xml:space="preserve"> delimiting</w:t>
      </w:r>
      <w:r w:rsidR="00670075">
        <w:rPr>
          <w:rFonts w:ascii="Arial" w:eastAsia="Arial" w:hAnsi="Arial" w:cs="Arial"/>
          <w:sz w:val="24"/>
          <w:szCs w:val="24"/>
        </w:rPr>
        <w:t xml:space="preserve"> </w:t>
      </w:r>
      <w:r w:rsidR="00955115">
        <w:rPr>
          <w:rFonts w:ascii="Arial" w:eastAsia="Arial" w:hAnsi="Arial" w:cs="Arial"/>
          <w:sz w:val="24"/>
          <w:szCs w:val="24"/>
        </w:rPr>
        <w:t>role</w:t>
      </w:r>
      <w:r w:rsidR="00670075">
        <w:rPr>
          <w:rFonts w:ascii="Arial" w:eastAsia="Arial" w:hAnsi="Arial" w:cs="Arial"/>
          <w:sz w:val="24"/>
          <w:szCs w:val="24"/>
        </w:rPr>
        <w:t xml:space="preserve"> in </w:t>
      </w:r>
      <w:r w:rsidR="00955115">
        <w:rPr>
          <w:rFonts w:ascii="Arial" w:eastAsia="Arial" w:hAnsi="Arial" w:cs="Arial"/>
          <w:sz w:val="24"/>
          <w:szCs w:val="24"/>
        </w:rPr>
        <w:t>allowing</w:t>
      </w:r>
      <w:r w:rsidR="00670075">
        <w:rPr>
          <w:rFonts w:ascii="Arial" w:eastAsia="Arial" w:hAnsi="Arial" w:cs="Arial"/>
          <w:sz w:val="24"/>
          <w:szCs w:val="24"/>
        </w:rPr>
        <w:t xml:space="preserve"> </w:t>
      </w:r>
      <w:r w:rsidR="00536F2C">
        <w:rPr>
          <w:rFonts w:ascii="Arial" w:eastAsia="Arial" w:hAnsi="Arial" w:cs="Arial"/>
          <w:sz w:val="24"/>
          <w:szCs w:val="24"/>
        </w:rPr>
        <w:t xml:space="preserve">foreign substances, including  </w:t>
      </w:r>
      <w:r w:rsidR="00670075">
        <w:rPr>
          <w:rFonts w:ascii="Arial" w:eastAsia="Arial" w:hAnsi="Arial" w:cs="Arial"/>
          <w:sz w:val="24"/>
          <w:szCs w:val="24"/>
        </w:rPr>
        <w:t>therapeutic levels of chemotherapies</w:t>
      </w:r>
      <w:r w:rsidR="00536F2C">
        <w:rPr>
          <w:rFonts w:ascii="Arial" w:eastAsia="Arial" w:hAnsi="Arial" w:cs="Arial"/>
          <w:sz w:val="24"/>
          <w:szCs w:val="24"/>
        </w:rPr>
        <w:t>,</w:t>
      </w:r>
      <w:r w:rsidR="00955115">
        <w:rPr>
          <w:rFonts w:ascii="Arial" w:eastAsia="Arial" w:hAnsi="Arial" w:cs="Arial"/>
          <w:sz w:val="24"/>
          <w:szCs w:val="24"/>
        </w:rPr>
        <w:t xml:space="preserve"> </w:t>
      </w:r>
      <w:r w:rsidR="00670075">
        <w:rPr>
          <w:rFonts w:ascii="Arial" w:eastAsia="Arial" w:hAnsi="Arial" w:cs="Arial"/>
          <w:sz w:val="24"/>
          <w:szCs w:val="24"/>
        </w:rPr>
        <w:t xml:space="preserve">to </w:t>
      </w:r>
      <w:r w:rsidR="00955115">
        <w:rPr>
          <w:rFonts w:ascii="Arial" w:eastAsia="Arial" w:hAnsi="Arial" w:cs="Arial"/>
          <w:sz w:val="24"/>
          <w:szCs w:val="24"/>
        </w:rPr>
        <w:t xml:space="preserve">reach </w:t>
      </w:r>
      <w:r w:rsidR="00982097">
        <w:rPr>
          <w:rFonts w:ascii="Arial" w:eastAsia="Arial" w:hAnsi="Arial" w:cs="Arial"/>
          <w:sz w:val="24"/>
          <w:szCs w:val="24"/>
        </w:rPr>
        <w:t xml:space="preserve">inside </w:t>
      </w:r>
      <w:r w:rsidR="00670075">
        <w:rPr>
          <w:rFonts w:ascii="Arial" w:eastAsia="Arial" w:hAnsi="Arial" w:cs="Arial"/>
          <w:sz w:val="24"/>
          <w:szCs w:val="24"/>
        </w:rPr>
        <w:t xml:space="preserve">the brain. </w:t>
      </w:r>
    </w:p>
    <w:p w14:paraId="7C096E6F" w14:textId="7839B9F6" w:rsidR="002821E2" w:rsidRDefault="00862BDA">
      <w:pPr>
        <w:jc w:val="both"/>
        <w:rPr>
          <w:rFonts w:ascii="Arial" w:eastAsia="Arial" w:hAnsi="Arial" w:cs="Arial"/>
          <w:sz w:val="24"/>
          <w:szCs w:val="24"/>
        </w:rPr>
      </w:pPr>
      <w:r>
        <w:rPr>
          <w:rFonts w:ascii="Arial" w:eastAsia="Arial" w:hAnsi="Arial" w:cs="Arial"/>
          <w:sz w:val="24"/>
          <w:szCs w:val="24"/>
        </w:rPr>
        <w:t>T</w:t>
      </w:r>
      <w:r w:rsidR="00C915F2">
        <w:rPr>
          <w:rFonts w:ascii="Arial" w:eastAsia="Arial" w:hAnsi="Arial" w:cs="Arial"/>
          <w:sz w:val="24"/>
          <w:szCs w:val="24"/>
        </w:rPr>
        <w:t xml:space="preserve">he CED </w:t>
      </w:r>
      <w:r>
        <w:rPr>
          <w:rFonts w:ascii="Arial" w:eastAsia="Arial" w:hAnsi="Arial" w:cs="Arial"/>
          <w:sz w:val="24"/>
          <w:szCs w:val="24"/>
        </w:rPr>
        <w:t>technology</w:t>
      </w:r>
      <w:r w:rsidR="00C915F2">
        <w:rPr>
          <w:rFonts w:ascii="Arial" w:eastAsia="Arial" w:hAnsi="Arial" w:cs="Arial"/>
          <w:sz w:val="24"/>
          <w:szCs w:val="24"/>
        </w:rPr>
        <w:t xml:space="preserve"> allows </w:t>
      </w:r>
      <w:r w:rsidR="00536F2C">
        <w:rPr>
          <w:rFonts w:ascii="Arial" w:eastAsia="Arial" w:hAnsi="Arial" w:cs="Arial"/>
          <w:sz w:val="24"/>
          <w:szCs w:val="24"/>
        </w:rPr>
        <w:t xml:space="preserve">cancer-killing </w:t>
      </w:r>
      <w:r w:rsidR="00C915F2">
        <w:rPr>
          <w:rFonts w:ascii="Arial" w:eastAsia="Arial" w:hAnsi="Arial" w:cs="Arial"/>
          <w:sz w:val="24"/>
          <w:szCs w:val="24"/>
        </w:rPr>
        <w:t>MTX110 to bypass th</w:t>
      </w:r>
      <w:r w:rsidR="00982097">
        <w:rPr>
          <w:rFonts w:ascii="Arial" w:eastAsia="Arial" w:hAnsi="Arial" w:cs="Arial"/>
          <w:sz w:val="24"/>
          <w:szCs w:val="24"/>
        </w:rPr>
        <w:t>e</w:t>
      </w:r>
      <w:r w:rsidR="00C915F2">
        <w:rPr>
          <w:rFonts w:ascii="Arial" w:eastAsia="Arial" w:hAnsi="Arial" w:cs="Arial"/>
          <w:sz w:val="24"/>
          <w:szCs w:val="24"/>
        </w:rPr>
        <w:t xml:space="preserve"> barrier, delivering </w:t>
      </w:r>
      <w:r w:rsidR="002007CE">
        <w:rPr>
          <w:rFonts w:ascii="Arial" w:eastAsia="Arial" w:hAnsi="Arial" w:cs="Arial"/>
          <w:sz w:val="24"/>
          <w:szCs w:val="24"/>
        </w:rPr>
        <w:t xml:space="preserve">up to 100,000 times the </w:t>
      </w:r>
      <w:r w:rsidR="00C915F2">
        <w:rPr>
          <w:rFonts w:ascii="Arial" w:eastAsia="Arial" w:hAnsi="Arial" w:cs="Arial"/>
          <w:sz w:val="24"/>
          <w:szCs w:val="24"/>
        </w:rPr>
        <w:t xml:space="preserve">concentrations of drug </w:t>
      </w:r>
      <w:r w:rsidR="002007CE">
        <w:rPr>
          <w:rFonts w:ascii="Arial" w:eastAsia="Arial" w:hAnsi="Arial" w:cs="Arial"/>
          <w:sz w:val="24"/>
          <w:szCs w:val="24"/>
        </w:rPr>
        <w:t xml:space="preserve">compared to oral dosing </w:t>
      </w:r>
      <w:r w:rsidR="00C915F2">
        <w:rPr>
          <w:rFonts w:ascii="Arial" w:eastAsia="Arial" w:hAnsi="Arial" w:cs="Arial"/>
          <w:sz w:val="24"/>
          <w:szCs w:val="24"/>
        </w:rPr>
        <w:t xml:space="preserve">straight to the tumor site via a surgically implanted catheter and pump. This targeted approach </w:t>
      </w:r>
      <w:r>
        <w:rPr>
          <w:rFonts w:ascii="Arial" w:eastAsia="Arial" w:hAnsi="Arial" w:cs="Arial"/>
          <w:sz w:val="24"/>
          <w:szCs w:val="24"/>
        </w:rPr>
        <w:t xml:space="preserve">is designed to </w:t>
      </w:r>
      <w:r w:rsidR="00C915F2">
        <w:rPr>
          <w:rFonts w:ascii="Arial" w:eastAsia="Arial" w:hAnsi="Arial" w:cs="Arial"/>
          <w:sz w:val="24"/>
          <w:szCs w:val="24"/>
        </w:rPr>
        <w:t>not only increase the drug's effectiveness</w:t>
      </w:r>
      <w:r>
        <w:rPr>
          <w:rFonts w:ascii="Arial" w:eastAsia="Arial" w:hAnsi="Arial" w:cs="Arial"/>
          <w:sz w:val="24"/>
          <w:szCs w:val="24"/>
        </w:rPr>
        <w:t>,</w:t>
      </w:r>
      <w:r w:rsidR="00C915F2">
        <w:rPr>
          <w:rFonts w:ascii="Arial" w:eastAsia="Arial" w:hAnsi="Arial" w:cs="Arial"/>
          <w:sz w:val="24"/>
          <w:szCs w:val="24"/>
        </w:rPr>
        <w:t xml:space="preserve"> but also reduce the likelihood of harmful side effects seen in systemic chemotherapy.</w:t>
      </w:r>
      <w:r w:rsidR="00982097">
        <w:rPr>
          <w:rFonts w:ascii="Arial" w:eastAsia="Arial" w:hAnsi="Arial" w:cs="Arial"/>
          <w:sz w:val="24"/>
          <w:szCs w:val="24"/>
        </w:rPr>
        <w:t xml:space="preserve"> The CED catheter and pump stay in place, eliminating the </w:t>
      </w:r>
      <w:r w:rsidR="00536F2C">
        <w:rPr>
          <w:rFonts w:ascii="Arial" w:eastAsia="Arial" w:hAnsi="Arial" w:cs="Arial"/>
          <w:sz w:val="24"/>
          <w:szCs w:val="24"/>
        </w:rPr>
        <w:t xml:space="preserve">surgical </w:t>
      </w:r>
      <w:r w:rsidR="00982097">
        <w:rPr>
          <w:rFonts w:ascii="Arial" w:eastAsia="Arial" w:hAnsi="Arial" w:cs="Arial"/>
          <w:sz w:val="24"/>
          <w:szCs w:val="24"/>
        </w:rPr>
        <w:t xml:space="preserve">need for installing new catheters for each infusion. </w:t>
      </w:r>
    </w:p>
    <w:p w14:paraId="44F8F71A" w14:textId="77777777" w:rsidR="002821E2" w:rsidRDefault="00C915F2">
      <w:pPr>
        <w:jc w:val="both"/>
        <w:rPr>
          <w:rFonts w:ascii="Arial" w:eastAsia="Arial" w:hAnsi="Arial" w:cs="Arial"/>
          <w:sz w:val="24"/>
          <w:szCs w:val="24"/>
        </w:rPr>
      </w:pPr>
      <w:r>
        <w:rPr>
          <w:rFonts w:ascii="Arial" w:eastAsia="Arial" w:hAnsi="Arial" w:cs="Arial"/>
          <w:sz w:val="24"/>
          <w:szCs w:val="24"/>
        </w:rPr>
        <w:t>In addition to its unique delivery mechanism, MTX110's formulation of panobinostat also differentiates it from other therapies. Panobinostat acts as a histone deacetylase inhibitor, a class of compounds known to affect gene expression in cancer cells, slowing their growth and spread. This mechanism, combined with direct tumor delivery, provides a double-pronged approach to combating brain tumors that are otherwise highly resistant to treatment.</w:t>
      </w:r>
    </w:p>
    <w:p w14:paraId="1E1FA300" w14:textId="77777777" w:rsidR="00204B6E" w:rsidRDefault="00204B6E" w:rsidP="00204B6E">
      <w:pPr>
        <w:pStyle w:val="Heading2"/>
        <w:jc w:val="both"/>
        <w:rPr>
          <w:b w:val="0"/>
        </w:rPr>
      </w:pPr>
      <w:bookmarkStart w:id="2" w:name="_dzf9l9hewe7" w:colFirst="0" w:colLast="0"/>
      <w:bookmarkEnd w:id="2"/>
      <w:r>
        <w:rPr>
          <w:b w:val="0"/>
        </w:rPr>
        <w:t>New Data Offers Optimism Amid Bleak Outlook For Glioblastoma</w:t>
      </w:r>
    </w:p>
    <w:p w14:paraId="3EBCEE73" w14:textId="77777777" w:rsidR="00204B6E" w:rsidRDefault="00204B6E" w:rsidP="00204B6E">
      <w:pPr>
        <w:jc w:val="both"/>
        <w:rPr>
          <w:rFonts w:ascii="Arial" w:eastAsia="Arial" w:hAnsi="Arial" w:cs="Arial"/>
          <w:sz w:val="24"/>
          <w:szCs w:val="24"/>
        </w:rPr>
      </w:pPr>
      <w:r>
        <w:rPr>
          <w:rFonts w:ascii="Arial" w:eastAsia="Arial" w:hAnsi="Arial" w:cs="Arial"/>
          <w:sz w:val="24"/>
          <w:szCs w:val="24"/>
        </w:rPr>
        <w:t xml:space="preserve">Glioblastoma is known for its aggressive nature, with a tendency to invade surrounding brain tissue and resist conventional treatments. While the standard treatment approach includes surgery, radiotherapy and temozolomide (TMZ) chemotherapy, the disease almost always recurs. With recurrent cases, options are limited, and survival times are short. According to </w:t>
      </w:r>
      <w:hyperlink r:id="rId8">
        <w:r>
          <w:rPr>
            <w:rFonts w:ascii="Arial" w:eastAsia="Arial" w:hAnsi="Arial" w:cs="Arial"/>
            <w:color w:val="0563C1"/>
            <w:sz w:val="24"/>
            <w:szCs w:val="24"/>
            <w:u w:val="single"/>
          </w:rPr>
          <w:t>a study</w:t>
        </w:r>
      </w:hyperlink>
      <w:r>
        <w:rPr>
          <w:rFonts w:ascii="Arial" w:eastAsia="Arial" w:hAnsi="Arial" w:cs="Arial"/>
          <w:sz w:val="24"/>
          <w:szCs w:val="24"/>
        </w:rPr>
        <w:t xml:space="preserve"> published in </w:t>
      </w:r>
      <w:r>
        <w:rPr>
          <w:rFonts w:ascii="Arial" w:eastAsia="Arial" w:hAnsi="Arial" w:cs="Arial"/>
          <w:i/>
          <w:sz w:val="24"/>
          <w:szCs w:val="24"/>
        </w:rPr>
        <w:t>Neuro-Oncology</w:t>
      </w:r>
      <w:r>
        <w:rPr>
          <w:rFonts w:ascii="Arial" w:eastAsia="Arial" w:hAnsi="Arial" w:cs="Arial"/>
          <w:sz w:val="24"/>
          <w:szCs w:val="24"/>
        </w:rPr>
        <w:t>, median PFS for recurrent glioblastoma ranges from 1.5 to 6 months, while OS typically falls between 2 to 9 months. This grim outlook underscores the need for new therapeutic strategies, such as MTX110.</w:t>
      </w:r>
    </w:p>
    <w:p w14:paraId="71147523" w14:textId="77777777" w:rsidR="00204B6E" w:rsidRDefault="00204B6E" w:rsidP="00204B6E">
      <w:pPr>
        <w:jc w:val="both"/>
        <w:rPr>
          <w:rFonts w:ascii="Arial" w:eastAsia="Arial" w:hAnsi="Arial" w:cs="Arial"/>
          <w:sz w:val="24"/>
          <w:szCs w:val="24"/>
        </w:rPr>
      </w:pPr>
      <w:r>
        <w:rPr>
          <w:rFonts w:ascii="Arial" w:eastAsia="Arial" w:hAnsi="Arial" w:cs="Arial"/>
          <w:sz w:val="24"/>
          <w:szCs w:val="24"/>
        </w:rPr>
        <w:t>The interim data from the MAGIC-G1 study has raised hopes that MTX110 could provide a new treatment option that offers real benefits in survival without the toxicity associated with traditional chemotherapy. Importantly, the CED technology minimizes the drug’s systemic exposure, potentially reducing the severity of side effects and improving the patient’s quality of life during treatment.</w:t>
      </w:r>
    </w:p>
    <w:p w14:paraId="132322EB" w14:textId="77777777" w:rsidR="002821E2" w:rsidRDefault="00C915F2">
      <w:pPr>
        <w:pStyle w:val="Heading2"/>
        <w:jc w:val="both"/>
        <w:rPr>
          <w:b w:val="0"/>
        </w:rPr>
      </w:pPr>
      <w:bookmarkStart w:id="3" w:name="_qput5zlaauh6" w:colFirst="0" w:colLast="0"/>
      <w:bookmarkEnd w:id="3"/>
      <w:r>
        <w:rPr>
          <w:b w:val="0"/>
        </w:rPr>
        <w:t>Extending Life Expectancy In Diffuse Midline Glioma Patients</w:t>
      </w:r>
    </w:p>
    <w:p w14:paraId="045609A2" w14:textId="69126425" w:rsidR="00FD522F" w:rsidRDefault="00C915F2">
      <w:pPr>
        <w:jc w:val="both"/>
        <w:rPr>
          <w:rFonts w:ascii="Arial" w:eastAsia="Arial" w:hAnsi="Arial" w:cs="Arial"/>
          <w:sz w:val="24"/>
          <w:szCs w:val="24"/>
        </w:rPr>
      </w:pPr>
      <w:r>
        <w:rPr>
          <w:rFonts w:ascii="Arial" w:eastAsia="Arial" w:hAnsi="Arial" w:cs="Arial"/>
          <w:sz w:val="24"/>
          <w:szCs w:val="24"/>
        </w:rPr>
        <w:t>Biodexa’s MTX110 promise in treating DMG, a rare but highly aggressive form of brain cancer that often affects children</w:t>
      </w:r>
      <w:r w:rsidR="00FD522F">
        <w:rPr>
          <w:rFonts w:ascii="Arial" w:eastAsia="Arial" w:hAnsi="Arial" w:cs="Arial"/>
          <w:sz w:val="24"/>
          <w:szCs w:val="24"/>
        </w:rPr>
        <w:t xml:space="preserve">, </w:t>
      </w:r>
      <w:r w:rsidR="002007CE">
        <w:rPr>
          <w:rFonts w:ascii="Arial" w:eastAsia="Arial" w:hAnsi="Arial" w:cs="Arial"/>
          <w:sz w:val="24"/>
          <w:szCs w:val="24"/>
        </w:rPr>
        <w:t>ha</w:t>
      </w:r>
      <w:r w:rsidR="00FD522F">
        <w:rPr>
          <w:rFonts w:ascii="Arial" w:eastAsia="Arial" w:hAnsi="Arial" w:cs="Arial"/>
          <w:sz w:val="24"/>
          <w:szCs w:val="24"/>
        </w:rPr>
        <w:t>s be</w:t>
      </w:r>
      <w:r w:rsidR="002B5172">
        <w:rPr>
          <w:rFonts w:ascii="Arial" w:eastAsia="Arial" w:hAnsi="Arial" w:cs="Arial"/>
          <w:sz w:val="24"/>
          <w:szCs w:val="24"/>
        </w:rPr>
        <w:t xml:space="preserve">en demonstrated </w:t>
      </w:r>
      <w:r w:rsidR="00FD522F">
        <w:rPr>
          <w:rFonts w:ascii="Arial" w:eastAsia="Arial" w:hAnsi="Arial" w:cs="Arial"/>
          <w:sz w:val="24"/>
          <w:szCs w:val="24"/>
        </w:rPr>
        <w:t xml:space="preserve">in a pair of Phase 1 clinical trials. </w:t>
      </w:r>
      <w:r>
        <w:rPr>
          <w:rFonts w:ascii="Arial" w:eastAsia="Arial" w:hAnsi="Arial" w:cs="Arial"/>
          <w:sz w:val="24"/>
          <w:szCs w:val="24"/>
        </w:rPr>
        <w:t xml:space="preserve"> </w:t>
      </w:r>
    </w:p>
    <w:p w14:paraId="45FF4D77" w14:textId="0BC449F6" w:rsidR="002821E2" w:rsidRDefault="00C915F2">
      <w:pPr>
        <w:jc w:val="both"/>
        <w:rPr>
          <w:rFonts w:ascii="Arial" w:eastAsia="Arial" w:hAnsi="Arial" w:cs="Arial"/>
          <w:sz w:val="24"/>
          <w:szCs w:val="24"/>
        </w:rPr>
      </w:pPr>
      <w:r>
        <w:rPr>
          <w:rFonts w:ascii="Arial" w:eastAsia="Arial" w:hAnsi="Arial" w:cs="Arial"/>
          <w:sz w:val="24"/>
          <w:szCs w:val="24"/>
        </w:rPr>
        <w:t xml:space="preserve">A phase 1 study conducted by the University of California, San Francisco (UCSF) involved patients with DMG and reported a median overall survival of </w:t>
      </w:r>
      <w:hyperlink r:id="rId9">
        <w:r>
          <w:rPr>
            <w:rFonts w:ascii="Arial" w:eastAsia="Arial" w:hAnsi="Arial" w:cs="Arial"/>
            <w:color w:val="0563C1"/>
            <w:sz w:val="24"/>
            <w:szCs w:val="24"/>
            <w:u w:val="single"/>
          </w:rPr>
          <w:t>26.1 months</w:t>
        </w:r>
      </w:hyperlink>
      <w:r>
        <w:rPr>
          <w:rFonts w:ascii="Arial" w:eastAsia="Arial" w:hAnsi="Arial" w:cs="Arial"/>
          <w:sz w:val="24"/>
          <w:szCs w:val="24"/>
        </w:rPr>
        <w:t>. This contrasts with the historical median survival of around 10 months for patients with DMG, making MTX110’s performance in this setting noteworthy.</w:t>
      </w:r>
    </w:p>
    <w:p w14:paraId="6E4B9BA1" w14:textId="0198C306" w:rsidR="002821E2" w:rsidRDefault="00C915F2">
      <w:pPr>
        <w:jc w:val="both"/>
        <w:rPr>
          <w:rFonts w:ascii="Arial" w:eastAsia="Arial" w:hAnsi="Arial" w:cs="Arial"/>
          <w:sz w:val="24"/>
          <w:szCs w:val="24"/>
        </w:rPr>
      </w:pPr>
      <w:r>
        <w:rPr>
          <w:rFonts w:ascii="Arial" w:eastAsia="Arial" w:hAnsi="Arial" w:cs="Arial"/>
          <w:sz w:val="24"/>
          <w:szCs w:val="24"/>
        </w:rPr>
        <w:t>In a separate phase 1 trial involving newly diagnosed DMG patients at Columbia University, MTX110 demonstrated</w:t>
      </w:r>
      <w:r w:rsidR="002007CE">
        <w:rPr>
          <w:rFonts w:ascii="Arial" w:eastAsia="Arial" w:hAnsi="Arial" w:cs="Arial"/>
          <w:sz w:val="24"/>
          <w:szCs w:val="24"/>
        </w:rPr>
        <w:t>, after only two infusions per patient,</w:t>
      </w:r>
      <w:r>
        <w:rPr>
          <w:rFonts w:ascii="Arial" w:eastAsia="Arial" w:hAnsi="Arial" w:cs="Arial"/>
          <w:sz w:val="24"/>
          <w:szCs w:val="24"/>
        </w:rPr>
        <w:t xml:space="preserve"> similarly </w:t>
      </w:r>
      <w:hyperlink r:id="rId10">
        <w:r>
          <w:rPr>
            <w:rFonts w:ascii="Arial" w:eastAsia="Arial" w:hAnsi="Arial" w:cs="Arial"/>
            <w:color w:val="0563C1"/>
            <w:sz w:val="24"/>
            <w:szCs w:val="24"/>
            <w:u w:val="single"/>
          </w:rPr>
          <w:t>encouraging results</w:t>
        </w:r>
      </w:hyperlink>
      <w:r>
        <w:rPr>
          <w:rFonts w:ascii="Arial" w:eastAsia="Arial" w:hAnsi="Arial" w:cs="Arial"/>
          <w:sz w:val="24"/>
          <w:szCs w:val="24"/>
        </w:rPr>
        <w:t>, improving median overall survival to 16 months</w:t>
      </w:r>
      <w:r w:rsidR="002007CE">
        <w:rPr>
          <w:rFonts w:ascii="Arial" w:eastAsia="Arial" w:hAnsi="Arial" w:cs="Arial"/>
          <w:sz w:val="24"/>
          <w:szCs w:val="24"/>
        </w:rPr>
        <w:t xml:space="preserve">. </w:t>
      </w:r>
      <w:r>
        <w:rPr>
          <w:rFonts w:ascii="Arial" w:eastAsia="Arial" w:hAnsi="Arial" w:cs="Arial"/>
          <w:sz w:val="24"/>
          <w:szCs w:val="24"/>
        </w:rPr>
        <w:t>These results reinforce MTX110's potential to change the treatment landscape for DMG, a cancer that, despite being rare, carries devastating prognoses.</w:t>
      </w:r>
    </w:p>
    <w:p w14:paraId="64C06333" w14:textId="77777777" w:rsidR="002821E2" w:rsidRDefault="00C915F2">
      <w:pPr>
        <w:pStyle w:val="Heading2"/>
        <w:jc w:val="both"/>
        <w:rPr>
          <w:b w:val="0"/>
        </w:rPr>
      </w:pPr>
      <w:bookmarkStart w:id="4" w:name="_eyfw6ikr5sqk" w:colFirst="0" w:colLast="0"/>
      <w:bookmarkStart w:id="5" w:name="_8u0umeu2b0n0" w:colFirst="0" w:colLast="0"/>
      <w:bookmarkEnd w:id="4"/>
      <w:bookmarkEnd w:id="5"/>
      <w:r>
        <w:rPr>
          <w:b w:val="0"/>
        </w:rPr>
        <w:t>A Breakthrough Candidate For Aggressive Brain Cancers?</w:t>
      </w:r>
    </w:p>
    <w:p w14:paraId="43AA785D" w14:textId="77777777" w:rsidR="002821E2" w:rsidRDefault="00C915F2">
      <w:pPr>
        <w:jc w:val="both"/>
        <w:rPr>
          <w:rFonts w:ascii="Arial" w:eastAsia="Arial" w:hAnsi="Arial" w:cs="Arial"/>
          <w:sz w:val="24"/>
          <w:szCs w:val="24"/>
        </w:rPr>
      </w:pPr>
      <w:r>
        <w:rPr>
          <w:rFonts w:ascii="Arial" w:eastAsia="Arial" w:hAnsi="Arial" w:cs="Arial"/>
          <w:sz w:val="24"/>
          <w:szCs w:val="24"/>
        </w:rPr>
        <w:t>Biodexa Pharmaceuticals has strategically positioned MTX110 as a potential game-changer in the treatment of aggressive brain cancers. Both rGBM and DMG are devastating conditions, with very few effective treatments currently available. The early trial results for MTX110 suggest it may offer patients the chance of longer survival and better outcomes than standard therapies can provide.</w:t>
      </w:r>
    </w:p>
    <w:p w14:paraId="7DD863A5" w14:textId="77777777" w:rsidR="002821E2" w:rsidRDefault="00C915F2">
      <w:pPr>
        <w:jc w:val="both"/>
        <w:rPr>
          <w:rFonts w:ascii="Arial" w:eastAsia="Arial" w:hAnsi="Arial" w:cs="Arial"/>
          <w:sz w:val="24"/>
          <w:szCs w:val="24"/>
        </w:rPr>
      </w:pPr>
      <w:r>
        <w:rPr>
          <w:rFonts w:ascii="Arial" w:eastAsia="Arial" w:hAnsi="Arial" w:cs="Arial"/>
          <w:sz w:val="24"/>
          <w:szCs w:val="24"/>
        </w:rPr>
        <w:t>The ongoing phase 1 trials continue to gather crucial data. If these positive trends continue, MTX110 could progress to later-stage clinical trials and possibly become a new standard of care for rGBM and DMG patients. Biodexa’s innovative approach, utilizing CED for targeted drug delivery, could position the company as a leader in developing treatments for cancers with historically poor prognoses. As the research advances, MTX110 remains one to watch in the fight against aggressive brain tumors.</w:t>
      </w:r>
    </w:p>
    <w:p w14:paraId="3C067C4E" w14:textId="1316724C" w:rsidR="00205597" w:rsidRPr="00205597" w:rsidRDefault="00C915F2">
      <w:pPr>
        <w:jc w:val="both"/>
        <w:rPr>
          <w:rFonts w:ascii="Arial" w:eastAsia="Arial" w:hAnsi="Arial" w:cs="Arial"/>
          <w:color w:val="0000FF" w:themeColor="hyperlink"/>
          <w:sz w:val="24"/>
          <w:szCs w:val="24"/>
          <w:u w:val="single"/>
        </w:rPr>
      </w:pPr>
      <w:r>
        <w:rPr>
          <w:rFonts w:ascii="Arial" w:eastAsia="Arial" w:hAnsi="Arial" w:cs="Arial"/>
          <w:color w:val="000000"/>
          <w:sz w:val="24"/>
          <w:szCs w:val="24"/>
        </w:rPr>
        <w:t xml:space="preserve">Featured </w:t>
      </w:r>
      <w:r>
        <w:rPr>
          <w:rFonts w:ascii="Arial" w:eastAsia="Arial" w:hAnsi="Arial" w:cs="Arial"/>
          <w:sz w:val="24"/>
          <w:szCs w:val="24"/>
        </w:rPr>
        <w:t>photo by</w:t>
      </w:r>
      <w:r w:rsidR="00251C2E">
        <w:rPr>
          <w:rFonts w:ascii="Arial" w:eastAsia="Arial" w:hAnsi="Arial" w:cs="Arial"/>
          <w:sz w:val="24"/>
          <w:szCs w:val="24"/>
        </w:rPr>
        <w:t xml:space="preserve"> </w:t>
      </w:r>
      <w:hyperlink r:id="rId11" w:history="1">
        <w:r w:rsidR="00251C2E" w:rsidRPr="00251C2E">
          <w:rPr>
            <w:rStyle w:val="Hyperlink"/>
            <w:rFonts w:ascii="Arial" w:eastAsia="Arial" w:hAnsi="Arial" w:cs="Arial"/>
            <w:sz w:val="24"/>
            <w:szCs w:val="24"/>
          </w:rPr>
          <w:t>Salah Uddin</w:t>
        </w:r>
      </w:hyperlink>
      <w:r>
        <w:rPr>
          <w:rFonts w:ascii="Arial" w:eastAsia="Arial" w:hAnsi="Arial" w:cs="Arial"/>
          <w:sz w:val="24"/>
          <w:szCs w:val="24"/>
        </w:rPr>
        <w:t xml:space="preserve">on </w:t>
      </w:r>
      <w:r w:rsidR="00251C2E">
        <w:rPr>
          <w:rFonts w:ascii="Arial" w:eastAsia="Arial" w:hAnsi="Arial" w:cs="Arial"/>
          <w:sz w:val="24"/>
          <w:szCs w:val="24"/>
        </w:rPr>
        <w:t xml:space="preserve"> </w:t>
      </w:r>
      <w:hyperlink r:id="rId12" w:history="1">
        <w:r w:rsidR="00251C2E" w:rsidRPr="00251C2E">
          <w:rPr>
            <w:rStyle w:val="Hyperlink"/>
            <w:rFonts w:ascii="Arial" w:eastAsia="Arial" w:hAnsi="Arial" w:cs="Arial"/>
            <w:sz w:val="24"/>
            <w:szCs w:val="24"/>
          </w:rPr>
          <w:t>Istockphoto</w:t>
        </w:r>
      </w:hyperlink>
    </w:p>
    <w:p w14:paraId="7815C07E" w14:textId="77777777" w:rsidR="00282905" w:rsidRDefault="00C915F2" w:rsidP="00282905">
      <w:pPr>
        <w:jc w:val="both"/>
        <w:rPr>
          <w:rFonts w:ascii="Arial" w:eastAsia="Arial" w:hAnsi="Arial" w:cs="Arial"/>
          <w:i/>
          <w:color w:val="000000"/>
          <w:sz w:val="24"/>
          <w:szCs w:val="24"/>
        </w:rPr>
      </w:pPr>
      <w:r>
        <w:rPr>
          <w:rFonts w:ascii="Arial" w:eastAsia="Arial" w:hAnsi="Arial" w:cs="Arial"/>
          <w:i/>
          <w:color w:val="000000"/>
          <w:sz w:val="24"/>
          <w:szCs w:val="24"/>
        </w:rPr>
        <w:t>This post contains sponsored content. This content is for informational purposes only and is not intended to be investing advice.</w:t>
      </w:r>
    </w:p>
    <w:p w14:paraId="62E0ADE6" w14:textId="4527AD60" w:rsidR="00282905" w:rsidRDefault="00282905" w:rsidP="00282905">
      <w:pPr>
        <w:jc w:val="both"/>
        <w:rPr>
          <w:rFonts w:ascii="Arial" w:eastAsia="Arial" w:hAnsi="Arial" w:cs="Arial"/>
          <w:iCs/>
          <w:color w:val="000000"/>
          <w:sz w:val="24"/>
          <w:szCs w:val="24"/>
        </w:rPr>
      </w:pPr>
      <w:hyperlink r:id="rId13" w:history="1">
        <w:r w:rsidRPr="00205597">
          <w:rPr>
            <w:rStyle w:val="Hyperlink"/>
            <w:rFonts w:ascii="Arial" w:eastAsia="Arial" w:hAnsi="Arial" w:cs="Arial"/>
            <w:b/>
            <w:bCs/>
            <w:iCs/>
            <w:sz w:val="24"/>
            <w:szCs w:val="24"/>
          </w:rPr>
          <w:t>Click here</w:t>
        </w:r>
      </w:hyperlink>
      <w:r>
        <w:rPr>
          <w:rFonts w:ascii="Arial" w:eastAsia="Arial" w:hAnsi="Arial" w:cs="Arial"/>
          <w:iCs/>
          <w:color w:val="000000"/>
          <w:sz w:val="24"/>
          <w:szCs w:val="24"/>
        </w:rPr>
        <w:t xml:space="preserve"> for more information on Biodexa Pharmaceuticals.</w:t>
      </w:r>
    </w:p>
    <w:p w14:paraId="52273D1C" w14:textId="64B73D29" w:rsidR="007B0C31" w:rsidRPr="00205597" w:rsidRDefault="007B0C31" w:rsidP="007B0C31">
      <w:pPr>
        <w:rPr>
          <w:rFonts w:ascii="Arial" w:eastAsia="Arial" w:hAnsi="Arial" w:cs="Arial"/>
          <w:iCs/>
          <w:color w:val="000000"/>
          <w:sz w:val="24"/>
          <w:szCs w:val="24"/>
        </w:rPr>
      </w:pPr>
      <w:r w:rsidRPr="007B0C31">
        <w:rPr>
          <w:rFonts w:ascii="Arial" w:hAnsi="Arial" w:cs="Arial"/>
          <w:sz w:val="24"/>
          <w:szCs w:val="24"/>
        </w:rPr>
        <w:t>Contact:</w:t>
      </w:r>
      <w:r w:rsidRPr="007B0C31">
        <w:rPr>
          <w:rFonts w:ascii="Arial" w:hAnsi="Arial" w:cs="Arial"/>
          <w:sz w:val="24"/>
          <w:szCs w:val="24"/>
        </w:rPr>
        <w:br/>
        <w:t>Stephen Stamp, CEO, CFO</w:t>
      </w:r>
      <w:r w:rsidRPr="007B0C31">
        <w:rPr>
          <w:rFonts w:ascii="Arial" w:hAnsi="Arial" w:cs="Arial"/>
          <w:sz w:val="24"/>
          <w:szCs w:val="24"/>
        </w:rPr>
        <w:br/>
      </w:r>
      <w:hyperlink r:id="rId14" w:history="1">
        <w:r w:rsidRPr="007B0C31">
          <w:rPr>
            <w:rStyle w:val="Hyperlink"/>
            <w:rFonts w:ascii="Arial" w:hAnsi="Arial" w:cs="Arial"/>
            <w:sz w:val="24"/>
            <w:szCs w:val="24"/>
          </w:rPr>
          <w:t>ir@biodexapharma.com</w:t>
        </w:r>
      </w:hyperlink>
    </w:p>
    <w:p w14:paraId="279B7926" w14:textId="57B61FF8" w:rsidR="002821E2" w:rsidRDefault="00282905">
      <w:pPr>
        <w:jc w:val="both"/>
      </w:pPr>
      <w:r w:rsidRPr="00904DCC">
        <w:rPr>
          <w:b/>
          <w:bCs/>
        </w:rPr>
        <w:t>Important notice, please read</w:t>
      </w:r>
      <w:r w:rsidRPr="00904DCC">
        <w:t>: The information and statistical data contained herein may contain forward-looking statements that reflect the company's intentions, expectations, assumptions, or beliefs concerning future events, including, but not limited to, expectations with respect to FDA and other regulatory bodies approval of new products, technology, and product development milestones, the ability of the company to leverage its product development and negotiate favorable collaborative agreements, the commencement of sales, the size of market opportunities with respect to the company's product candidates and sufficiency of the company's cash flow for future liquidity and capital resource needs and other risks identified in the Risk Factor Section of the company's Annual Report and any subsequent reports filed with the SEC. We do not undertake to advise you as to any change in this information. The forward-looking statements are qualified by important factors that could cause actual results to differ materially from those in the forward-looking statements. In addition, significant fluctuations in quarterly results may occur as a result of varying milestone payments and the timing of costs and expenses related to the company's research and development programs. This is not a solicitation of any offer to buy or sell. Redington, Inc. is paid by Biodexa Pharmaceuticals PLC to provide investor relations services, and its employees or members of their families may from time to time own an equity interest in companies mentioned herein</w:t>
      </w:r>
      <w:r>
        <w:t>.</w:t>
      </w:r>
    </w:p>
    <w:p w14:paraId="5D1C4B95" w14:textId="77777777" w:rsidR="00282905" w:rsidRDefault="00282905">
      <w:pPr>
        <w:jc w:val="both"/>
        <w:rPr>
          <w:rFonts w:ascii="Arial" w:eastAsia="Arial" w:hAnsi="Arial" w:cs="Arial"/>
          <w:sz w:val="24"/>
          <w:szCs w:val="24"/>
        </w:rPr>
      </w:pPr>
    </w:p>
    <w:sectPr w:rsidR="00282905" w:rsidSect="00A629B7">
      <w:footerReference w:type="default" r:id="rId15"/>
      <w:pgSz w:w="11906" w:h="16838"/>
      <w:pgMar w:top="1440" w:right="1440" w:bottom="1440" w:left="1440" w:header="706" w:footer="70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9A3C35" w14:textId="77777777" w:rsidR="00C15327" w:rsidRDefault="00C15327" w:rsidP="00982097">
      <w:pPr>
        <w:spacing w:after="0" w:line="240" w:lineRule="auto"/>
      </w:pPr>
      <w:r>
        <w:separator/>
      </w:r>
    </w:p>
  </w:endnote>
  <w:endnote w:type="continuationSeparator" w:id="0">
    <w:p w14:paraId="0555F7B0" w14:textId="77777777" w:rsidR="00C15327" w:rsidRDefault="00C15327" w:rsidP="009820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59501929"/>
      <w:docPartObj>
        <w:docPartGallery w:val="Page Numbers (Bottom of Page)"/>
        <w:docPartUnique/>
      </w:docPartObj>
    </w:sdtPr>
    <w:sdtEndPr>
      <w:rPr>
        <w:noProof/>
      </w:rPr>
    </w:sdtEndPr>
    <w:sdtContent>
      <w:p w14:paraId="3DAC3695" w14:textId="0A5F9366" w:rsidR="00982097" w:rsidRDefault="0098209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992F75D" w14:textId="77777777" w:rsidR="00982097" w:rsidRDefault="009820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21FA87" w14:textId="77777777" w:rsidR="00C15327" w:rsidRDefault="00C15327" w:rsidP="00982097">
      <w:pPr>
        <w:spacing w:after="0" w:line="240" w:lineRule="auto"/>
      </w:pPr>
      <w:r>
        <w:separator/>
      </w:r>
    </w:p>
  </w:footnote>
  <w:footnote w:type="continuationSeparator" w:id="0">
    <w:p w14:paraId="453374B8" w14:textId="77777777" w:rsidR="00C15327" w:rsidRDefault="00C15327" w:rsidP="0098209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1E2"/>
    <w:rsid w:val="00040DDF"/>
    <w:rsid w:val="000D5A52"/>
    <w:rsid w:val="00122EA9"/>
    <w:rsid w:val="00125583"/>
    <w:rsid w:val="00137421"/>
    <w:rsid w:val="00162069"/>
    <w:rsid w:val="00167536"/>
    <w:rsid w:val="0018467B"/>
    <w:rsid w:val="001A6921"/>
    <w:rsid w:val="001D0FEE"/>
    <w:rsid w:val="002007CE"/>
    <w:rsid w:val="00204B6E"/>
    <w:rsid w:val="00205597"/>
    <w:rsid w:val="00251C2E"/>
    <w:rsid w:val="002821E2"/>
    <w:rsid w:val="00282905"/>
    <w:rsid w:val="002B5172"/>
    <w:rsid w:val="002C37AE"/>
    <w:rsid w:val="002D68E5"/>
    <w:rsid w:val="002F1599"/>
    <w:rsid w:val="002F1ED2"/>
    <w:rsid w:val="002F69F6"/>
    <w:rsid w:val="00372462"/>
    <w:rsid w:val="003B7A09"/>
    <w:rsid w:val="004B12C7"/>
    <w:rsid w:val="004D7DE9"/>
    <w:rsid w:val="00536F2C"/>
    <w:rsid w:val="00577210"/>
    <w:rsid w:val="006432A5"/>
    <w:rsid w:val="00670075"/>
    <w:rsid w:val="00683E19"/>
    <w:rsid w:val="00697C39"/>
    <w:rsid w:val="00735B7D"/>
    <w:rsid w:val="007726A8"/>
    <w:rsid w:val="00795BAC"/>
    <w:rsid w:val="007B0C31"/>
    <w:rsid w:val="007B69B1"/>
    <w:rsid w:val="007C247E"/>
    <w:rsid w:val="00862BDA"/>
    <w:rsid w:val="008829D6"/>
    <w:rsid w:val="00955115"/>
    <w:rsid w:val="0097492F"/>
    <w:rsid w:val="00982097"/>
    <w:rsid w:val="009851B3"/>
    <w:rsid w:val="0099416E"/>
    <w:rsid w:val="00A3074D"/>
    <w:rsid w:val="00A629B7"/>
    <w:rsid w:val="00B42175"/>
    <w:rsid w:val="00B936FF"/>
    <w:rsid w:val="00C15327"/>
    <w:rsid w:val="00C36FBE"/>
    <w:rsid w:val="00C915F2"/>
    <w:rsid w:val="00CA77B8"/>
    <w:rsid w:val="00CF578D"/>
    <w:rsid w:val="00D7218C"/>
    <w:rsid w:val="00D74615"/>
    <w:rsid w:val="00DC78CF"/>
    <w:rsid w:val="00E8166E"/>
    <w:rsid w:val="00ED61EC"/>
    <w:rsid w:val="00F15B56"/>
    <w:rsid w:val="00F462C5"/>
    <w:rsid w:val="00F64F6B"/>
    <w:rsid w:val="00FB1F8F"/>
    <w:rsid w:val="00FD52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7412B"/>
  <w15:docId w15:val="{5DC6BBEB-034C-4039-BF3F-78E7301D2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F15B56"/>
    <w:pPr>
      <w:spacing w:after="0" w:line="240" w:lineRule="auto"/>
    </w:pPr>
  </w:style>
  <w:style w:type="paragraph" w:styleId="Header">
    <w:name w:val="header"/>
    <w:basedOn w:val="Normal"/>
    <w:link w:val="HeaderChar"/>
    <w:uiPriority w:val="99"/>
    <w:unhideWhenUsed/>
    <w:rsid w:val="009820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2097"/>
  </w:style>
  <w:style w:type="paragraph" w:styleId="Footer">
    <w:name w:val="footer"/>
    <w:basedOn w:val="Normal"/>
    <w:link w:val="FooterChar"/>
    <w:uiPriority w:val="99"/>
    <w:unhideWhenUsed/>
    <w:rsid w:val="009820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2097"/>
  </w:style>
  <w:style w:type="character" w:styleId="Hyperlink">
    <w:name w:val="Hyperlink"/>
    <w:basedOn w:val="DefaultParagraphFont"/>
    <w:uiPriority w:val="99"/>
    <w:unhideWhenUsed/>
    <w:rsid w:val="00251C2E"/>
    <w:rPr>
      <w:color w:val="0000FF" w:themeColor="hyperlink"/>
      <w:u w:val="single"/>
    </w:rPr>
  </w:style>
  <w:style w:type="character" w:styleId="UnresolvedMention">
    <w:name w:val="Unresolved Mention"/>
    <w:basedOn w:val="DefaultParagraphFont"/>
    <w:uiPriority w:val="99"/>
    <w:semiHidden/>
    <w:unhideWhenUsed/>
    <w:rsid w:val="00251C2E"/>
    <w:rPr>
      <w:color w:val="605E5C"/>
      <w:shd w:val="clear" w:color="auto" w:fill="E1DFDD"/>
    </w:rPr>
  </w:style>
  <w:style w:type="character" w:styleId="FollowedHyperlink">
    <w:name w:val="FollowedHyperlink"/>
    <w:basedOn w:val="DefaultParagraphFont"/>
    <w:uiPriority w:val="99"/>
    <w:semiHidden/>
    <w:unhideWhenUsed/>
    <w:rsid w:val="00251C2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ncbi.nlm.nih.gov/pmc/articles/PMC7794906/" TargetMode="External"/><Relationship Id="rId13" Type="http://schemas.openxmlformats.org/officeDocument/2006/relationships/hyperlink" Target="https://redingtonvirtual.com/bdrx-aw-2410/" TargetMode="External"/><Relationship Id="rId3" Type="http://schemas.openxmlformats.org/officeDocument/2006/relationships/webSettings" Target="webSettings.xml"/><Relationship Id="rId7" Type="http://schemas.openxmlformats.org/officeDocument/2006/relationships/hyperlink" Target="https://www.benzinga.com/partner/biotech/24/03/37980150/biodexas-mtx110-shows-promise-in-extending-life-expectancy-against-aggressive-brain-cancers" TargetMode="External"/><Relationship Id="rId12" Type="http://schemas.openxmlformats.org/officeDocument/2006/relationships/hyperlink" Target="https://www.istockphoto.com/photo/magnetic-resonance-image-of-the-brain-gm1975243088-558688412"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istockphoto.com/portfolio/SalahUddin100?mediatype=photography"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https://www.biospace.com/biodexa-s-mtx110-shows-promise-in-extending-life-expectancy-against-aggressive-brain-cancers" TargetMode="External"/><Relationship Id="rId4" Type="http://schemas.openxmlformats.org/officeDocument/2006/relationships/footnotes" Target="footnotes.xml"/><Relationship Id="rId9" Type="http://schemas.openxmlformats.org/officeDocument/2006/relationships/hyperlink" Target="https://biodexapharma.com/biodexa-provides-update-on-progression-free-and-overall-survival-in-phase-1-study-of-mtx110-in-recurrent-glioblastoma/" TargetMode="External"/><Relationship Id="rId14" Type="http://schemas.openxmlformats.org/officeDocument/2006/relationships/hyperlink" Target="mailto:ir@biodexapharm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1326</Words>
  <Characters>7560</Characters>
  <Application>Microsoft Office Word</Application>
  <DocSecurity>0</DocSecurity>
  <Lines>63</Lines>
  <Paragraphs>17</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Biodexa’s MX-110 Continues to Show Promise in Recurrent Glioblastoma (rGBM), the</vt:lpstr>
      <vt:lpstr>In a small but important Phase 1 study, MTX110 is outperforming historic norms o</vt:lpstr>
      <vt:lpstr>    MTX110: A Novel Approach To Treating Brain Cancers</vt:lpstr>
      <vt:lpstr>    New Data Offers Optimism Amid Bleak Outlook For Glioblastoma</vt:lpstr>
      <vt:lpstr>    Extending Life Expectancy In Diffuse Midline Glioma Patients</vt:lpstr>
      <vt:lpstr>    A Breakthrough Candidate For Aggressive Brain Cancers?</vt:lpstr>
    </vt:vector>
  </TitlesOfParts>
  <Company/>
  <LinksUpToDate>false</LinksUpToDate>
  <CharactersWithSpaces>8869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Thomas Redington</dc:creator>
  <cp:lastModifiedBy>Deirdre Abbotts</cp:lastModifiedBy>
  <cp:revision>2</cp:revision>
  <cp:lastPrinted>2024-10-09T23:53:00Z</cp:lastPrinted>
  <dcterms:created xsi:type="dcterms:W3CDTF">2024-10-16T16:02:00Z</dcterms:created>
  <dcterms:modified xsi:type="dcterms:W3CDTF">2024-10-16T16:02:00Z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7ff289aa3790595fc4930b5dd2a221fc8b85affa36c44860960a0a60d1535b6d</vt:lpwstr>
  </property>
</Properties>
</file>