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5.1.0 -->
  <w:body>
    <w:p w:rsidR="00A77B3E">
      <w:pPr>
        <w:keepNext/>
        <w:keepLines w:val="0"/>
        <w:pageBreakBefore w:val="0"/>
        <w:widowControl/>
        <w:numPr>
          <w:ilvl w:val="0"/>
          <w:numId w:val="0"/>
        </w:numPr>
        <w:spacing w:before="0" w:after="0" w:line="334" w:lineRule="auto"/>
        <w:ind w:left="0" w:right="0" w:firstLine="0"/>
        <w:jc w:val="center"/>
        <w:outlineLvl w:val="9"/>
        <w:rPr>
          <w:rFonts w:ascii="Times New Roman" w:eastAsia="Times New Roman" w:hAnsi="Times New Roman" w:cs="Times New Roman"/>
          <w:b w:val="0"/>
          <w:i w:val="0"/>
          <w:sz w:val="20"/>
        </w:rPr>
      </w:pPr>
      <w:bookmarkStart w:id="0" w:name="Section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75pt;height:43.5pt">
            <v:imagedata r:id="rId4" o:title=""/>
            <o:lock v:ext="edit" aspectratio="t"/>
          </v:shape>
        </w:pict>
      </w:r>
    </w:p>
    <w:p w:rsidR="00A77B3E">
      <w:pPr>
        <w:keepNext/>
        <w:keepLines w:val="0"/>
        <w:pageBreakBefore w:val="0"/>
        <w:widowControl/>
        <w:numPr>
          <w:ilvl w:val="0"/>
          <w:numId w:val="0"/>
        </w:numPr>
        <w:spacing w:before="0" w:after="0" w:line="312" w:lineRule="auto"/>
        <w:ind w:left="0" w:right="0" w:firstLine="0"/>
        <w:jc w:val="left"/>
        <w:outlineLvl w:val="9"/>
        <w:rPr>
          <w:rFonts w:ascii="Times New Roman" w:eastAsia="Times New Roman" w:hAnsi="Times New Roman" w:cs="Times New Roman"/>
          <w:b w:val="0"/>
          <w:i w:val="0"/>
          <w:sz w:val="20"/>
        </w:rPr>
      </w:pPr>
    </w:p>
    <w:p w:rsidR="00A77B3E">
      <w:pPr>
        <w:keepNext w:val="0"/>
        <w:keepLines w:val="0"/>
        <w:pageBreakBefore w:val="0"/>
        <w:widowControl/>
        <w:numPr>
          <w:ilvl w:val="0"/>
          <w:numId w:val="0"/>
        </w:numPr>
        <w:spacing w:before="0" w:after="0" w:line="319" w:lineRule="auto"/>
        <w:ind w:left="0" w:right="0" w:firstLine="0"/>
        <w:jc w:val="center"/>
        <w:outlineLvl w:val="0"/>
        <w:rPr>
          <w:rFonts w:ascii="Times New Roman" w:eastAsia="Times New Roman" w:hAnsi="Times New Roman" w:cs="Times New Roman"/>
          <w:b w:val="0"/>
          <w:i w:val="0"/>
          <w:sz w:val="24"/>
        </w:rPr>
      </w:pPr>
      <w:r>
        <w:rPr>
          <w:rFonts w:ascii="Times New Roman" w:eastAsia="Times New Roman" w:hAnsi="Times New Roman" w:cs="Times New Roman"/>
          <w:b w:val="0"/>
          <w:i w:val="0"/>
          <w:sz w:val="24"/>
        </w:rPr>
        <w:br/>
      </w:r>
      <w:r>
        <w:rPr>
          <w:rFonts w:ascii="Calibri" w:eastAsia="Calibri" w:hAnsi="Calibri" w:cs="Calibri"/>
          <w:b/>
          <w:i w:val="0"/>
          <w:color w:val="212529"/>
          <w:sz w:val="32"/>
          <w:u w:val="none"/>
          <w:shd w:val="clear" w:color="auto" w:fill="FFFFFF"/>
        </w:rPr>
        <w:t>urban-gro</w:t>
      </w:r>
      <w:r>
        <w:rPr>
          <w:rFonts w:ascii="Calibri" w:eastAsia="Calibri" w:hAnsi="Calibri" w:cs="Calibri"/>
          <w:b/>
          <w:i w:val="0"/>
          <w:color w:val="212529"/>
          <w:sz w:val="32"/>
          <w:u w:val="none"/>
          <w:shd w:val="clear" w:color="auto" w:fill="FFFFFF"/>
        </w:rPr>
        <w:t xml:space="preserve"> </w:t>
      </w:r>
      <w:r>
        <w:rPr>
          <w:rFonts w:ascii="Calibri" w:eastAsia="Calibri" w:hAnsi="Calibri" w:cs="Calibri"/>
          <w:b/>
          <w:i w:val="0"/>
          <w:color w:val="212529"/>
          <w:sz w:val="32"/>
          <w:u w:val="none"/>
          <w:shd w:val="clear" w:color="auto" w:fill="FFFFFF"/>
        </w:rPr>
        <w:t>S</w:t>
      </w:r>
      <w:r>
        <w:rPr>
          <w:rFonts w:ascii="Calibri" w:eastAsia="Calibri" w:hAnsi="Calibri" w:cs="Calibri"/>
          <w:b/>
          <w:i w:val="0"/>
          <w:color w:val="212529"/>
          <w:sz w:val="32"/>
          <w:u w:val="none"/>
          <w:shd w:val="clear" w:color="auto" w:fill="FFFFFF"/>
        </w:rPr>
        <w:t>ecure</w:t>
      </w:r>
      <w:r>
        <w:rPr>
          <w:rFonts w:ascii="Calibri" w:eastAsia="Calibri" w:hAnsi="Calibri" w:cs="Calibri"/>
          <w:b/>
          <w:i w:val="0"/>
          <w:color w:val="212529"/>
          <w:sz w:val="32"/>
          <w:u w:val="none"/>
          <w:shd w:val="clear" w:color="auto" w:fill="FFFFFF"/>
        </w:rPr>
        <w:t>s $4</w:t>
      </w:r>
      <w:r>
        <w:rPr>
          <w:rFonts w:ascii="Calibri" w:eastAsia="Calibri" w:hAnsi="Calibri" w:cs="Calibri"/>
          <w:b/>
          <w:i w:val="0"/>
          <w:color w:val="212529"/>
          <w:sz w:val="32"/>
          <w:u w:val="none"/>
          <w:shd w:val="clear" w:color="auto" w:fill="FFFFFF"/>
        </w:rPr>
        <w:t>M</w:t>
      </w:r>
      <w:r>
        <w:rPr>
          <w:rFonts w:ascii="Calibri" w:eastAsia="Calibri" w:hAnsi="Calibri" w:cs="Calibri"/>
          <w:b/>
          <w:i w:val="0"/>
          <w:color w:val="212529"/>
          <w:sz w:val="32"/>
          <w:u w:val="none"/>
          <w:shd w:val="clear" w:color="auto" w:fill="FFFFFF"/>
        </w:rPr>
        <w:t xml:space="preserve"> </w:t>
      </w:r>
      <w:r>
        <w:rPr>
          <w:rFonts w:ascii="Calibri" w:eastAsia="Calibri" w:hAnsi="Calibri" w:cs="Calibri"/>
          <w:b/>
          <w:i w:val="0"/>
          <w:color w:val="212529"/>
          <w:sz w:val="32"/>
          <w:u w:val="none"/>
          <w:shd w:val="clear" w:color="auto" w:fill="FFFFFF"/>
        </w:rPr>
        <w:t xml:space="preserve">Contract </w:t>
      </w:r>
      <w:r>
        <w:rPr>
          <w:rFonts w:ascii="Calibri" w:eastAsia="Calibri" w:hAnsi="Calibri" w:cs="Calibri"/>
          <w:b/>
          <w:i w:val="0"/>
          <w:color w:val="212529"/>
          <w:sz w:val="32"/>
          <w:u w:val="none"/>
          <w:shd w:val="clear" w:color="auto" w:fill="FFFFFF"/>
        </w:rPr>
        <w:t>as Lead Design Firm for Medical Center</w:t>
      </w:r>
    </w:p>
    <w:p w:rsidR="00A77B3E">
      <w:pPr>
        <w:keepNext w:val="0"/>
        <w:keepLines w:val="0"/>
        <w:pageBreakBefore w:val="0"/>
        <w:widowControl/>
        <w:numPr>
          <w:ilvl w:val="0"/>
          <w:numId w:val="0"/>
        </w:numPr>
        <w:spacing w:before="0" w:after="0" w:line="312" w:lineRule="auto"/>
        <w:ind w:left="0" w:right="0" w:firstLine="0"/>
        <w:jc w:val="both"/>
        <w:outlineLvl w:val="9"/>
        <w:rPr>
          <w:rFonts w:ascii="Times New Roman" w:eastAsia="Times New Roman" w:hAnsi="Times New Roman" w:cs="Times New Roman"/>
          <w:b w:val="0"/>
          <w:i w:val="0"/>
          <w:sz w:val="20"/>
        </w:rPr>
      </w:pPr>
    </w:p>
    <w:p w:rsidR="00A77B3E">
      <w:pPr>
        <w:keepNext w:val="0"/>
        <w:keepLines w:val="0"/>
        <w:pageBreakBefore w:val="0"/>
        <w:widowControl/>
        <w:numPr>
          <w:ilvl w:val="0"/>
          <w:numId w:val="0"/>
        </w:numPr>
        <w:spacing w:before="0" w:after="0" w:line="298" w:lineRule="auto"/>
        <w:ind w:left="0" w:right="0" w:firstLine="0"/>
        <w:jc w:val="both"/>
        <w:outlineLvl w:val="9"/>
        <w:rPr>
          <w:rFonts w:ascii="Times New Roman" w:eastAsia="Times New Roman" w:hAnsi="Times New Roman" w:cs="Times New Roman"/>
          <w:b w:val="0"/>
          <w:i w:val="0"/>
          <w:sz w:val="24"/>
        </w:rPr>
      </w:pPr>
      <w:r>
        <w:rPr>
          <w:rFonts w:ascii="Calibri" w:eastAsia="Calibri" w:hAnsi="Calibri" w:cs="Calibri"/>
          <w:b/>
          <w:i w:val="0"/>
          <w:sz w:val="20"/>
        </w:rPr>
        <w:t xml:space="preserve">LAFAYETTE, Colo., </w:t>
      </w:r>
      <w:r>
        <w:rPr>
          <w:rFonts w:ascii="Calibri" w:eastAsia="Calibri" w:hAnsi="Calibri" w:cs="Calibri"/>
          <w:b/>
          <w:i w:val="0"/>
          <w:sz w:val="20"/>
        </w:rPr>
        <w:t>February 26, 202</w:t>
      </w:r>
      <w:r>
        <w:rPr>
          <w:rFonts w:ascii="Calibri" w:eastAsia="Calibri" w:hAnsi="Calibri" w:cs="Calibri"/>
          <w:b/>
          <w:i w:val="0"/>
          <w:sz w:val="20"/>
        </w:rPr>
        <w:t>5</w:t>
      </w:r>
      <w:r>
        <w:rPr>
          <w:rFonts w:ascii="Calibri" w:eastAsia="Calibri" w:hAnsi="Calibri" w:cs="Calibri"/>
          <w:b w:val="0"/>
          <w:i w:val="0"/>
          <w:sz w:val="20"/>
        </w:rPr>
        <w:t xml:space="preserve"> – urban-gro, Inc. (NASDAQ: UGRO) ("urban-gro" or the "Company"), an integrated professional services and Design-Build firm offering solutions to multiple sectors, today announced that it</w:t>
      </w:r>
      <w:r>
        <w:rPr>
          <w:rFonts w:ascii="Calibri" w:eastAsia="Calibri" w:hAnsi="Calibri" w:cs="Calibri"/>
          <w:b w:val="0"/>
          <w:i w:val="0"/>
          <w:sz w:val="20"/>
        </w:rPr>
        <w:t>s architectural division</w:t>
      </w:r>
      <w:r>
        <w:rPr>
          <w:rFonts w:ascii="Calibri" w:eastAsia="Calibri" w:hAnsi="Calibri" w:cs="Calibri"/>
          <w:b w:val="0"/>
          <w:i w:val="0"/>
          <w:sz w:val="20"/>
        </w:rPr>
        <w:t xml:space="preserve"> has signed </w:t>
      </w:r>
      <w:r>
        <w:rPr>
          <w:rFonts w:ascii="Calibri" w:eastAsia="Calibri" w:hAnsi="Calibri" w:cs="Calibri"/>
          <w:b w:val="0"/>
          <w:i w:val="0"/>
          <w:sz w:val="20"/>
        </w:rPr>
        <w:t>the first phase</w:t>
      </w:r>
      <w:r>
        <w:rPr>
          <w:rFonts w:ascii="Calibri" w:eastAsia="Calibri" w:hAnsi="Calibri" w:cs="Calibri"/>
          <w:b w:val="0"/>
          <w:i w:val="0"/>
          <w:sz w:val="20"/>
        </w:rPr>
        <w:t xml:space="preserve"> of </w:t>
      </w:r>
      <w:r>
        <w:rPr>
          <w:rFonts w:ascii="Calibri" w:eastAsia="Calibri" w:hAnsi="Calibri" w:cs="Calibri"/>
          <w:b w:val="0"/>
          <w:i w:val="0"/>
          <w:sz w:val="20"/>
        </w:rPr>
        <w:t>a professional services agreement valued at approximately $4 million to serve as the lead designer for a</w:t>
      </w:r>
      <w:r>
        <w:rPr>
          <w:rFonts w:ascii="Calibri" w:eastAsia="Calibri" w:hAnsi="Calibri" w:cs="Calibri"/>
          <w:b w:val="0"/>
          <w:i w:val="0"/>
          <w:sz w:val="20"/>
        </w:rPr>
        <w:t xml:space="preserve"> new hospital located in the southeastern U.S. The project aims to bring heightened access to state-of-the-art medical care closer to home for members of the community. </w:t>
      </w:r>
    </w:p>
    <w:p w:rsidR="00A77B3E">
      <w:pPr>
        <w:keepNext w:val="0"/>
        <w:keepLines w:val="0"/>
        <w:pageBreakBefore w:val="0"/>
        <w:widowControl/>
        <w:numPr>
          <w:ilvl w:val="0"/>
          <w:numId w:val="0"/>
        </w:numPr>
        <w:spacing w:before="0" w:after="0" w:line="298" w:lineRule="auto"/>
        <w:ind w:left="0" w:right="0" w:firstLine="0"/>
        <w:jc w:val="both"/>
        <w:outlineLvl w:val="9"/>
        <w:rPr>
          <w:rFonts w:ascii="Times New Roman" w:eastAsia="Times New Roman" w:hAnsi="Times New Roman" w:cs="Times New Roman"/>
          <w:b w:val="0"/>
          <w:i w:val="0"/>
          <w:sz w:val="20"/>
        </w:rPr>
      </w:pPr>
    </w:p>
    <w:p w:rsidR="00A77B3E">
      <w:pPr>
        <w:keepNext w:val="0"/>
        <w:keepLines w:val="0"/>
        <w:pageBreakBefore w:val="0"/>
        <w:widowControl/>
        <w:numPr>
          <w:ilvl w:val="0"/>
          <w:numId w:val="0"/>
        </w:numPr>
        <w:spacing w:before="0" w:after="0" w:line="298" w:lineRule="auto"/>
        <w:ind w:left="0" w:right="0" w:firstLine="0"/>
        <w:jc w:val="both"/>
        <w:outlineLvl w:val="9"/>
        <w:rPr>
          <w:rFonts w:ascii="Times New Roman" w:eastAsia="Times New Roman" w:hAnsi="Times New Roman" w:cs="Times New Roman"/>
          <w:b w:val="0"/>
          <w:i w:val="0"/>
          <w:sz w:val="24"/>
        </w:rPr>
      </w:pPr>
      <w:r>
        <w:rPr>
          <w:rFonts w:ascii="Calibri" w:eastAsia="Calibri" w:hAnsi="Calibri" w:cs="Calibri"/>
          <w:b w:val="0"/>
          <w:i w:val="0"/>
          <w:sz w:val="20"/>
        </w:rPr>
        <w:t>With a</w:t>
      </w:r>
      <w:r>
        <w:rPr>
          <w:rFonts w:ascii="Calibri" w:eastAsia="Calibri" w:hAnsi="Calibri" w:cs="Calibri"/>
          <w:b w:val="0"/>
          <w:i w:val="0"/>
          <w:sz w:val="20"/>
        </w:rPr>
        <w:t xml:space="preserve">n </w:t>
      </w:r>
      <w:r>
        <w:rPr>
          <w:rFonts w:ascii="Calibri" w:eastAsia="Calibri" w:hAnsi="Calibri" w:cs="Calibri"/>
          <w:b w:val="0"/>
          <w:i w:val="0"/>
          <w:sz w:val="20"/>
        </w:rPr>
        <w:t xml:space="preserve">anticipated </w:t>
      </w:r>
      <w:r>
        <w:rPr>
          <w:rFonts w:ascii="Calibri" w:eastAsia="Calibri" w:hAnsi="Calibri" w:cs="Calibri"/>
          <w:b w:val="0"/>
          <w:i w:val="0"/>
          <w:sz w:val="20"/>
        </w:rPr>
        <w:t>phase one</w:t>
      </w:r>
      <w:r>
        <w:rPr>
          <w:rFonts w:ascii="Calibri" w:eastAsia="Calibri" w:hAnsi="Calibri" w:cs="Calibri"/>
          <w:b w:val="0"/>
          <w:i w:val="0"/>
          <w:sz w:val="20"/>
        </w:rPr>
        <w:t xml:space="preserve"> </w:t>
      </w:r>
      <w:r>
        <w:rPr>
          <w:rFonts w:ascii="Calibri" w:eastAsia="Calibri" w:hAnsi="Calibri" w:cs="Calibri"/>
          <w:b w:val="0"/>
          <w:i w:val="0"/>
          <w:sz w:val="20"/>
        </w:rPr>
        <w:t>project construction value of $80 million</w:t>
      </w:r>
      <w:r>
        <w:rPr>
          <w:rFonts w:ascii="Calibri" w:eastAsia="Calibri" w:hAnsi="Calibri" w:cs="Calibri"/>
          <w:b w:val="0"/>
          <w:i w:val="0"/>
          <w:sz w:val="20"/>
        </w:rPr>
        <w:t xml:space="preserve">, urban-gro will provide architectural, interior design, and project management services to the longstanding regional healthcare </w:t>
      </w:r>
      <w:r>
        <w:rPr>
          <w:rFonts w:ascii="Calibri" w:eastAsia="Calibri" w:hAnsi="Calibri" w:cs="Calibri"/>
          <w:b w:val="0"/>
          <w:i w:val="0"/>
          <w:sz w:val="20"/>
        </w:rPr>
        <w:t>client. The Company anticipates recognizing the majority of the project’s revenue</w:t>
      </w:r>
      <w:r>
        <w:rPr>
          <w:rFonts w:ascii="Calibri" w:eastAsia="Calibri" w:hAnsi="Calibri" w:cs="Calibri"/>
          <w:b w:val="0"/>
          <w:i w:val="0"/>
          <w:sz w:val="20"/>
        </w:rPr>
        <w:t xml:space="preserve"> </w:t>
      </w:r>
      <w:r>
        <w:rPr>
          <w:rFonts w:ascii="Calibri" w:eastAsia="Calibri" w:hAnsi="Calibri" w:cs="Calibri"/>
          <w:b w:val="0"/>
          <w:i w:val="0"/>
          <w:sz w:val="20"/>
        </w:rPr>
        <w:t xml:space="preserve">this year. </w:t>
      </w:r>
      <w:r>
        <w:rPr>
          <w:rFonts w:ascii="Calibri" w:eastAsia="Calibri" w:hAnsi="Calibri" w:cs="Calibri"/>
          <w:b w:val="0"/>
          <w:i w:val="0"/>
          <w:sz w:val="20"/>
        </w:rPr>
        <w:t xml:space="preserve">In future phases, </w:t>
      </w:r>
      <w:r>
        <w:rPr>
          <w:rFonts w:ascii="Calibri" w:eastAsia="Calibri" w:hAnsi="Calibri" w:cs="Calibri"/>
          <w:b w:val="0"/>
          <w:i w:val="0"/>
          <w:sz w:val="20"/>
        </w:rPr>
        <w:t xml:space="preserve">urban-gro will </w:t>
      </w:r>
      <w:r>
        <w:rPr>
          <w:rFonts w:ascii="Calibri" w:eastAsia="Calibri" w:hAnsi="Calibri" w:cs="Calibri"/>
          <w:b w:val="0"/>
          <w:i w:val="0"/>
          <w:sz w:val="20"/>
        </w:rPr>
        <w:t xml:space="preserve">also </w:t>
      </w:r>
      <w:r>
        <w:rPr>
          <w:rFonts w:ascii="Calibri" w:eastAsia="Calibri" w:hAnsi="Calibri" w:cs="Calibri"/>
          <w:b w:val="0"/>
          <w:i w:val="0"/>
          <w:sz w:val="20"/>
        </w:rPr>
        <w:t xml:space="preserve">provide this client with master planning and design services for an additional eighty </w:t>
      </w:r>
      <w:r>
        <w:rPr>
          <w:rFonts w:ascii="Calibri" w:eastAsia="Calibri" w:hAnsi="Calibri" w:cs="Calibri"/>
          <w:b w:val="0"/>
          <w:i w:val="0"/>
          <w:sz w:val="20"/>
        </w:rPr>
        <w:t>acres of development.</w:t>
      </w:r>
    </w:p>
    <w:p w:rsidR="00A77B3E">
      <w:pPr>
        <w:keepNext w:val="0"/>
        <w:keepLines w:val="0"/>
        <w:pageBreakBefore w:val="0"/>
        <w:widowControl/>
        <w:numPr>
          <w:ilvl w:val="0"/>
          <w:numId w:val="0"/>
        </w:numPr>
        <w:spacing w:before="0" w:after="0" w:line="298" w:lineRule="auto"/>
        <w:ind w:left="0" w:right="0" w:firstLine="0"/>
        <w:jc w:val="both"/>
        <w:outlineLvl w:val="9"/>
        <w:rPr>
          <w:rFonts w:ascii="Times New Roman" w:eastAsia="Times New Roman" w:hAnsi="Times New Roman" w:cs="Times New Roman"/>
          <w:b w:val="0"/>
          <w:i w:val="0"/>
          <w:sz w:val="20"/>
        </w:rPr>
      </w:pPr>
    </w:p>
    <w:p w:rsidR="00A77B3E">
      <w:pPr>
        <w:keepNext w:val="0"/>
        <w:keepLines w:val="0"/>
        <w:pageBreakBefore w:val="0"/>
        <w:widowControl/>
        <w:numPr>
          <w:ilvl w:val="0"/>
          <w:numId w:val="0"/>
        </w:numPr>
        <w:spacing w:before="0" w:after="0" w:line="298" w:lineRule="auto"/>
        <w:ind w:left="0" w:right="0" w:firstLine="0"/>
        <w:jc w:val="both"/>
        <w:outlineLvl w:val="9"/>
        <w:rPr>
          <w:rFonts w:ascii="Times New Roman" w:eastAsia="Times New Roman" w:hAnsi="Times New Roman" w:cs="Times New Roman"/>
          <w:b w:val="0"/>
          <w:i w:val="0"/>
          <w:sz w:val="24"/>
        </w:rPr>
      </w:pPr>
      <w:r>
        <w:rPr>
          <w:rFonts w:ascii="Calibri" w:eastAsia="Calibri" w:hAnsi="Calibri" w:cs="Calibri"/>
          <w:b w:val="0"/>
          <w:i w:val="0"/>
          <w:sz w:val="20"/>
        </w:rPr>
        <w:t xml:space="preserve">“We look forward to utilizing our deep knowledge and understanding of the intricacies that come with healthcare design to help shape this new medical center,” said Bradley Nattrass, Chairman and CEO of urban-gro. “Our team’s innovative approach thoughtfully integrates functionality with a human-centered focus, ensuring a high quality and compassionate healthcare experience for all who interact with the space.”   </w:t>
      </w:r>
    </w:p>
    <w:p w:rsidR="00A77B3E">
      <w:pPr>
        <w:keepNext w:val="0"/>
        <w:keepLines w:val="0"/>
        <w:pageBreakBefore w:val="0"/>
        <w:widowControl/>
        <w:numPr>
          <w:ilvl w:val="0"/>
          <w:numId w:val="0"/>
        </w:numPr>
        <w:spacing w:before="0" w:after="0" w:line="298" w:lineRule="auto"/>
        <w:ind w:left="0" w:right="0" w:firstLine="0"/>
        <w:jc w:val="both"/>
        <w:outlineLvl w:val="9"/>
        <w:rPr>
          <w:rFonts w:ascii="Times New Roman" w:eastAsia="Times New Roman" w:hAnsi="Times New Roman" w:cs="Times New Roman"/>
          <w:b w:val="0"/>
          <w:i w:val="0"/>
          <w:sz w:val="20"/>
        </w:rPr>
      </w:pPr>
    </w:p>
    <w:p w:rsidR="00A77B3E">
      <w:pPr>
        <w:keepNext w:val="0"/>
        <w:keepLines w:val="0"/>
        <w:pageBreakBefore w:val="0"/>
        <w:widowControl/>
        <w:numPr>
          <w:ilvl w:val="0"/>
          <w:numId w:val="0"/>
        </w:numPr>
        <w:spacing w:before="0" w:after="0" w:line="312" w:lineRule="auto"/>
        <w:ind w:left="0" w:right="0" w:firstLine="0"/>
        <w:jc w:val="both"/>
        <w:outlineLvl w:val="9"/>
        <w:rPr>
          <w:rFonts w:ascii="Times New Roman" w:eastAsia="Times New Roman" w:hAnsi="Times New Roman" w:cs="Times New Roman"/>
          <w:b w:val="0"/>
          <w:i w:val="0"/>
          <w:sz w:val="24"/>
        </w:rPr>
      </w:pPr>
      <w:r>
        <w:rPr>
          <w:rFonts w:ascii="Calibri" w:eastAsia="Calibri" w:hAnsi="Calibri" w:cs="Calibri"/>
          <w:b/>
          <w:i w:val="0"/>
          <w:sz w:val="20"/>
        </w:rPr>
        <w:t>About urban-gro, Inc.</w:t>
      </w:r>
    </w:p>
    <w:p w:rsidR="00A77B3E">
      <w:pPr>
        <w:keepNext/>
        <w:keepLines/>
        <w:pageBreakBefore w:val="0"/>
        <w:widowControl w:val="0"/>
        <w:numPr>
          <w:ilvl w:val="0"/>
          <w:numId w:val="0"/>
        </w:numPr>
        <w:spacing w:before="240" w:after="0" w:line="334" w:lineRule="auto"/>
        <w:ind w:left="0" w:right="0" w:firstLine="0"/>
        <w:jc w:val="both"/>
        <w:outlineLvl w:val="9"/>
        <w:rPr>
          <w:rFonts w:ascii="Times New Roman" w:eastAsia="Times New Roman" w:hAnsi="Times New Roman" w:cs="Times New Roman"/>
          <w:b w:val="0"/>
          <w:i w:val="0"/>
          <w:sz w:val="20"/>
          <w:shd w:val="clear" w:color="auto" w:fill="auto"/>
        </w:rPr>
      </w:pPr>
      <w:r>
        <w:rPr>
          <w:rFonts w:ascii="Calibri" w:eastAsia="Calibri" w:hAnsi="Calibri" w:cs="Calibri"/>
          <w:b w:val="0"/>
          <w:i w:val="0"/>
          <w:sz w:val="20"/>
        </w:rPr>
        <w:t>urban-gro, Inc.® (Nasdaq: UGRO) is an integrated professional services and Design-Build firm. We offer value-added architectural, engineering, and construction management solutions to the Controlled Environment Agriculture ("CEA"), industrial, healthcare, and other commercial sectors. Innovation, collaboration, and creativity drive our team to provide exceptional customer experiences. With offices across North America and in Europe, we deliver </w:t>
      </w:r>
      <w:r>
        <w:rPr>
          <w:rFonts w:ascii="Calibri" w:eastAsia="Calibri" w:hAnsi="Calibri" w:cs="Calibri"/>
          <w:b w:val="0"/>
          <w:i/>
          <w:sz w:val="20"/>
        </w:rPr>
        <w:t>Your Vision - Built</w:t>
      </w:r>
      <w:r>
        <w:rPr>
          <w:rFonts w:ascii="Calibri" w:eastAsia="Calibri" w:hAnsi="Calibri" w:cs="Calibri"/>
          <w:b w:val="0"/>
          <w:i w:val="0"/>
          <w:sz w:val="20"/>
        </w:rPr>
        <w:t>. Learn more by visiting </w:t>
      </w:r>
      <w:hyperlink r:id="rId5" w:history="1">
        <w:r>
          <w:rPr>
            <w:rFonts w:ascii="Calibri" w:eastAsia="Calibri" w:hAnsi="Calibri" w:cs="Calibri"/>
            <w:b w:val="0"/>
            <w:i w:val="0"/>
            <w:color w:val="0563C1"/>
            <w:sz w:val="20"/>
            <w:u w:val="single"/>
            <w:shd w:val="clear" w:color="auto" w:fill="auto"/>
          </w:rPr>
          <w:t>www.urban-gro.com</w:t>
        </w:r>
      </w:hyperlink>
      <w:r>
        <w:rPr>
          <w:rFonts w:ascii="Calibri" w:eastAsia="Calibri" w:hAnsi="Calibri" w:cs="Calibri"/>
          <w:b w:val="0"/>
          <w:i w:val="0"/>
          <w:sz w:val="20"/>
        </w:rPr>
        <w:t>.</w:t>
      </w:r>
    </w:p>
    <w:p w:rsidR="00A77B3E">
      <w:pPr>
        <w:keepNext/>
        <w:keepLines/>
        <w:pageBreakBefore w:val="0"/>
        <w:widowControl w:val="0"/>
        <w:numPr>
          <w:ilvl w:val="0"/>
          <w:numId w:val="0"/>
        </w:numPr>
        <w:spacing w:before="0" w:after="100" w:line="288" w:lineRule="auto"/>
        <w:ind w:left="0" w:right="0" w:firstLine="0"/>
        <w:jc w:val="left"/>
        <w:outlineLvl w:val="9"/>
        <w:rPr>
          <w:rFonts w:ascii="Calibri" w:eastAsia="Calibri" w:hAnsi="Calibri" w:cs="Calibri"/>
          <w:b w:val="0"/>
          <w:i w:val="0"/>
          <w:sz w:val="20"/>
          <w:shd w:val="clear" w:color="auto" w:fill="auto"/>
        </w:rPr>
      </w:pPr>
    </w:p>
    <w:p w:rsidR="00A77B3E">
      <w:pPr>
        <w:keepNext/>
        <w:keepLines/>
        <w:pageBreakBefore w:val="0"/>
        <w:widowControl w:val="0"/>
        <w:numPr>
          <w:ilvl w:val="0"/>
          <w:numId w:val="0"/>
        </w:numPr>
        <w:spacing w:before="0" w:after="100" w:line="288" w:lineRule="auto"/>
        <w:ind w:left="0" w:right="0" w:firstLine="0"/>
        <w:jc w:val="left"/>
        <w:outlineLvl w:val="9"/>
        <w:rPr>
          <w:rFonts w:ascii="Calibri" w:eastAsia="Calibri" w:hAnsi="Calibri" w:cs="Calibri"/>
          <w:b/>
          <w:i w:val="0"/>
          <w:color w:val="212529"/>
          <w:sz w:val="20"/>
          <w:u w:val="none"/>
          <w:shd w:val="clear" w:color="auto" w:fill="FFFFFF"/>
        </w:rPr>
      </w:pPr>
      <w:r>
        <w:rPr>
          <w:rFonts w:ascii="Calibri" w:eastAsia="Calibri" w:hAnsi="Calibri" w:cs="Calibri"/>
          <w:b/>
          <w:i w:val="0"/>
          <w:color w:val="212529"/>
          <w:sz w:val="20"/>
          <w:u w:val="none"/>
          <w:shd w:val="clear" w:color="auto" w:fill="FFFFFF"/>
        </w:rPr>
        <w:t>Safe Harbor Statement</w:t>
      </w:r>
    </w:p>
    <w:p w:rsidR="00A77B3E">
      <w:pPr>
        <w:keepNext w:val="0"/>
        <w:keepLines w:val="0"/>
        <w:pageBreakBefore w:val="0"/>
        <w:widowControl/>
        <w:numPr>
          <w:ilvl w:val="0"/>
          <w:numId w:val="0"/>
        </w:numPr>
        <w:spacing w:before="0" w:after="0" w:line="300" w:lineRule="auto"/>
        <w:ind w:left="0" w:right="0" w:firstLine="0"/>
        <w:jc w:val="both"/>
        <w:outlineLvl w:val="9"/>
        <w:rPr>
          <w:rFonts w:ascii="Calibri" w:eastAsia="Calibri" w:hAnsi="Calibri" w:cs="Calibri"/>
          <w:b w:val="0"/>
          <w:i w:val="0"/>
          <w:sz w:val="20"/>
          <w:shd w:val="clear" w:color="auto" w:fill="auto"/>
        </w:rPr>
      </w:pPr>
      <w:r>
        <w:rPr>
          <w:rFonts w:ascii="Calibri" w:eastAsia="Calibri" w:hAnsi="Calibri" w:cs="Calibri"/>
          <w:b w:val="0"/>
          <w:i/>
          <w:color w:val="212529"/>
          <w:sz w:val="20"/>
          <w:u w:val="none"/>
          <w:shd w:val="clear" w:color="auto" w:fill="FFFFFF"/>
        </w:rPr>
        <w:t>This press release contains forward looking statements within the meaning of Section 27A of the Securities Act of 1933, as amended, and Section 21E of the Securities Exchange Act of 1934, as amended. When used in this release, terms such as</w:t>
      </w:r>
      <w:r>
        <w:rPr>
          <w:rFonts w:ascii="Calibri" w:eastAsia="Calibri" w:hAnsi="Calibri" w:cs="Calibri"/>
          <w:b w:val="0"/>
          <w:i/>
          <w:color w:val="212529"/>
          <w:sz w:val="20"/>
          <w:u w:val="none"/>
          <w:shd w:val="clear" w:color="auto" w:fill="FFFFFF"/>
        </w:rPr>
        <w:t xml:space="preserve"> "will,"</w:t>
      </w:r>
      <w:r>
        <w:rPr>
          <w:rFonts w:ascii="Calibri" w:eastAsia="Calibri" w:hAnsi="Calibri" w:cs="Calibri"/>
          <w:b w:val="0"/>
          <w:i/>
          <w:color w:val="212529"/>
          <w:sz w:val="20"/>
          <w:u w:val="none"/>
          <w:shd w:val="clear" w:color="auto" w:fill="FFFFFF"/>
        </w:rPr>
        <w:t xml:space="preserve"> "aims," </w:t>
      </w:r>
      <w:r>
        <w:rPr>
          <w:rFonts w:ascii="Calibri" w:eastAsia="Calibri" w:hAnsi="Calibri" w:cs="Calibri"/>
          <w:b w:val="0"/>
          <w:i/>
          <w:color w:val="212529"/>
          <w:sz w:val="20"/>
          <w:u w:val="none"/>
          <w:shd w:val="clear" w:color="auto" w:fill="FFFFFF"/>
        </w:rPr>
        <w:t>"anticipates," "may,"</w:t>
      </w:r>
      <w:r>
        <w:rPr>
          <w:rFonts w:ascii="Calibri" w:eastAsia="Calibri" w:hAnsi="Calibri" w:cs="Calibri"/>
          <w:b w:val="0"/>
          <w:i/>
          <w:color w:val="212529"/>
          <w:sz w:val="20"/>
          <w:u w:val="none"/>
          <w:shd w:val="clear" w:color="auto" w:fill="FFFFFF"/>
        </w:rPr>
        <w:t xml:space="preserve"> "look fo</w:t>
      </w:r>
      <w:r>
        <w:rPr>
          <w:rFonts w:ascii="Calibri" w:eastAsia="Calibri" w:hAnsi="Calibri" w:cs="Calibri"/>
          <w:b w:val="0"/>
          <w:i/>
          <w:color w:val="212529"/>
          <w:sz w:val="20"/>
          <w:u w:val="none"/>
          <w:shd w:val="clear" w:color="auto" w:fill="FFFFFF"/>
        </w:rPr>
        <w:t>rward</w:t>
      </w:r>
      <w:r>
        <w:rPr>
          <w:rFonts w:ascii="Calibri" w:eastAsia="Calibri" w:hAnsi="Calibri" w:cs="Calibri"/>
          <w:b w:val="0"/>
          <w:i/>
          <w:color w:val="212529"/>
          <w:sz w:val="20"/>
          <w:u w:val="none"/>
          <w:shd w:val="clear" w:color="auto" w:fill="FFFFFF"/>
        </w:rPr>
        <w:t>,</w:t>
      </w:r>
      <w:r>
        <w:rPr>
          <w:rFonts w:ascii="Calibri" w:eastAsia="Calibri" w:hAnsi="Calibri" w:cs="Calibri"/>
          <w:b w:val="0"/>
          <w:i/>
          <w:color w:val="212529"/>
          <w:sz w:val="20"/>
          <w:u w:val="none"/>
          <w:shd w:val="clear" w:color="auto" w:fill="FFFFFF"/>
        </w:rPr>
        <w:t>"</w:t>
      </w:r>
      <w:r>
        <w:rPr>
          <w:rFonts w:ascii="Calibri" w:eastAsia="Calibri" w:hAnsi="Calibri" w:cs="Calibri"/>
          <w:b w:val="0"/>
          <w:i/>
          <w:color w:val="212529"/>
          <w:sz w:val="20"/>
          <w:u w:val="none"/>
          <w:shd w:val="clear" w:color="auto" w:fill="FFFFFF"/>
        </w:rPr>
        <w:t xml:space="preserve"> "projects" and similar expressions and variations as they relate to the Company or its management are intended to identify forward-looking statements. The forward-looking statements in this press release include, without limitation, the expected magnitude and timing of revenue </w:t>
      </w:r>
      <w:r>
        <w:rPr>
          <w:rFonts w:ascii="Calibri" w:eastAsia="Calibri" w:hAnsi="Calibri" w:cs="Calibri"/>
          <w:b w:val="0"/>
          <w:i/>
          <w:color w:val="212529"/>
          <w:sz w:val="20"/>
          <w:u w:val="none"/>
          <w:shd w:val="clear" w:color="auto" w:fill="FFFFFF"/>
        </w:rPr>
        <w:t>to be recognized from the design project described herein. These and other forward-looking statements are based on current expectations, forecasts, and assumptions that involve risks and uncertainties that could cause actual outcomes and results to differ materially from those anticipated or expected, including, among others, our ability to accurately forecast revenues and costs, our ability to predict and respond to new laws and governmental regulatory actions, including delays granting licenses to clients or potential clients and delays in passage of legislation expected to benefit our clients or potential clients, risks related to adverse weather conditions, supply chain issues, rising interest rates, economic downturn or other factors that could cause delays or the cancellation of projects in our backlog or our ability to secure future projects, our ability to maintain favorable relationships with suppliers, risks associated with reliance on key customers and suppliers, our ability to attract and retain key personnel, and risks related to our information technology systems and infrastructure. A more detailed description of these and certain other factors that could affect actual results is included in the Company's filings with the Securities and Exchange Commission. Readers are cautioned not to place undue reliance on these forward-looking statements, which speak only as of the date hereof. The Company undertakes no obligation to update any forward-looking statements to reflect events or circumstances after the date hereof, except as may be required by law.</w:t>
      </w:r>
    </w:p>
    <w:p w:rsidR="00A77B3E">
      <w:pPr>
        <w:keepNext w:val="0"/>
        <w:keepLines w:val="0"/>
        <w:pageBreakBefore w:val="0"/>
        <w:widowControl/>
        <w:numPr>
          <w:ilvl w:val="0"/>
          <w:numId w:val="0"/>
        </w:numPr>
        <w:spacing w:before="0" w:after="0" w:line="288" w:lineRule="auto"/>
        <w:ind w:left="0" w:right="0" w:firstLine="0"/>
        <w:jc w:val="left"/>
        <w:outlineLvl w:val="9"/>
        <w:rPr>
          <w:rFonts w:ascii="Times New Roman" w:eastAsia="Times New Roman" w:hAnsi="Times New Roman" w:cs="Times New Roman"/>
          <w:b w:val="0"/>
          <w:i w:val="0"/>
          <w:color w:val="000000"/>
          <w:sz w:val="20"/>
          <w:u w:val="none"/>
          <w:shd w:val="clear" w:color="auto" w:fill="auto"/>
        </w:rPr>
      </w:pPr>
    </w:p>
    <w:p w:rsidR="00A77B3E">
      <w:pPr>
        <w:keepNext w:val="0"/>
        <w:keepLines w:val="0"/>
        <w:pageBreakBefore w:val="0"/>
        <w:widowControl/>
        <w:numPr>
          <w:ilvl w:val="0"/>
          <w:numId w:val="0"/>
        </w:numPr>
        <w:spacing w:before="0" w:after="0" w:line="288" w:lineRule="auto"/>
        <w:ind w:left="0" w:right="0" w:firstLine="0"/>
        <w:jc w:val="left"/>
        <w:outlineLvl w:val="9"/>
        <w:rPr>
          <w:rFonts w:ascii="Times New Roman" w:eastAsia="Times New Roman" w:hAnsi="Times New Roman" w:cs="Times New Roman"/>
          <w:b w:val="0"/>
          <w:i w:val="0"/>
          <w:color w:val="000000"/>
          <w:sz w:val="24"/>
          <w:u w:val="none"/>
          <w:shd w:val="clear" w:color="auto" w:fill="auto"/>
        </w:rPr>
      </w:pPr>
    </w:p>
    <w:p w:rsidR="00A77B3E">
      <w:pPr>
        <w:keepNext w:val="0"/>
        <w:keepLines w:val="0"/>
        <w:pageBreakBefore w:val="0"/>
        <w:widowControl/>
        <w:numPr>
          <w:ilvl w:val="0"/>
          <w:numId w:val="0"/>
        </w:numPr>
        <w:spacing w:before="0" w:after="0" w:line="240" w:lineRule="auto"/>
        <w:ind w:left="0" w:right="0" w:firstLine="0"/>
        <w:jc w:val="left"/>
        <w:outlineLvl w:val="9"/>
        <w:rPr>
          <w:rFonts w:ascii="Times New Roman" w:eastAsia="Times New Roman" w:hAnsi="Times New Roman" w:cs="Times New Roman"/>
          <w:b w:val="0"/>
          <w:i w:val="0"/>
          <w:color w:val="000000"/>
          <w:sz w:val="24"/>
          <w:u w:val="none"/>
          <w:shd w:val="clear" w:color="auto" w:fill="auto"/>
        </w:rPr>
      </w:pPr>
      <w:r>
        <w:rPr>
          <w:rFonts w:ascii="Calibri" w:eastAsia="Calibri" w:hAnsi="Calibri" w:cs="Calibri"/>
          <w:b/>
          <w:i w:val="0"/>
          <w:color w:val="212529"/>
          <w:sz w:val="20"/>
          <w:u w:val="none"/>
          <w:shd w:val="clear" w:color="auto" w:fill="FFFFFF"/>
        </w:rPr>
        <w:t>Investor Contact:</w:t>
      </w:r>
    </w:p>
    <w:p w:rsidR="00A77B3E">
      <w:pPr>
        <w:keepNext w:val="0"/>
        <w:keepLines w:val="0"/>
        <w:pageBreakBefore w:val="0"/>
        <w:widowControl/>
        <w:numPr>
          <w:ilvl w:val="0"/>
          <w:numId w:val="0"/>
        </w:numPr>
        <w:spacing w:before="0" w:after="0" w:line="288" w:lineRule="auto"/>
        <w:ind w:left="0" w:right="0" w:firstLine="0"/>
        <w:jc w:val="left"/>
        <w:outlineLvl w:val="9"/>
        <w:rPr>
          <w:rFonts w:ascii="Times New Roman" w:eastAsia="Times New Roman" w:hAnsi="Times New Roman" w:cs="Times New Roman"/>
          <w:b w:val="0"/>
          <w:i w:val="0"/>
          <w:color w:val="000000"/>
          <w:sz w:val="20"/>
          <w:u w:val="none"/>
          <w:shd w:val="clear" w:color="auto" w:fill="auto"/>
        </w:rPr>
      </w:pPr>
      <w:r>
        <w:rPr>
          <w:rFonts w:ascii="Calibri" w:eastAsia="Calibri" w:hAnsi="Calibri" w:cs="Calibri"/>
          <w:b w:val="0"/>
          <w:i w:val="0"/>
          <w:color w:val="212529"/>
          <w:sz w:val="20"/>
          <w:u w:val="none"/>
          <w:shd w:val="clear" w:color="auto" w:fill="FFFFFF"/>
        </w:rPr>
        <w:t>Jeff Sonnek - ICR, Inc.</w:t>
      </w:r>
      <w:r>
        <w:rPr>
          <w:rFonts w:ascii="Calibri" w:eastAsia="Calibri" w:hAnsi="Calibri" w:cs="Calibri"/>
          <w:b w:val="0"/>
          <w:i w:val="0"/>
          <w:color w:val="212529"/>
          <w:sz w:val="20"/>
          <w:u w:val="none"/>
          <w:shd w:val="clear" w:color="auto" w:fill="FFFFFF"/>
        </w:rPr>
        <w:br/>
      </w:r>
      <w:r>
        <w:rPr>
          <w:rFonts w:ascii="Calibri" w:eastAsia="Calibri" w:hAnsi="Calibri" w:cs="Calibri"/>
          <w:b w:val="0"/>
          <w:i w:val="0"/>
          <w:color w:val="212529"/>
          <w:sz w:val="20"/>
          <w:u w:val="none"/>
          <w:shd w:val="clear" w:color="auto" w:fill="FFFFFF"/>
        </w:rPr>
        <w:t>(720) 730-8160</w:t>
      </w:r>
      <w:r>
        <w:rPr>
          <w:rFonts w:ascii="Calibri" w:eastAsia="Calibri" w:hAnsi="Calibri" w:cs="Calibri"/>
          <w:b w:val="0"/>
          <w:i w:val="0"/>
          <w:color w:val="212529"/>
          <w:sz w:val="20"/>
          <w:u w:val="none"/>
          <w:shd w:val="clear" w:color="auto" w:fill="FFFFFF"/>
        </w:rPr>
        <w:br/>
      </w:r>
      <w:hyperlink r:id="rId6" w:history="1">
        <w:r>
          <w:rPr>
            <w:rFonts w:ascii="Calibri" w:eastAsia="Calibri" w:hAnsi="Calibri" w:cs="Calibri"/>
            <w:b w:val="0"/>
            <w:i w:val="0"/>
            <w:color w:val="007BFF"/>
            <w:sz w:val="20"/>
            <w:u w:val="single"/>
            <w:shd w:val="clear" w:color="auto" w:fill="FFFFFF"/>
          </w:rPr>
          <w:t>investors@urban-gro.com</w:t>
        </w:r>
      </w:hyperlink>
    </w:p>
    <w:p w:rsidR="00A77B3E">
      <w:pPr>
        <w:keepNext/>
        <w:keepLines w:val="0"/>
        <w:pageBreakBefore w:val="0"/>
        <w:widowControl/>
        <w:numPr>
          <w:ilvl w:val="0"/>
          <w:numId w:val="0"/>
        </w:numPr>
        <w:spacing w:before="240" w:after="0" w:line="334"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i w:val="0"/>
          <w:sz w:val="20"/>
        </w:rPr>
        <w:t>Media Contact:</w:t>
      </w:r>
    </w:p>
    <w:p w:rsidR="00A77B3E">
      <w:pPr>
        <w:keepNext/>
        <w:keepLines w:val="0"/>
        <w:pageBreakBefore w:val="0"/>
        <w:widowControl/>
        <w:numPr>
          <w:ilvl w:val="0"/>
          <w:numId w:val="0"/>
        </w:numPr>
        <w:spacing w:before="0" w:after="0" w:line="346"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val="0"/>
          <w:i w:val="0"/>
          <w:sz w:val="20"/>
        </w:rPr>
        <w:t xml:space="preserve">Barbara Graham – urban-gro, Inc. </w:t>
      </w:r>
    </w:p>
    <w:p w:rsidR="00A77B3E">
      <w:pPr>
        <w:keepNext w:val="0"/>
        <w:keepLines w:val="0"/>
        <w:pageBreakBefore w:val="0"/>
        <w:widowControl/>
        <w:numPr>
          <w:ilvl w:val="0"/>
          <w:numId w:val="0"/>
        </w:numPr>
        <w:spacing w:before="0" w:after="0" w:line="346"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val="0"/>
          <w:i w:val="0"/>
          <w:sz w:val="20"/>
        </w:rPr>
        <w:t>(720) 903-1139</w:t>
      </w:r>
    </w:p>
    <w:p w:rsidR="00A77B3E">
      <w:pPr>
        <w:keepNext w:val="0"/>
        <w:keepLines w:val="0"/>
        <w:pageBreakBefore w:val="0"/>
        <w:widowControl/>
        <w:numPr>
          <w:ilvl w:val="0"/>
          <w:numId w:val="0"/>
        </w:numPr>
        <w:spacing w:before="0" w:after="0" w:line="386"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val="0"/>
          <w:i w:val="0"/>
          <w:color w:val="000000"/>
          <w:sz w:val="20"/>
          <w:u w:val="single"/>
        </w:rPr>
        <w:t>media@urban-gro.com</w:t>
      </w:r>
    </w:p>
    <w:sectPr>
      <w:headerReference w:type="default" r:id="rId7"/>
      <w:footerReference w:type="default" r:id="rId8"/>
      <w:type w:val="continuous"/>
      <w:pgSz w:w="12240" w:h="15840"/>
      <w:pgMar w:top="720" w:right="720" w:bottom="720" w:left="720" w:header="0" w:footer="26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Next w:val="0"/>
      <w:keepLines w:val="0"/>
      <w:pageBreakBefore w:val="0"/>
      <w:widowControl/>
      <w:numPr>
        <w:ilvl w:val="0"/>
        <w:numId w:val="0"/>
      </w:numPr>
      <w:spacing w:before="0" w:after="0" w:line="334" w:lineRule="auto"/>
      <w:ind w:left="0" w:right="0" w:firstLine="0"/>
      <w:jc w:val="center"/>
      <w:outlineLvl w:val="9"/>
      <w:rPr>
        <w:rFonts w:ascii="Times New Roman" w:eastAsia="Times New Roman" w:hAnsi="Times New Roman" w:cs="Times New Roman"/>
        <w:b w:val="0"/>
        <w:i w:val="0"/>
        <w:sz w:val="24"/>
      </w:rPr>
    </w:pPr>
    <w:r>
      <w:rPr>
        <w:rFonts w:ascii="Calibri" w:eastAsia="Calibri" w:hAnsi="Calibri" w:cs="Calibri"/>
        <w:b w:val="0"/>
        <w:i w:val="0"/>
        <w:sz w:val="20"/>
      </w:rPr>
      <w:fldChar w:fldCharType="begin"/>
    </w:r>
    <w:r>
      <w:rPr>
        <w:rFonts w:ascii="Calibri" w:eastAsia="Calibri" w:hAnsi="Calibri" w:cs="Calibri"/>
        <w:b w:val="0"/>
        <w:i w:val="0"/>
        <w:sz w:val="20"/>
      </w:rPr>
      <w:instrText xml:space="preserve"> PAGE </w:instrText>
    </w:r>
    <w:r>
      <w:rPr>
        <w:rFonts w:ascii="Calibri" w:eastAsia="Calibri" w:hAnsi="Calibri" w:cs="Calibri"/>
        <w:b w:val="0"/>
        <w:i w:val="0"/>
        <w:sz w:val="20"/>
      </w:rPr>
      <w:fldChar w:fldCharType="separate"/>
    </w:r>
    <w:r>
      <w:rPr>
        <w:rFonts w:ascii="Calibri" w:eastAsia="Calibri" w:hAnsi="Calibri" w:cs="Calibri"/>
        <w:b w:val="0"/>
        <w:i w:val="0"/>
        <w:sz w:val="20"/>
      </w:rPr>
      <w:t>2</w:t>
    </w:r>
    <w:r>
      <w:rPr>
        <w:rFonts w:ascii="Calibri" w:eastAsia="Calibri" w:hAnsi="Calibri" w:cs="Calibri"/>
        <w:b w:val="0"/>
        <w:i w:val="0"/>
        <w:sz w:val="20"/>
      </w:rPr>
      <w:fldChar w:fldCharType="end"/>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Next w:val="0"/>
      <w:keepLines w:val="0"/>
      <w:pageBreakBefore w:val="0"/>
      <w:widowControl/>
      <w:numPr>
        <w:ilvl w:val="0"/>
        <w:numId w:val="0"/>
      </w:numPr>
      <w:spacing w:before="0" w:after="0" w:line="334" w:lineRule="auto"/>
      <w:ind w:left="0" w:right="0" w:firstLine="0"/>
      <w:jc w:val="left"/>
      <w:outlineLvl w:val="9"/>
      <w:rPr>
        <w:rFonts w:ascii="Times New Roman" w:eastAsia="Times New Roman" w:hAnsi="Times New Roman" w:cs="Times New Roman"/>
        <w:b w:val="0"/>
        <w:i w:val="0"/>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styleLink w:val="bulletround"/>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1">
    <w:nsid w:val="00000002"/>
    <w:multiLevelType w:val="multilevel"/>
    <w:tmpl w:val="00000002"/>
    <w:styleLink w:val="listarabi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styleLink w:val="ol1"/>
    <w:lvl w:ilvl="0">
      <w:start w:val="1"/>
      <w:numFmt w:val="decimal"/>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lowerLetter"/>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lowerRoman"/>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lowerLetter"/>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lowerRoman"/>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lowerLetter"/>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lowerRoman"/>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3">
    <w:nsid w:val="00000004"/>
    <w:multiLevelType w:val="multilevel"/>
    <w:tmpl w:val="00000004"/>
    <w:styleLink w:val="ol2"/>
    <w:lvl w:ilvl="0">
      <w:start w:val="1"/>
      <w:numFmt w:val="lowerLetter"/>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lowerRoman"/>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decimal"/>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lowerLetter"/>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lowerRoman"/>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decimal"/>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lowerLetter"/>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lowerRoman"/>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decimal"/>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4">
    <w:nsid w:val="00000005"/>
    <w:multiLevelType w:val="multilevel"/>
    <w:tmpl w:val="00000005"/>
    <w:styleLink w:val="ol3"/>
    <w:lvl w:ilvl="0">
      <w:start w:val="1"/>
      <w:numFmt w:val="upperLetter"/>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lowerLetter"/>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lowerRoman"/>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lowerLetter"/>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lowerRoman"/>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lowerLetter"/>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lowerRoman"/>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5">
    <w:nsid w:val="00000006"/>
    <w:multiLevelType w:val="multilevel"/>
    <w:tmpl w:val="00000006"/>
    <w:styleLink w:val="ol4"/>
    <w:lvl w:ilvl="0">
      <w:start w:val="1"/>
      <w:numFmt w:val="lowerRoman"/>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decimal"/>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lowerLetter"/>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lowerRoman"/>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decimal"/>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lowerLetter"/>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lowerRoman"/>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decimal"/>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lowerLetter"/>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6">
    <w:nsid w:val="00000007"/>
    <w:multiLevelType w:val="multilevel"/>
    <w:tmpl w:val="00000007"/>
    <w:styleLink w:val="ol5"/>
    <w:lvl w:ilvl="0">
      <w:start w:val="1"/>
      <w:numFmt w:val="upperRoman"/>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lowerRoman"/>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decimal"/>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lowerLetter"/>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lowerRoman"/>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decimal"/>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lowerLetter"/>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lowerRoman"/>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decimal"/>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7">
    <w:nsid w:val="00000008"/>
    <w:multiLevelType w:val="multilevel"/>
    <w:tmpl w:val="00000008"/>
    <w:styleLink w:val="outlinearabic"/>
    <w:lvl w:ilvl="0">
      <w:start w:val="1"/>
      <w:numFmt w:val="decimal"/>
      <w:lvlText w:val="%1."/>
      <w:lvlJc w:val="left"/>
      <w:pPr>
        <w:tabs>
          <w:tab w:val="num" w:pos="720"/>
        </w:tabs>
        <w:ind w:left="720" w:hanging="360"/>
      </w:pPr>
    </w:lvl>
    <w:lvl w:ilvl="1">
      <w:start w:val="1"/>
      <w:numFmt w:val="decimal"/>
      <w:lvlText w:val="%1.%2."/>
      <w:lvlJc w:val="left"/>
      <w:pPr>
        <w:tabs>
          <w:tab w:val="num" w:pos="1440"/>
        </w:tabs>
        <w:ind w:left="1440" w:hanging="360"/>
      </w:pPr>
    </w:lvl>
    <w:lvl w:ilvl="2">
      <w:start w:val="1"/>
      <w:numFmt w:val="decimal"/>
      <w:lvlText w:val="%1.%2.%3."/>
      <w:lvlJc w:val="left"/>
      <w:pPr>
        <w:tabs>
          <w:tab w:val="num" w:pos="2160"/>
        </w:tabs>
        <w:ind w:left="2160" w:hanging="180"/>
      </w:pPr>
    </w:lvl>
    <w:lvl w:ilvl="3">
      <w:start w:val="1"/>
      <w:numFmt w:val="decimal"/>
      <w:lvlText w:val="%1.%2.%3.%4."/>
      <w:lvlJc w:val="left"/>
      <w:pPr>
        <w:tabs>
          <w:tab w:val="num" w:pos="2880"/>
        </w:tabs>
        <w:ind w:left="2880" w:hanging="360"/>
      </w:pPr>
    </w:lvl>
    <w:lvl w:ilvl="4">
      <w:start w:val="1"/>
      <w:numFmt w:val="decimal"/>
      <w:lvlText w:val="%1.%2.%3.%4.%5."/>
      <w:lvlJc w:val="left"/>
      <w:pPr>
        <w:tabs>
          <w:tab w:val="num" w:pos="3600"/>
        </w:tabs>
        <w:ind w:left="3600" w:hanging="360"/>
      </w:pPr>
    </w:lvl>
    <w:lvl w:ilvl="5">
      <w:start w:val="1"/>
      <w:numFmt w:val="decimal"/>
      <w:lvlText w:val="%1.%2.%3.%4.%5.%6."/>
      <w:lvlJc w:val="left"/>
      <w:pPr>
        <w:tabs>
          <w:tab w:val="num" w:pos="4320"/>
        </w:tabs>
        <w:ind w:left="4320" w:hanging="180"/>
      </w:pPr>
    </w:lvl>
    <w:lvl w:ilvl="6">
      <w:start w:val="1"/>
      <w:numFmt w:val="decimal"/>
      <w:lvlText w:val="%1.%2.%3.%4.%5.%6.%7."/>
      <w:lvlJc w:val="left"/>
      <w:pPr>
        <w:tabs>
          <w:tab w:val="num" w:pos="5040"/>
        </w:tabs>
        <w:ind w:left="5040" w:hanging="360"/>
      </w:pPr>
    </w:lvl>
    <w:lvl w:ilvl="7">
      <w:start w:val="1"/>
      <w:numFmt w:val="decimal"/>
      <w:lvlText w:val="%1.%2.%3.%4.%5.%6.%7.%8."/>
      <w:lvlJc w:val="left"/>
      <w:pPr>
        <w:tabs>
          <w:tab w:val="num" w:pos="5760"/>
        </w:tabs>
        <w:ind w:left="5760" w:hanging="360"/>
      </w:pPr>
    </w:lvl>
    <w:lvl w:ilvl="8">
      <w:start w:val="1"/>
      <w:numFmt w:val="decimal"/>
      <w:lvlText w:val="%1.%2.%3.%4.%5.%6.%7.%8.%9."/>
      <w:lvlJc w:val="left"/>
      <w:pPr>
        <w:tabs>
          <w:tab w:val="num" w:pos="6480"/>
        </w:tabs>
        <w:ind w:left="6480" w:hanging="180"/>
      </w:pPr>
    </w:lvl>
  </w:abstractNum>
  <w:abstractNum w:abstractNumId="8">
    <w:nsid w:val="00000009"/>
    <w:multiLevelType w:val="multilevel"/>
    <w:tmpl w:val="00000009"/>
    <w:styleLink w:val="ul1"/>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9">
    <w:nsid w:val="0000000A"/>
    <w:multiLevelType w:val="multilevel"/>
    <w:tmpl w:val="0000000A"/>
    <w:styleLink w:val="ul2"/>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0">
    <w:nsid w:val="0000000B"/>
    <w:multiLevelType w:val="multilevel"/>
    <w:tmpl w:val="0000000B"/>
    <w:styleLink w:val="ul3"/>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1">
    <w:nsid w:val="0000000C"/>
    <w:multiLevelType w:val="multilevel"/>
    <w:tmpl w:val="0000000C"/>
    <w:styleLink w:val="ul4"/>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2">
    <w:nsid w:val="0000000D"/>
    <w:multiLevelType w:val="multilevel"/>
    <w:tmpl w:val="0000000D"/>
    <w:styleLink w:val="ul5"/>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3">
    <w:nsid w:val="0000000E"/>
    <w:multiLevelType w:val="multilevel"/>
    <w:tmpl w:val="0000000E"/>
    <w:styleLink w:val="ul6"/>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4">
    <w:nsid w:val="0000000F"/>
    <w:multiLevelType w:val="multilevel"/>
    <w:tmpl w:val="0000000F"/>
    <w:styleLink w:val="ul7"/>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noLeading/>
    <w:suppressTopSpacingWP/>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kern w:val="1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numbering" w:customStyle="1" w:styleId="bulletround">
    <w:name w:val="bullet.round"/>
    <w:pPr>
      <w:numPr>
        <w:numId w:val="1"/>
      </w:numPr>
    </w:pPr>
  </w:style>
  <w:style w:type="numbering" w:customStyle="1" w:styleId="listarabic">
    <w:name w:val="list.arabic"/>
    <w:pPr>
      <w:numPr>
        <w:numId w:val="2"/>
      </w:numPr>
    </w:pPr>
  </w:style>
  <w:style w:type="numbering" w:customStyle="1" w:styleId="ol1">
    <w:name w:val="ol1"/>
    <w:pPr>
      <w:numPr>
        <w:numId w:val="3"/>
      </w:numPr>
    </w:pPr>
  </w:style>
  <w:style w:type="numbering" w:customStyle="1" w:styleId="ol2">
    <w:name w:val="ol2"/>
    <w:pPr>
      <w:numPr>
        <w:numId w:val="4"/>
      </w:numPr>
    </w:pPr>
  </w:style>
  <w:style w:type="numbering" w:customStyle="1" w:styleId="ol3">
    <w:name w:val="ol3"/>
    <w:pPr>
      <w:numPr>
        <w:numId w:val="5"/>
      </w:numPr>
    </w:pPr>
  </w:style>
  <w:style w:type="numbering" w:customStyle="1" w:styleId="ol4">
    <w:name w:val="ol4"/>
    <w:pPr>
      <w:numPr>
        <w:numId w:val="6"/>
      </w:numPr>
    </w:pPr>
  </w:style>
  <w:style w:type="numbering" w:customStyle="1" w:styleId="ol5">
    <w:name w:val="ol5"/>
    <w:pPr>
      <w:numPr>
        <w:numId w:val="7"/>
      </w:numPr>
    </w:pPr>
  </w:style>
  <w:style w:type="numbering" w:customStyle="1" w:styleId="outlinearabic">
    <w:name w:val="outline.arabic"/>
    <w:pPr>
      <w:numPr>
        <w:numId w:val="8"/>
      </w:numPr>
    </w:pPr>
  </w:style>
  <w:style w:type="numbering" w:customStyle="1" w:styleId="ul1">
    <w:name w:val="ul1"/>
    <w:pPr>
      <w:numPr>
        <w:numId w:val="9"/>
      </w:numPr>
    </w:pPr>
  </w:style>
  <w:style w:type="numbering" w:customStyle="1" w:styleId="ul2">
    <w:name w:val="ul2"/>
    <w:pPr>
      <w:numPr>
        <w:numId w:val="10"/>
      </w:numPr>
    </w:pPr>
  </w:style>
  <w:style w:type="numbering" w:customStyle="1" w:styleId="ul3">
    <w:name w:val="ul3"/>
    <w:pPr>
      <w:numPr>
        <w:numId w:val="11"/>
      </w:numPr>
    </w:pPr>
  </w:style>
  <w:style w:type="numbering" w:customStyle="1" w:styleId="ul4">
    <w:name w:val="ul4"/>
    <w:pPr>
      <w:numPr>
        <w:numId w:val="12"/>
      </w:numPr>
    </w:pPr>
  </w:style>
  <w:style w:type="numbering" w:customStyle="1" w:styleId="ul5">
    <w:name w:val="ul5"/>
    <w:pPr>
      <w:numPr>
        <w:numId w:val="13"/>
      </w:numPr>
    </w:pPr>
  </w:style>
  <w:style w:type="numbering" w:customStyle="1" w:styleId="ul6">
    <w:name w:val="ul6"/>
    <w:pPr>
      <w:numPr>
        <w:numId w:val="14"/>
      </w:numPr>
    </w:pPr>
  </w:style>
  <w:style w:type="numbering" w:customStyle="1" w:styleId="ul7">
    <w:name w:val="ul7"/>
    <w:pPr>
      <w:numPr>
        <w:numId w:val="15"/>
      </w:numP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pr.report/8Ru3VGkn" TargetMode="External" /><Relationship Id="rId6" Type="http://schemas.openxmlformats.org/officeDocument/2006/relationships/hyperlink" Target="mailto:investors@urban-gro.com" TargetMode="Externa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Ex.99.1 (GA Hospital Design) 2.5.25</dc:title>
  <cp:revision>1</cp:revision>
</cp:coreProperties>
</file>