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34F47B2C" w14:textId="54C6E847" w:rsidR="0086099C" w:rsidRDefault="0086099C" w:rsidP="00EC6072">
      <w:pPr>
        <w:pBdr>
          <w:top w:val="nil"/>
          <w:left w:val="nil"/>
          <w:bottom w:val="single" w:sz="12" w:space="1" w:color="auto"/>
          <w:right w:val="nil"/>
          <w:between w:val="nil"/>
          <w:bar w:val="nil"/>
        </w:pBdr>
        <w:rPr>
          <w:color w:val="000000"/>
        </w:rPr>
        <w:sectPr w:rsidR="0086099C">
          <w:headerReference w:type="default" r:id="rId7"/>
          <w:footerReference w:type="default" r:id="rId8"/>
          <w:footerReference w:type="first" r:id="rId9"/>
          <w:pgSz w:w="612pt" w:h="792pt"/>
          <w:pgMar w:top="36pt" w:right="36pt" w:bottom="36pt" w:left="36pt" w:header="0pt" w:footer="0pt" w:gutter="0pt"/>
          <w:pgBorders>
            <w:top w:val="nil"/>
            <w:left w:val="nil"/>
            <w:bottom w:val="nil"/>
            <w:right w:val="nil"/>
          </w:pgBorders>
          <w:cols w:space="36pt"/>
          <w:docGrid w:linePitch="360"/>
          <w15:footnoteColumns w:val="1"/>
        </w:sectPr>
      </w:pPr>
    </w:p>
    <w:p w14:paraId="22261EBA" w14:textId="77777777" w:rsidR="00A77B3E" w:rsidRDefault="00A77B3E">
      <w:pPr>
        <w:pBdr>
          <w:top w:val="nil"/>
          <w:left w:val="nil"/>
          <w:bottom w:val="nil"/>
          <w:right w:val="nil"/>
          <w:between w:val="nil"/>
          <w:bar w:val="nil"/>
        </w:pBdr>
        <w:rPr>
          <w:rFonts w:ascii="Open Sans" w:eastAsia="Open Sans" w:hAnsi="Open Sans" w:cs="Open Sans"/>
          <w:color w:val="000000"/>
          <w:sz w:val="18"/>
        </w:rPr>
      </w:pPr>
    </w:p>
    <w:p w14:paraId="58B9849A"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FOR IMMEDIATE RELEASE </w:t>
      </w:r>
    </w:p>
    <w:p w14:paraId="6020F20B"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November 13, 2024 </w:t>
      </w:r>
    </w:p>
    <w:p w14:paraId="6AF271A0" w14:textId="77777777" w:rsidR="0086099C" w:rsidRDefault="00000000">
      <w:pPr>
        <w:pBdr>
          <w:top w:val="nil"/>
          <w:left w:val="nil"/>
          <w:bottom w:val="nil"/>
          <w:right w:val="nil"/>
          <w:between w:val="nil"/>
          <w:bar w:val="nil"/>
        </w:pBdr>
        <w:jc w:val="center"/>
        <w:rPr>
          <w:rFonts w:ascii="Open Sans" w:eastAsia="Open Sans" w:hAnsi="Open Sans" w:cs="Open Sans"/>
          <w:b/>
          <w:color w:val="154360"/>
          <w:sz w:val="18"/>
        </w:rPr>
      </w:pPr>
      <w:r>
        <w:rPr>
          <w:rFonts w:ascii="Open Sans" w:eastAsia="Open Sans" w:hAnsi="Open Sans" w:cs="Open Sans"/>
          <w:b/>
          <w:color w:val="154360"/>
          <w:sz w:val="18"/>
        </w:rPr>
        <w:t xml:space="preserve"> </w:t>
      </w:r>
    </w:p>
    <w:p w14:paraId="71FDFAF6"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Generation Income Properties Announces Third Quarter 2024 Financial and Operating Results </w:t>
      </w:r>
    </w:p>
    <w:p w14:paraId="3791A887"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TAMPA, FLORIDA – Generation Income Properties, Inc. (NASDAQ: GIPR) ("GIPR" or the "Company") today announced its three and nine month financial and operating results for the period ended September 30, 2024.</w:t>
      </w:r>
    </w:p>
    <w:p w14:paraId="69FB11F1"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 </w:t>
      </w:r>
    </w:p>
    <w:p w14:paraId="5FEC2EA7"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b/>
          <w:color w:val="154360"/>
          <w:sz w:val="18"/>
        </w:rPr>
        <w:t>Quarterly Highlights</w:t>
      </w:r>
      <w:r>
        <w:rPr>
          <w:rFonts w:ascii="Open Sans" w:eastAsia="Open Sans" w:hAnsi="Open Sans" w:cs="Open Sans"/>
          <w:color w:val="154360"/>
          <w:sz w:val="18"/>
        </w:rPr>
        <w:t xml:space="preserve"> </w:t>
      </w:r>
    </w:p>
    <w:p w14:paraId="02C6B049"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(For the 3 months ended September  30, 2024) </w:t>
      </w:r>
    </w:p>
    <w:p w14:paraId="1B659E6A" w14:textId="77777777" w:rsidR="0086099C" w:rsidRDefault="00000000">
      <w:pPr>
        <w:numPr>
          <w:ilvl w:val="0"/>
          <w:numId w:val="1"/>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Generated net loss attributable to GIP common shareholders of $2.1 million, or ($0.55) per basic and diluted share. </w:t>
      </w:r>
    </w:p>
    <w:p w14:paraId="247AFD56" w14:textId="77777777" w:rsidR="0086099C" w:rsidRDefault="00000000">
      <w:pPr>
        <w:numPr>
          <w:ilvl w:val="0"/>
          <w:numId w:val="1"/>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Generated Core FFO of ($146 thousand), or ($0.03) per basic and diluted share. </w:t>
      </w:r>
    </w:p>
    <w:p w14:paraId="1D5598E5" w14:textId="77777777" w:rsidR="0086099C" w:rsidRDefault="00000000">
      <w:pPr>
        <w:numPr>
          <w:ilvl w:val="0"/>
          <w:numId w:val="1"/>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Generated Core AFFO of $132 thousand, or $0.02 per basic and diluted share. </w:t>
      </w:r>
    </w:p>
    <w:p w14:paraId="77D75C0F"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1BF3A79C"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FFO and related measures are supplemental non-GAAP financial measures used in the real estate industry to measure and compare the operating performance of real estate companies. A complete reconciliation containing adjustments from GAAP net income to Core FFO and Core AFFO is included at the end of this release.</w:t>
      </w:r>
    </w:p>
    <w:p w14:paraId="6D71BE65"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3FA227C5"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Portfolio </w:t>
      </w:r>
    </w:p>
    <w:p w14:paraId="4ADC8CCE"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0A128551" w14:textId="77777777" w:rsidR="0086099C" w:rsidRDefault="00000000">
      <w:pPr>
        <w:numPr>
          <w:ilvl w:val="0"/>
          <w:numId w:val="2"/>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Approximately 60% of our portfolio’s annualized base rent ("ABR") as of September 30, 2024 was derived from tenants that have (or whose parent company has) an investment grade credit rating from a recognized credit rating agency of “BBB-” or better. Our largest tenants are the General Service Administration, Dollar General, EXP Services, and Kohl’s Corporation, PRA Holdings, and City of San Antonio which collectively contributed approximately 69% of our portfolio’s annualized base rent. </w:t>
      </w:r>
    </w:p>
    <w:p w14:paraId="03913D09" w14:textId="77777777" w:rsidR="0086099C" w:rsidRDefault="00000000">
      <w:pPr>
        <w:numPr>
          <w:ilvl w:val="0"/>
          <w:numId w:val="2"/>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Our portfolio is 89% leased and occupied and tenants are 100% rent paying. </w:t>
      </w:r>
    </w:p>
    <w:p w14:paraId="75DF361E" w14:textId="77777777" w:rsidR="0086099C" w:rsidRDefault="00000000">
      <w:pPr>
        <w:numPr>
          <w:ilvl w:val="0"/>
          <w:numId w:val="2"/>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Approximately 92% of the leases in our current portfolio (based on ABR as of September 30, 2024) provide for increases in contractual base rent during future years of the current term or during the lease extension periods. </w:t>
      </w:r>
    </w:p>
    <w:p w14:paraId="0F2C116A" w14:textId="77777777" w:rsidR="0086099C" w:rsidRDefault="00000000">
      <w:pPr>
        <w:numPr>
          <w:ilvl w:val="0"/>
          <w:numId w:val="2"/>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Average effective annual rental per square foot is $14.75. </w:t>
      </w:r>
    </w:p>
    <w:p w14:paraId="28A4D45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 </w:t>
      </w:r>
    </w:p>
    <w:p w14:paraId="5673F137"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Liquidity and Capital Resources </w:t>
      </w:r>
    </w:p>
    <w:p w14:paraId="38F9A75E" w14:textId="77777777" w:rsidR="0086099C" w:rsidRDefault="00000000">
      <w:pPr>
        <w:numPr>
          <w:ilvl w:val="0"/>
          <w:numId w:val="3"/>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$1.58 million in total cash and cash equivalents as of September 30, 2024. </w:t>
      </w:r>
    </w:p>
    <w:p w14:paraId="5C969990" w14:textId="77777777" w:rsidR="0086099C" w:rsidRDefault="00000000">
      <w:pPr>
        <w:numPr>
          <w:ilvl w:val="0"/>
          <w:numId w:val="3"/>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Total mortgage loans, net was $59.7 million as of June 30, 2024. </w:t>
      </w:r>
    </w:p>
    <w:p w14:paraId="188E100B"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  </w:t>
      </w:r>
    </w:p>
    <w:p w14:paraId="1D0A2A99"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Financial Results </w:t>
      </w:r>
    </w:p>
    <w:p w14:paraId="2A10F6B1" w14:textId="77777777" w:rsidR="0086099C" w:rsidRDefault="00000000">
      <w:pPr>
        <w:numPr>
          <w:ilvl w:val="0"/>
          <w:numId w:val="4"/>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rPr>
      </w:pPr>
      <w:r>
        <w:rPr>
          <w:rFonts w:ascii="Open Sans" w:eastAsia="Open Sans" w:hAnsi="Open Sans" w:cs="Open Sans"/>
          <w:color w:val="154360"/>
          <w:sz w:val="18"/>
        </w:rPr>
        <w:t xml:space="preserve">During the three and nine months ended September 30, 2024, total revenue from operations were $2.4 million and $7.09 million respectively, as compared to $1.8 million and $4.5 million for the three and nine months ended September 30, 2023, respectively. The overall revenue increase was driven by the integration of the 13 property portfolio acquired from </w:t>
      </w:r>
      <w:proofErr w:type="spellStart"/>
      <w:r>
        <w:rPr>
          <w:rFonts w:ascii="Open Sans" w:eastAsia="Open Sans" w:hAnsi="Open Sans" w:cs="Open Sans"/>
          <w:color w:val="154360"/>
          <w:sz w:val="18"/>
        </w:rPr>
        <w:t>Modiv</w:t>
      </w:r>
      <w:proofErr w:type="spellEnd"/>
      <w:r>
        <w:rPr>
          <w:rFonts w:ascii="Open Sans" w:eastAsia="Open Sans" w:hAnsi="Open Sans" w:cs="Open Sans"/>
          <w:color w:val="154360"/>
          <w:sz w:val="18"/>
        </w:rPr>
        <w:t xml:space="preserve"> in August 2023. </w:t>
      </w:r>
    </w:p>
    <w:p w14:paraId="67D4A63C" w14:textId="77777777" w:rsidR="0086099C" w:rsidRDefault="00000000">
      <w:pPr>
        <w:numPr>
          <w:ilvl w:val="0"/>
          <w:numId w:val="5"/>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Operating expenses, including G&amp;A, for the same periods in the current year were $3.8 million and $11.1 million, respectively, due to increases in depreciation and amortization and interest expense from recent acquisitions. </w:t>
      </w:r>
    </w:p>
    <w:p w14:paraId="63FA4601" w14:textId="77777777" w:rsidR="0086099C" w:rsidRDefault="00000000">
      <w:pPr>
        <w:numPr>
          <w:ilvl w:val="0"/>
          <w:numId w:val="6"/>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Net operating income (“NOI”) for the three months ended September 30, 2024 was $1.7 million and $1.4 million for the same period last year, which is a direct result of the acquisition of properties. </w:t>
      </w:r>
    </w:p>
    <w:p w14:paraId="135C7805" w14:textId="77777777" w:rsidR="0086099C" w:rsidRDefault="00000000">
      <w:pPr>
        <w:numPr>
          <w:ilvl w:val="0"/>
          <w:numId w:val="7"/>
        </w:numPr>
        <w:pBdr>
          <w:top w:val="nil"/>
          <w:left w:val="nil"/>
          <w:bottom w:val="nil"/>
          <w:right w:val="nil"/>
          <w:between w:val="nil"/>
          <w:bar w:val="nil"/>
        </w:pBdr>
        <w:tabs>
          <w:tab w:val="clear" w:pos="0pt"/>
        </w:tabs>
        <w:spacing w:before="6pt"/>
        <w:ind w:hanging="24.50pt"/>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Net loss attributable to GIPR for the nine months ended September 30, 2024 was $8.3 million as compared to $4 million for the same period last year.</w:t>
      </w:r>
    </w:p>
    <w:p w14:paraId="5D75219F" w14:textId="77777777" w:rsidR="0086099C" w:rsidRDefault="00000000">
      <w:pPr>
        <w:pBdr>
          <w:top w:val="nil"/>
          <w:left w:val="nil"/>
          <w:bottom w:val="nil"/>
          <w:right w:val="nil"/>
          <w:between w:val="nil"/>
          <w:bar w:val="nil"/>
        </w:pBdr>
        <w:rPr>
          <w:rFonts w:ascii="Open Sans" w:eastAsia="Open Sans" w:hAnsi="Open Sans" w:cs="Open Sans"/>
          <w:color w:val="154360"/>
          <w:sz w:val="18"/>
          <w:shd w:val="clear" w:color="auto" w:fill="FFFFFF"/>
        </w:rPr>
      </w:pPr>
      <w:r>
        <w:rPr>
          <w:rFonts w:ascii="Open Sans" w:eastAsia="Open Sans" w:hAnsi="Open Sans" w:cs="Open Sans"/>
          <w:color w:val="154360"/>
          <w:sz w:val="18"/>
          <w:shd w:val="clear" w:color="auto" w:fill="FFFFFF"/>
        </w:rPr>
        <w:t xml:space="preserve"> </w:t>
      </w:r>
    </w:p>
    <w:p w14:paraId="7197A760"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61FD0D2D"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43EF6890"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528B47C2"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444CC973"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50D910CD"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32666203" w14:textId="77777777" w:rsidR="0086099C" w:rsidRDefault="00000000">
      <w:pPr>
        <w:pBdr>
          <w:top w:val="nil"/>
          <w:left w:val="nil"/>
          <w:bottom w:val="nil"/>
          <w:right w:val="nil"/>
          <w:between w:val="nil"/>
          <w:bar w:val="nil"/>
        </w:pBdr>
        <w:rPr>
          <w:rFonts w:ascii="Open Sans" w:eastAsia="Open Sans" w:hAnsi="Open Sans" w:cs="Open Sans"/>
          <w:b/>
          <w:color w:val="154360"/>
          <w:sz w:val="18"/>
          <w:shd w:val="clear" w:color="auto" w:fill="FFFFFF"/>
        </w:rPr>
      </w:pPr>
      <w:r>
        <w:rPr>
          <w:rFonts w:ascii="Open Sans" w:eastAsia="Open Sans" w:hAnsi="Open Sans" w:cs="Open Sans"/>
          <w:b/>
          <w:color w:val="154360"/>
          <w:sz w:val="18"/>
          <w:shd w:val="clear" w:color="auto" w:fill="FFFFFF"/>
        </w:rPr>
        <w:lastRenderedPageBreak/>
        <w:t xml:space="preserve">Commenting on the quarter, a letter from CEO David </w:t>
      </w:r>
      <w:proofErr w:type="spellStart"/>
      <w:r>
        <w:rPr>
          <w:rFonts w:ascii="Open Sans" w:eastAsia="Open Sans" w:hAnsi="Open Sans" w:cs="Open Sans"/>
          <w:b/>
          <w:color w:val="154360"/>
          <w:sz w:val="18"/>
          <w:shd w:val="clear" w:color="auto" w:fill="FFFFFF"/>
        </w:rPr>
        <w:t>Sobelman</w:t>
      </w:r>
      <w:proofErr w:type="spellEnd"/>
      <w:r>
        <w:rPr>
          <w:rFonts w:ascii="Open Sans" w:eastAsia="Open Sans" w:hAnsi="Open Sans" w:cs="Open Sans"/>
          <w:b/>
          <w:color w:val="154360"/>
          <w:sz w:val="18"/>
          <w:shd w:val="clear" w:color="auto" w:fill="FFFFFF"/>
        </w:rPr>
        <w:t xml:space="preserve">: </w:t>
      </w:r>
    </w:p>
    <w:p w14:paraId="1CCAE941"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2F632620"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09BA665B"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To the Shareholders and my colleagues at Generation Income Properties, Inc.,</w:t>
      </w:r>
    </w:p>
    <w:p w14:paraId="4EF56489"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371EAD71"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The third quarter of this year presented challenges for our stock price, which reached an all-time low despite the significant transitional events we’ve achieved to position the company for long-term growth and sustainability. I recognize that some shareholders have expressed concerns, indicating that the company's recent dividend suspension holds more weight for them than our long-term outlook. It’s clear that many of our shareholders view their investment primarily for the monthly dividend and the regular income it provides, rather than the intrinsic value of our growing assets. I understand this perspective, especially given that "income" is part of our company name. REITs are fundamentally structured to provide dividends, a practice established since their inception in the 1950s and 1960s, offering a transparent way for investors to engage in real estate markets that might otherwise be inaccessible.</w:t>
      </w:r>
    </w:p>
    <w:p w14:paraId="2EF0A171"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 recently finished reading "Watch That Rat Hole: And Witness the REIT Revolution" by Kenneth D. Campbell, one of the early analysts in the REIT industry. The book discusses how REITs were created to fund single-family home developers, providing the necessary short-term debt for their projects in the post-WWII era. This initiative arose from a pressing need in the United States, as developers struggled to secure funding from traditional banks for their short-term projects. Over time, the REIT structure evolved to include funding not only for debt but also for a variety of property types.</w:t>
      </w:r>
    </w:p>
    <w:p w14:paraId="606E3A4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This historical context highlights that, since the industry's inception, many investments have focused on short-term returns. Campbell’s book also notes that economic changes can impact these short-term strategies. When conditions shift—such as interest rate increases or changes in consumer behavior—companies may face significant adjustments, sometimes leading to drastic decisions like asset sales or restructuring.</w:t>
      </w:r>
    </w:p>
    <w:p w14:paraId="7FBE818B"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4A7CA3D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At GIPR, we have always maintained a long-term, generational outlook to avoid succumbing to short-term market pressures. We believe that our approach has proven effective over the years in the industry generally, and we remain committed to making decisions that prioritize sustainable growth for the future.</w:t>
      </w:r>
    </w:p>
    <w:p w14:paraId="2AA629A0"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4397B3A5"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 recognize that long-term thinking can be challenging for many investors, and I share a sense of impatience regarding various aspects of my life, including the growth of GIPR. However, it's important to reflect on our progress. Approximately this time last year, we were half our current size, and we’ve made substantial strides since then. I also understand that many of our shareholders may not thoroughly review our public filings, so I’d like to highlight some key events from the previous quarter:</w:t>
      </w:r>
    </w:p>
    <w:p w14:paraId="2DD3969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2944C392"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July 2, 2024</w:t>
      </w:r>
      <w:r>
        <w:rPr>
          <w:rFonts w:ascii="Open Sans" w:eastAsia="Open Sans" w:hAnsi="Open Sans" w:cs="Open Sans"/>
          <w:color w:val="154360"/>
          <w:sz w:val="18"/>
        </w:rPr>
        <w:t>- We successfully raised $2.5 million in new capital through preferred units from a new investor.</w:t>
      </w:r>
    </w:p>
    <w:p w14:paraId="4E0F9207"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July 3, 2024</w:t>
      </w:r>
      <w:r>
        <w:rPr>
          <w:rFonts w:ascii="Open Sans" w:eastAsia="Open Sans" w:hAnsi="Open Sans" w:cs="Open Sans"/>
          <w:color w:val="154360"/>
          <w:sz w:val="18"/>
        </w:rPr>
        <w:t xml:space="preserve"> - We made the difficult but strategic decision to suspend our dividend in order to focus on growth, with plans to prioritize reinstating the dividend when feasible.</w:t>
      </w:r>
    </w:p>
    <w:p w14:paraId="4661F627"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July 19, 2024</w:t>
      </w:r>
      <w:r>
        <w:rPr>
          <w:rFonts w:ascii="Open Sans" w:eastAsia="Open Sans" w:hAnsi="Open Sans" w:cs="Open Sans"/>
          <w:color w:val="154360"/>
          <w:sz w:val="18"/>
        </w:rPr>
        <w:t xml:space="preserve"> - Due to our ongoing growth and increased complexities, we engaged Cohn Reznick, a top 20 accounting firm, as our independent auditor.</w:t>
      </w:r>
    </w:p>
    <w:p w14:paraId="372D0751"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July 24, 2024</w:t>
      </w:r>
      <w:r>
        <w:rPr>
          <w:rFonts w:ascii="Open Sans" w:eastAsia="Open Sans" w:hAnsi="Open Sans" w:cs="Open Sans"/>
          <w:color w:val="154360"/>
          <w:sz w:val="18"/>
        </w:rPr>
        <w:t xml:space="preserve"> - We extended the redemption date for one of our unit holders from February 8, 2025, to February 8, 2027.</w:t>
      </w:r>
    </w:p>
    <w:p w14:paraId="557E7D66"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August 23, 2024</w:t>
      </w:r>
      <w:r>
        <w:rPr>
          <w:rFonts w:ascii="Open Sans" w:eastAsia="Open Sans" w:hAnsi="Open Sans" w:cs="Open Sans"/>
          <w:color w:val="154360"/>
          <w:sz w:val="18"/>
        </w:rPr>
        <w:t xml:space="preserve"> - We acquired an investment-grade tenanted building (Best Buy, NYSE: BBY, S&amp;P: BBB) at an effective cap rate of 8.1%, set to begin in January 2025.</w:t>
      </w:r>
    </w:p>
    <w:p w14:paraId="709D9D20" w14:textId="77777777" w:rsidR="0086099C" w:rsidRDefault="00000000">
      <w:pPr>
        <w:numPr>
          <w:ilvl w:val="0"/>
          <w:numId w:val="8"/>
        </w:numPr>
        <w:pBdr>
          <w:top w:val="nil"/>
          <w:left w:val="nil"/>
          <w:bottom w:val="nil"/>
          <w:right w:val="nil"/>
          <w:between w:val="nil"/>
          <w:bar w:val="nil"/>
        </w:pBdr>
        <w:tabs>
          <w:tab w:val="clear" w:pos="0pt"/>
        </w:tabs>
        <w:ind w:hanging="18pt"/>
        <w:rPr>
          <w:rFonts w:ascii="Open Sans" w:eastAsia="Open Sans" w:hAnsi="Open Sans" w:cs="Open Sans"/>
          <w:b/>
          <w:color w:val="154360"/>
          <w:sz w:val="18"/>
        </w:rPr>
      </w:pPr>
      <w:r>
        <w:rPr>
          <w:rFonts w:ascii="Open Sans" w:eastAsia="Open Sans" w:hAnsi="Open Sans" w:cs="Open Sans"/>
          <w:b/>
          <w:color w:val="154360"/>
          <w:sz w:val="18"/>
        </w:rPr>
        <w:t>August 29, 2024</w:t>
      </w:r>
      <w:r>
        <w:rPr>
          <w:rFonts w:ascii="Open Sans" w:eastAsia="Open Sans" w:hAnsi="Open Sans" w:cs="Open Sans"/>
          <w:color w:val="154360"/>
          <w:sz w:val="18"/>
        </w:rPr>
        <w:t xml:space="preserve"> - We extended the maturity date of a loan set to expire in October 2024 to August 30, 2029, with no cash outlay required from the company.</w:t>
      </w:r>
    </w:p>
    <w:p w14:paraId="69A1C41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7DED978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Importantly, we accomplished all this while maintaining the integrity of our current portfolio, with 100% rent collection from our tenants.</w:t>
      </w:r>
    </w:p>
    <w:p w14:paraId="1EDAEDB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4FDE268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 don’t intend to paint this as solely good news. You have the responsibility to assess your investment wisely, and we aim to provide you with transparent information to aid in that decision. This level of transparency is a distinct advantage over private companies, where reporting would be considerably less frequent or detailed. Your access to our updates allows you to make informed decisions based on clarity regarding our activities.</w:t>
      </w:r>
    </w:p>
    <w:p w14:paraId="1878C07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6B7D6522"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Why Temporarily Suspend the Dividend</w:t>
      </w:r>
    </w:p>
    <w:p w14:paraId="449DAE81"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703C6CF1"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Let me start with this; our company is stable, our balance sheet is strong, and our tenants are paying rent as planned. However, our priority is growth, and we constantly require new assets and new capital to achieve that. Without growth, our stock price may experience temporary pressure before it increases in value. Currently, raising public capital would be costly and could dilute existing shareholders, providing better deals to new investors than to current ones. By conserving our cash for new asset acquisitions and debt reduction, we aim to enhance the company’s long-term value.</w:t>
      </w:r>
    </w:p>
    <w:p w14:paraId="592C50D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1426022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Additionally, while I take the daily news with a grain of salt, it’s evident that the economy remains uncertain. Recent reports indicate that bankruptcies in 2024 are expected to surpass those in 2023. Therefore, we are adopting a conservative approach to cash management, </w:t>
      </w:r>
      <w:r>
        <w:rPr>
          <w:rFonts w:ascii="Open Sans" w:eastAsia="Open Sans" w:hAnsi="Open Sans" w:cs="Open Sans"/>
          <w:color w:val="154360"/>
          <w:sz w:val="18"/>
        </w:rPr>
        <w:lastRenderedPageBreak/>
        <w:t>ensuring we can sustain this unpredictable period while positioning the company for future growth without making decisions based solely on fleeting market sentiments.</w:t>
      </w:r>
    </w:p>
    <w:p w14:paraId="112E496C"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37C37C3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It’s also important to recognize that the information you receive from us may not always convey the broader context. Sometimes, we report on specific events without detailing their potential impact on other initiatives. Due to stringent regulations, we strive to provide you with all the information necessary to evaluate your investment in our company and to answer any questions about our decisions.</w:t>
      </w:r>
    </w:p>
    <w:p w14:paraId="61821F5A"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57F9AED0"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Our choices are made with the long-term benefit of all shareholders in mind as we navigate this complex real estate market early in our public journey.</w:t>
      </w:r>
    </w:p>
    <w:p w14:paraId="20B449B7"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3F7CB764"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In the past, I’ve noted that analysts typically do not value companies based solely on dividends. Instead, they understand that dividends attract investor interest, which can drive stock prices. </w:t>
      </w:r>
    </w:p>
    <w:p w14:paraId="2E943CDD"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07EFB358"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Dividend = positive</w:t>
      </w:r>
    </w:p>
    <w:p w14:paraId="11BFEE45"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No dividend = requires more analysis</w:t>
      </w:r>
    </w:p>
    <w:p w14:paraId="0B24827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12AEE2CF"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While the formulaic approach is standard in securities analysis, ultimately, market sentiment dictates stock prices. Therefore, I cannot predict exactly when our stock price will recover, but it often happens when investors recognize the undervaluation and begin purchasing shares.</w:t>
      </w:r>
    </w:p>
    <w:p w14:paraId="5A3FDA2B"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5EA17B9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Regarding the reinstatement of the dividend, this is another item where I can’t give you the exact date that will occur. However, I can assure you that when we made the decision to suspend the dividend, we were already strategizing on how to reverse that decision for the benefit of all shareholders. This process has involved thorough discussions on why the suspension was necessary, what actions we would take during this period, and how we could eventually reinstate the dividend.</w:t>
      </w:r>
    </w:p>
    <w:p w14:paraId="740F0CC5"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0069D543"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How Do We Grow GIPR</w:t>
      </w:r>
    </w:p>
    <w:p w14:paraId="772709D5"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2FB12DD0"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While it may seem there’s bad news this quarter due to our stock price decline, it’s essential to acknowledge our journey. As one of GIPR's top five shareholders, I, too, prefer to see positive returns on investment. Warren Buffett famously stated in a 2008 op-ed, "Bad news is an investor's best friend. It lets you buy a slice of America's future at a marked-down price." Over the past three years, shareholders have seen our portfolio grow from eight properties to twenty-seven. We’ve successfully utilized our shares and operating partnership equity as currency for acquisitions and secured financing when many lenders were hesitant. We started with zero properties, went through our IPO with eight properties and have successfully grown the portfolio to 27 properties with only one public capital raise. </w:t>
      </w:r>
    </w:p>
    <w:p w14:paraId="3B3748F9"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52F74C14"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We plan to leverage our resources to acquire properties with partners, as we have done in the past, and we will continue to accept assets through our UPREIT program, requiring minimal cash outlay. Our focus on these growth strategies not only benefits the company but also aligns us with investors who understand our long-term vision.</w:t>
      </w:r>
    </w:p>
    <w:p w14:paraId="742E6A03"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33A5F19F"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Subsequent Events and Values</w:t>
      </w:r>
    </w:p>
    <w:p w14:paraId="00333642"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47B53F1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GIPR has no debt obligations due until 2028 and no cash redemptions due until 2026. These changes have been carefully planned and executed in recent months. Our Director of Capital Markets, Emily </w:t>
      </w:r>
      <w:proofErr w:type="spellStart"/>
      <w:r>
        <w:rPr>
          <w:rFonts w:ascii="Open Sans" w:eastAsia="Open Sans" w:hAnsi="Open Sans" w:cs="Open Sans"/>
          <w:color w:val="154360"/>
          <w:sz w:val="18"/>
        </w:rPr>
        <w:t>Hewland</w:t>
      </w:r>
      <w:proofErr w:type="spellEnd"/>
      <w:r>
        <w:rPr>
          <w:rFonts w:ascii="Open Sans" w:eastAsia="Open Sans" w:hAnsi="Open Sans" w:cs="Open Sans"/>
          <w:color w:val="154360"/>
          <w:sz w:val="18"/>
        </w:rPr>
        <w:t>, has proactively managed our timelines, ensuring we face no imminent deadlines that limit our options. We adhere to Charlie Munger's principle of "Inversion Thinking", identifying potential pitfalls and proactively preventing them.</w:t>
      </w:r>
    </w:p>
    <w:p w14:paraId="0F434422"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2299933C"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GIPR’s culture and core values are fundamental to our identity, akin to long-standing companies like Apple and Patagonia. Based in Tampa, FL, we have recently faced significant challenges, including hurricanes that impacted our community.</w:t>
      </w:r>
    </w:p>
    <w:p w14:paraId="78B23830"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68229002"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While our team remained safe, many friends and family experienced devastating losses. Witnessing their struggles has been emotionally difficult. During this time, our Asset Manager, Bobby </w:t>
      </w:r>
      <w:proofErr w:type="spellStart"/>
      <w:r>
        <w:rPr>
          <w:rFonts w:ascii="Open Sans" w:eastAsia="Open Sans" w:hAnsi="Open Sans" w:cs="Open Sans"/>
          <w:color w:val="154360"/>
          <w:sz w:val="18"/>
        </w:rPr>
        <w:t>Rohrlack</w:t>
      </w:r>
      <w:proofErr w:type="spellEnd"/>
      <w:r>
        <w:rPr>
          <w:rFonts w:ascii="Open Sans" w:eastAsia="Open Sans" w:hAnsi="Open Sans" w:cs="Open Sans"/>
          <w:color w:val="154360"/>
          <w:sz w:val="18"/>
        </w:rPr>
        <w:t>, led efforts to reach out to tenants who could help those affected in North Carolina and Florida. Leveraging our relationships with major corporations, we coordinated support for those in need.</w:t>
      </w:r>
    </w:p>
    <w:p w14:paraId="10FB7F43"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1B4DDB59"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The outcomes of Bobby's initiatives include:</w:t>
      </w:r>
    </w:p>
    <w:p w14:paraId="14E4AD0B"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23CF2BF5"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t>Walgreens: We connected their VP of Public Affairs with the ASYMCA to coordinate donations of household items.</w:t>
      </w:r>
    </w:p>
    <w:p w14:paraId="5DD608E1"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t>ASYMCA: We established communication with ASYMCA’s Executive Director in Fayetteville, NC, to address urgent supply needs.</w:t>
      </w:r>
    </w:p>
    <w:p w14:paraId="771F8663"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t>Dollar General: Engaged with their VP of Real Estate to forward our outreach to their Community Giving Department.</w:t>
      </w:r>
    </w:p>
    <w:p w14:paraId="0F737E53"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t>Dollar Tree - Connected with their Corporate Marketing Director, who is coordinating internal relief efforts and financial grants for impacted areas.</w:t>
      </w:r>
    </w:p>
    <w:p w14:paraId="5CC20174"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lastRenderedPageBreak/>
        <w:t>PRA Group: Engaged their Facilities &amp; Real Estate VP, who expressed interest in partnering with us.</w:t>
      </w:r>
    </w:p>
    <w:p w14:paraId="19BEAE0A" w14:textId="77777777" w:rsidR="0086099C" w:rsidRDefault="00000000">
      <w:pPr>
        <w:numPr>
          <w:ilvl w:val="0"/>
          <w:numId w:val="9"/>
        </w:numPr>
        <w:pBdr>
          <w:top w:val="nil"/>
          <w:left w:val="nil"/>
          <w:bottom w:val="nil"/>
          <w:right w:val="nil"/>
          <w:between w:val="nil"/>
          <w:bar w:val="nil"/>
        </w:pBdr>
        <w:tabs>
          <w:tab w:val="clear" w:pos="0pt"/>
        </w:tabs>
        <w:ind w:hanging="18pt"/>
        <w:rPr>
          <w:rFonts w:ascii="Open Sans" w:eastAsia="Open Sans" w:hAnsi="Open Sans" w:cs="Open Sans"/>
          <w:color w:val="154360"/>
          <w:sz w:val="18"/>
        </w:rPr>
      </w:pPr>
      <w:r>
        <w:rPr>
          <w:rFonts w:ascii="Open Sans" w:eastAsia="Open Sans" w:hAnsi="Open Sans" w:cs="Open Sans"/>
          <w:color w:val="154360"/>
          <w:sz w:val="18"/>
        </w:rPr>
        <w:t>Starbucks: Met with local management to explore potential community collaboration.</w:t>
      </w:r>
    </w:p>
    <w:p w14:paraId="43276284"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58FB3439"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Conclusion</w:t>
      </w:r>
    </w:p>
    <w:p w14:paraId="380F597B"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3FE8974E"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In delivering this message, my aim is to be honest and transparent while outlining our plans moving forward. I understand that the topics of stock price and dividends weigh heavily on your minds, as they do on mine.</w:t>
      </w:r>
    </w:p>
    <w:p w14:paraId="59015A16"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23E9D429"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We still have a considerable journey ahead before we can claim the stature of some of our larger peers. However, as we navigate the capital and real estate markets, we are committed to seizing growth opportunities. I believe that the current market could present a favorable buying opportunity for both our shares and the assets we pursue.</w:t>
      </w:r>
    </w:p>
    <w:p w14:paraId="5C7CFE63"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p>
    <w:p w14:paraId="4237FF78"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As we continue this journey, rest assured that our portfolio remains stable, our tenants are fulfilling their obligations, and our balance sheet is solid.</w:t>
      </w:r>
    </w:p>
    <w:p w14:paraId="795080D2"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206AFD84"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Sincerely, </w:t>
      </w:r>
    </w:p>
    <w:p w14:paraId="438C62C8"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w:t>
      </w:r>
      <w:r>
        <w:rPr>
          <w:noProof/>
        </w:rPr>
        <w:drawing>
          <wp:inline distT="0" distB="0" distL="0" distR="0" wp14:anchorId="4911A6E4" wp14:editId="453C616E">
            <wp:extent cx="1115667" cy="481132"/>
            <wp:effectExtent l="0" t="0" r="0" b="0"/>
            <wp:docPr id="100003" name="Screen Shot 2024-03-30 at 08.14"/>
            <wp:cNvGraphicFramePr>
              <a:graphicFrameLocks xmlns:a="http://purl.oclc.org/ooxml/drawingml/main"/>
            </wp:cNvGraphicFramePr>
            <a:graphic xmlns:a="http://purl.oclc.org/ooxml/drawingml/main">
              <a:graphicData uri="http://purl.oclc.org/ooxml/drawingml/picture">
                <pic:pic xmlns:pic="http://purl.oclc.org/ooxml/drawingml/picture">
                  <pic:nvPicPr>
                    <pic:cNvPr id="100003" name=""/>
                    <pic:cNvPicPr>
                      <a:picLocks/>
                    </pic:cNvPicPr>
                  </pic:nvPicPr>
                  <pic:blipFill>
                    <a:blip r:embed="rId10"/>
                    <a:stretch>
                      <a:fillRect/>
                    </a:stretch>
                  </pic:blipFill>
                  <pic:spPr>
                    <a:xfrm>
                      <a:off x="0" y="0"/>
                      <a:ext cx="1115667" cy="481132"/>
                    </a:xfrm>
                    <a:prstGeom prst="rect">
                      <a:avLst/>
                    </a:prstGeom>
                  </pic:spPr>
                </pic:pic>
              </a:graphicData>
            </a:graphic>
          </wp:inline>
        </w:drawing>
      </w:r>
    </w:p>
    <w:p w14:paraId="7BB6647A"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David </w:t>
      </w:r>
      <w:proofErr w:type="spellStart"/>
      <w:r>
        <w:rPr>
          <w:rFonts w:ascii="Open Sans" w:eastAsia="Open Sans" w:hAnsi="Open Sans" w:cs="Open Sans"/>
          <w:color w:val="154360"/>
          <w:sz w:val="18"/>
        </w:rPr>
        <w:t>Sobelman</w:t>
      </w:r>
      <w:proofErr w:type="spellEnd"/>
    </w:p>
    <w:p w14:paraId="1F3983A6" w14:textId="77777777" w:rsidR="0086099C" w:rsidRDefault="00000000">
      <w:pPr>
        <w:pBdr>
          <w:top w:val="nil"/>
          <w:left w:val="nil"/>
          <w:bottom w:val="nil"/>
          <w:right w:val="nil"/>
          <w:between w:val="nil"/>
          <w:bar w:val="nil"/>
        </w:pBdr>
        <w:rPr>
          <w:rFonts w:ascii="Arial" w:eastAsia="Arial" w:hAnsi="Arial" w:cs="Arial"/>
          <w:color w:val="242424"/>
          <w:sz w:val="22"/>
        </w:rPr>
      </w:pPr>
      <w:r>
        <w:rPr>
          <w:rFonts w:ascii="Arial" w:eastAsia="Arial" w:hAnsi="Arial" w:cs="Arial"/>
          <w:color w:val="242424"/>
          <w:sz w:val="22"/>
        </w:rPr>
        <w:t> </w:t>
      </w:r>
    </w:p>
    <w:p w14:paraId="7C7C3D5C" w14:textId="77777777" w:rsidR="0086099C" w:rsidRDefault="0086099C">
      <w:pPr>
        <w:pBdr>
          <w:top w:val="nil"/>
          <w:left w:val="nil"/>
          <w:bottom w:val="nil"/>
          <w:right w:val="nil"/>
          <w:between w:val="nil"/>
          <w:bar w:val="nil"/>
        </w:pBdr>
        <w:rPr>
          <w:rFonts w:ascii="Open Sans" w:eastAsia="Open Sans" w:hAnsi="Open Sans" w:cs="Open Sans"/>
          <w:color w:val="154360"/>
          <w:sz w:val="18"/>
        </w:rPr>
      </w:pPr>
    </w:p>
    <w:p w14:paraId="454AEC41"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About Generation Income Properties </w:t>
      </w:r>
    </w:p>
    <w:p w14:paraId="665660CA"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Generation Income Properties, Inc., located in Tampa, Florida, is an internally managed real estate investment trust formed to acquire and own, directly and jointly, real estate investments focused on retail, office, and industrial net lease properties in densely populated submarkets. Additional information about Generation Income Properties, Inc. can be found at the Company's corporate website: www.gipreit.com. </w:t>
      </w:r>
    </w:p>
    <w:p w14:paraId="1ACC03CC"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 </w:t>
      </w:r>
    </w:p>
    <w:p w14:paraId="1FBA577E"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 xml:space="preserve">Forward-Looking Statements </w:t>
      </w:r>
    </w:p>
    <w:p w14:paraId="4ABB40F5" w14:textId="77777777" w:rsidR="0086099C" w:rsidRDefault="0086099C">
      <w:pPr>
        <w:pBdr>
          <w:top w:val="nil"/>
          <w:left w:val="nil"/>
          <w:bottom w:val="nil"/>
          <w:right w:val="nil"/>
          <w:between w:val="nil"/>
          <w:bar w:val="nil"/>
        </w:pBdr>
        <w:rPr>
          <w:rFonts w:ascii="Open Sans" w:eastAsia="Open Sans" w:hAnsi="Open Sans" w:cs="Open Sans"/>
          <w:b/>
          <w:color w:val="154360"/>
          <w:sz w:val="18"/>
        </w:rPr>
      </w:pPr>
    </w:p>
    <w:p w14:paraId="0CB7DC16" w14:textId="77777777" w:rsidR="0086099C" w:rsidRDefault="00000000">
      <w:pPr>
        <w:pBdr>
          <w:top w:val="nil"/>
          <w:left w:val="nil"/>
          <w:bottom w:val="nil"/>
          <w:right w:val="nil"/>
          <w:between w:val="nil"/>
          <w:bar w:val="nil"/>
        </w:pBdr>
        <w:jc w:val="both"/>
        <w:rPr>
          <w:rFonts w:ascii="Open Sans" w:eastAsia="Open Sans" w:hAnsi="Open Sans" w:cs="Open Sans"/>
          <w:i/>
          <w:color w:val="154360"/>
          <w:sz w:val="19"/>
        </w:rPr>
      </w:pPr>
      <w:r>
        <w:rPr>
          <w:rFonts w:ascii="Open Sans" w:eastAsia="Open Sans" w:hAnsi="Open Sans" w:cs="Open Sans"/>
          <w:i/>
          <w:color w:val="154360"/>
          <w:sz w:val="19"/>
        </w:rPr>
        <w:t>This Current Report on Form 8-K may contain “forward-looking statements” within the meaning of the Private Securities Litigation Reform Act of 1995 that involve risks and uncertainty. Words such as “anticipate,” “estimate,” “expect,” “intend,” “plan,” and “project” and other similar words and expressions are intended to signify forward-looking statements.  Forward-looking statements are not guarantees of future results and conditions but rather are subject to various risks and uncertainties.  Such statements are based on management’s current expectations and are subject to a number of risks and uncertainties that could cause actual results to differ materially from those described in the forward-looking statements. Investors are cautioned that there can be no assurance actual results or business conditions will not differ materially from those projected or suggested in such forward-looking statements as a result of various factors. Please refer to the risks detailed from time to time in the reports we file with the SEC, including our Annual Report on Form 10-K for the year ended December 31, 2023 filed with the SEC on April 8, 2024, as well as other filings on Form 10-Q and periodic filings on Form 8-K, for additional factors that could cause actual results to differ materially from those stated or implied by such forward-looking statements. We disclaim any intention or obligation to update or revise any forward-looking statements, whether as a result of new information, future events, or otherwise, unless required by law.</w:t>
      </w:r>
    </w:p>
    <w:p w14:paraId="0482ECBF"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 xml:space="preserve"> </w:t>
      </w:r>
    </w:p>
    <w:p w14:paraId="2DC10A12" w14:textId="77777777" w:rsidR="0086099C" w:rsidRDefault="00000000">
      <w:pPr>
        <w:pBdr>
          <w:top w:val="nil"/>
          <w:left w:val="nil"/>
          <w:bottom w:val="nil"/>
          <w:right w:val="nil"/>
          <w:between w:val="nil"/>
          <w:bar w:val="nil"/>
        </w:pBdr>
        <w:rPr>
          <w:rFonts w:ascii="Open Sans" w:eastAsia="Open Sans" w:hAnsi="Open Sans" w:cs="Open Sans"/>
          <w:b/>
          <w:color w:val="154360"/>
          <w:sz w:val="18"/>
        </w:rPr>
      </w:pPr>
      <w:r>
        <w:rPr>
          <w:rFonts w:ascii="Open Sans" w:eastAsia="Open Sans" w:hAnsi="Open Sans" w:cs="Open Sans"/>
          <w:b/>
          <w:color w:val="154360"/>
          <w:sz w:val="18"/>
        </w:rPr>
        <w:t>Notice Regarding Non-GAAP Financial Measures</w:t>
      </w:r>
    </w:p>
    <w:p w14:paraId="61AC0E3B" w14:textId="77777777" w:rsidR="0086099C" w:rsidRDefault="00000000">
      <w:pPr>
        <w:pBdr>
          <w:top w:val="nil"/>
          <w:left w:val="nil"/>
          <w:bottom w:val="nil"/>
          <w:right w:val="nil"/>
          <w:between w:val="nil"/>
          <w:bar w:val="nil"/>
        </w:pBdr>
        <w:rPr>
          <w:rFonts w:ascii="Open Sans" w:eastAsia="Open Sans" w:hAnsi="Open Sans" w:cs="Open Sans"/>
          <w:color w:val="154360"/>
          <w:sz w:val="18"/>
        </w:rPr>
      </w:pPr>
      <w:r>
        <w:rPr>
          <w:rFonts w:ascii="Open Sans" w:eastAsia="Open Sans" w:hAnsi="Open Sans" w:cs="Open Sans"/>
          <w:color w:val="154360"/>
          <w:sz w:val="18"/>
        </w:rPr>
        <w:t>In addition to our reported results and net earnings per diluted share, which are financial measures presented in accordance with GAAP, this press release contains and may refer to certain non-GAAP financial measures, including Funds from Operations ("FFO"), Core Funds From Operations ("Core FFO"), Adjusted Funds from Operations (“AFFO”), Core Adjusted Funds from Operations ("Core AFFO"), and Net Operating Income (“NOI”). We believe the use of Core FFO, Core AFFO and NOI</w:t>
      </w:r>
      <w:r>
        <w:rPr>
          <w:color w:val="000000"/>
          <w:sz w:val="16"/>
        </w:rPr>
        <w:t xml:space="preserve"> </w:t>
      </w:r>
      <w:r>
        <w:rPr>
          <w:rFonts w:ascii="Open Sans" w:eastAsia="Open Sans" w:hAnsi="Open Sans" w:cs="Open Sans"/>
          <w:color w:val="154360"/>
          <w:sz w:val="18"/>
        </w:rPr>
        <w:t xml:space="preserve">are useful to investors because they are widely accepted industry measures used by analysts and investors to compare the operating performance of REITs. FFO and related measures, including NOI, should not be considered alternatives to net income as a performance measure or to cash flows from operations, as reported on our statement of cash flows, or as a liquidity measure, and should be considered in addition to, and not in lieu of, GAAP financial measures. You should not consider our Core FFO, Core AFFO, or NOI as an alternative to net income or cash flows from operating activities determined in accordance with GAAP. Our reconciliation of non-GAAP measures to the most directly comparable GAAP financial measure and statements of why management believes these measures are useful to investors are included below. </w:t>
      </w:r>
    </w:p>
    <w:p w14:paraId="20AAE865" w14:textId="77777777" w:rsidR="0086099C" w:rsidRDefault="0086099C">
      <w:pPr>
        <w:pBdr>
          <w:top w:val="nil"/>
          <w:left w:val="nil"/>
          <w:bottom w:val="nil"/>
          <w:right w:val="nil"/>
          <w:between w:val="nil"/>
          <w:bar w:val="nil"/>
        </w:pBdr>
        <w:rPr>
          <w:color w:val="000000"/>
          <w:sz w:val="16"/>
        </w:rPr>
      </w:pPr>
    </w:p>
    <w:p w14:paraId="57A220F0"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01D68483"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1DA64998"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0F6201F3"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3DF17476"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730D9AA5"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lastRenderedPageBreak/>
        <w:t>Consolidated Balance Sheets</w:t>
      </w:r>
    </w:p>
    <w:p w14:paraId="6BF2AC97"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(Unaudited)</w:t>
      </w:r>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top w:w="0.70pt" w:type="dxa"/>
          <w:start w:w="0pt" w:type="dxa"/>
          <w:end w:w="0.70pt" w:type="dxa"/>
        </w:tblCellMar>
        <w:tblLook w:firstRow="1" w:lastRow="0" w:firstColumn="1" w:lastColumn="0" w:noHBand="0" w:noVBand="1"/>
      </w:tblPr>
      <w:tblGrid>
        <w:gridCol w:w="6965"/>
        <w:gridCol w:w="117"/>
        <w:gridCol w:w="1857"/>
        <w:gridCol w:w="116"/>
        <w:gridCol w:w="116"/>
        <w:gridCol w:w="116"/>
        <w:gridCol w:w="1973"/>
        <w:gridCol w:w="116"/>
      </w:tblGrid>
      <w:tr w:rsidR="0086099C" w14:paraId="1D50C80B"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57D4186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single" w:sz="4" w:space="0" w:color="000000"/>
              <w:end w:val="nil"/>
            </w:tcBorders>
            <w:shd w:val="clear" w:color="auto" w:fill="FFFFFF"/>
            <w:tcMar>
              <w:top w:w="0pt" w:type="dxa"/>
              <w:end w:w="0pt" w:type="dxa"/>
            </w:tcMar>
            <w:vAlign w:val="center"/>
          </w:tcPr>
          <w:p w14:paraId="7EB96236"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7"/>
              </w:rPr>
            </w:pPr>
            <w:r>
              <w:rPr>
                <w:rFonts w:ascii="Open Sans" w:eastAsia="Open Sans" w:hAnsi="Open Sans" w:cs="Open Sans"/>
                <w:b/>
                <w:color w:val="000000"/>
                <w:sz w:val="17"/>
              </w:rPr>
              <w:t>As of September 30,</w:t>
            </w:r>
          </w:p>
        </w:tc>
        <w:tc>
          <w:tcPr>
            <w:tcW w:w="1.0%" w:type="pct"/>
            <w:tcBorders>
              <w:top w:val="nil"/>
              <w:start w:val="nil"/>
              <w:bottom w:val="nil"/>
              <w:end w:val="nil"/>
            </w:tcBorders>
            <w:shd w:val="clear" w:color="auto" w:fill="FFFFFF"/>
            <w:tcMar>
              <w:top w:w="0pt" w:type="dxa"/>
              <w:end w:w="0pt" w:type="dxa"/>
            </w:tcMar>
            <w:vAlign w:val="center"/>
          </w:tcPr>
          <w:p w14:paraId="28F9AB4D"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D2D8237"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c>
          <w:tcPr>
            <w:tcW w:w="0pt" w:type="dxa"/>
            <w:gridSpan w:val="2"/>
            <w:tcBorders>
              <w:top w:val="nil"/>
              <w:start w:val="nil"/>
              <w:bottom w:val="single" w:sz="4" w:space="0" w:color="000000"/>
              <w:end w:val="nil"/>
            </w:tcBorders>
            <w:shd w:val="clear" w:color="auto" w:fill="FFFFFF"/>
            <w:tcMar>
              <w:top w:w="0pt" w:type="dxa"/>
              <w:end w:w="0pt" w:type="dxa"/>
            </w:tcMar>
            <w:vAlign w:val="center"/>
          </w:tcPr>
          <w:p w14:paraId="25E93845"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7"/>
              </w:rPr>
            </w:pPr>
            <w:r>
              <w:rPr>
                <w:rFonts w:ascii="Open Sans" w:eastAsia="Open Sans" w:hAnsi="Open Sans" w:cs="Open Sans"/>
                <w:b/>
                <w:color w:val="000000"/>
                <w:sz w:val="17"/>
              </w:rPr>
              <w:t>As of December 31,</w:t>
            </w:r>
          </w:p>
        </w:tc>
        <w:tc>
          <w:tcPr>
            <w:tcW w:w="1.0%" w:type="pct"/>
            <w:tcBorders>
              <w:top w:val="nil"/>
              <w:start w:val="nil"/>
              <w:bottom w:val="nil"/>
              <w:end w:val="nil"/>
            </w:tcBorders>
            <w:shd w:val="clear" w:color="auto" w:fill="FFFFFF"/>
            <w:tcMar>
              <w:top w:w="0pt" w:type="dxa"/>
              <w:end w:w="0pt" w:type="dxa"/>
            </w:tcMar>
            <w:vAlign w:val="center"/>
          </w:tcPr>
          <w:p w14:paraId="7F20830F"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r>
      <w:tr w:rsidR="0086099C" w14:paraId="1CAAEA4E"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3F170F8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72BCB850"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7"/>
              </w:rPr>
            </w:pPr>
            <w:r>
              <w:rPr>
                <w:rFonts w:ascii="Open Sans" w:eastAsia="Open Sans" w:hAnsi="Open Sans" w:cs="Open Sans"/>
                <w:b/>
                <w:color w:val="000000"/>
                <w:sz w:val="17"/>
              </w:rPr>
              <w:t>2024</w:t>
            </w:r>
          </w:p>
        </w:tc>
        <w:tc>
          <w:tcPr>
            <w:tcW w:w="1.0%" w:type="pct"/>
            <w:tcBorders>
              <w:top w:val="nil"/>
              <w:start w:val="nil"/>
              <w:bottom w:val="nil"/>
              <w:end w:val="nil"/>
            </w:tcBorders>
            <w:shd w:val="clear" w:color="auto" w:fill="FFFFFF"/>
            <w:tcMar>
              <w:top w:w="0pt" w:type="dxa"/>
              <w:end w:w="0pt" w:type="dxa"/>
            </w:tcMar>
          </w:tcPr>
          <w:p w14:paraId="4CF7CD52"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98CB128"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05753ABB"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7"/>
              </w:rPr>
            </w:pPr>
            <w:r>
              <w:rPr>
                <w:rFonts w:ascii="Open Sans" w:eastAsia="Open Sans" w:hAnsi="Open Sans" w:cs="Open Sans"/>
                <w:b/>
                <w:color w:val="000000"/>
                <w:sz w:val="17"/>
              </w:rPr>
              <w:t>2023</w:t>
            </w:r>
          </w:p>
        </w:tc>
        <w:tc>
          <w:tcPr>
            <w:tcW w:w="1.0%" w:type="pct"/>
            <w:tcBorders>
              <w:top w:val="nil"/>
              <w:start w:val="nil"/>
              <w:bottom w:val="nil"/>
              <w:end w:val="nil"/>
            </w:tcBorders>
            <w:shd w:val="clear" w:color="auto" w:fill="FFFFFF"/>
            <w:tcMar>
              <w:top w:w="0pt" w:type="dxa"/>
              <w:end w:w="0pt" w:type="dxa"/>
            </w:tcMar>
          </w:tcPr>
          <w:p w14:paraId="7D5ABA53"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r>
      <w:tr w:rsidR="0086099C" w14:paraId="1B899F8F"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63EB783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5B70CE6B"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1ABCE4B"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715CA8C"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6A081248"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2B2418D"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7"/>
              </w:rPr>
            </w:pPr>
          </w:p>
        </w:tc>
      </w:tr>
      <w:tr w:rsidR="0086099C" w14:paraId="7C462306"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09BAE28E"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u w:val="single"/>
              </w:rPr>
            </w:pPr>
            <w:r>
              <w:rPr>
                <w:rFonts w:ascii="Open Sans" w:eastAsia="Open Sans" w:hAnsi="Open Sans" w:cs="Open Sans"/>
                <w:b/>
                <w:color w:val="000000"/>
                <w:sz w:val="17"/>
                <w:u w:val="single"/>
              </w:rPr>
              <w:t>Assets</w:t>
            </w:r>
          </w:p>
        </w:tc>
        <w:tc>
          <w:tcPr>
            <w:tcW w:w="0pt" w:type="dxa"/>
            <w:gridSpan w:val="2"/>
            <w:tcBorders>
              <w:top w:val="nil"/>
              <w:start w:val="nil"/>
              <w:bottom w:val="nil"/>
              <w:end w:val="nil"/>
            </w:tcBorders>
            <w:shd w:val="clear" w:color="auto" w:fill="CFF0FC"/>
            <w:tcMar>
              <w:top w:w="0pt" w:type="dxa"/>
              <w:end w:w="0pt" w:type="dxa"/>
            </w:tcMar>
            <w:vAlign w:val="bottom"/>
          </w:tcPr>
          <w:p w14:paraId="61921E8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DA9083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18AC04A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1A3B9E7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C3AF14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352D644A"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9BAAA45"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Investment in real estate</w:t>
            </w:r>
          </w:p>
        </w:tc>
        <w:tc>
          <w:tcPr>
            <w:tcW w:w="0pt" w:type="dxa"/>
            <w:gridSpan w:val="2"/>
            <w:tcBorders>
              <w:top w:val="nil"/>
              <w:start w:val="nil"/>
              <w:bottom w:val="nil"/>
              <w:end w:val="nil"/>
            </w:tcBorders>
            <w:shd w:val="clear" w:color="auto" w:fill="FFFFFF"/>
            <w:tcMar>
              <w:top w:w="0pt" w:type="dxa"/>
              <w:end w:w="0pt" w:type="dxa"/>
            </w:tcMar>
            <w:vAlign w:val="bottom"/>
          </w:tcPr>
          <w:p w14:paraId="7922F41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CFB7DE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7192B4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4B9E3D6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0A56C0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4287EC69"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96D4360"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Land</w:t>
            </w:r>
          </w:p>
        </w:tc>
        <w:tc>
          <w:tcPr>
            <w:tcW w:w="1.0%" w:type="pct"/>
            <w:tcBorders>
              <w:top w:val="nil"/>
              <w:start w:val="nil"/>
              <w:bottom w:val="nil"/>
              <w:end w:val="nil"/>
            </w:tcBorders>
            <w:shd w:val="clear" w:color="auto" w:fill="CFF0FC"/>
            <w:tcMar>
              <w:top w:w="0pt" w:type="dxa"/>
              <w:end w:w="0pt" w:type="dxa"/>
            </w:tcMar>
            <w:vAlign w:val="bottom"/>
          </w:tcPr>
          <w:p w14:paraId="5FBE8135"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6.0%" w:type="pct"/>
            <w:tcBorders>
              <w:top w:val="nil"/>
              <w:start w:val="nil"/>
              <w:bottom w:val="nil"/>
              <w:end w:val="nil"/>
            </w:tcBorders>
            <w:shd w:val="clear" w:color="auto" w:fill="CFF0FC"/>
            <w:tcMar>
              <w:top w:w="0pt" w:type="dxa"/>
              <w:end w:w="0pt" w:type="dxa"/>
            </w:tcMar>
            <w:vAlign w:val="bottom"/>
          </w:tcPr>
          <w:p w14:paraId="2A6FA51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23,997,000</w:t>
            </w:r>
          </w:p>
        </w:tc>
        <w:tc>
          <w:tcPr>
            <w:tcW w:w="1.0%" w:type="pct"/>
            <w:tcBorders>
              <w:top w:val="nil"/>
              <w:start w:val="nil"/>
              <w:bottom w:val="nil"/>
              <w:end w:val="nil"/>
            </w:tcBorders>
            <w:shd w:val="clear" w:color="auto" w:fill="CFF0FC"/>
            <w:tcMar>
              <w:top w:w="0pt" w:type="dxa"/>
              <w:end w:w="0pt" w:type="dxa"/>
            </w:tcMar>
            <w:vAlign w:val="bottom"/>
          </w:tcPr>
          <w:p w14:paraId="181D779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D80B41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D89BBF6"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7.0%" w:type="pct"/>
            <w:tcBorders>
              <w:top w:val="nil"/>
              <w:start w:val="nil"/>
              <w:bottom w:val="nil"/>
              <w:end w:val="nil"/>
            </w:tcBorders>
            <w:shd w:val="clear" w:color="auto" w:fill="CFF0FC"/>
            <w:tcMar>
              <w:top w:w="0pt" w:type="dxa"/>
              <w:end w:w="0pt" w:type="dxa"/>
            </w:tcMar>
            <w:vAlign w:val="bottom"/>
          </w:tcPr>
          <w:p w14:paraId="77FC8B8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21,996,902</w:t>
            </w:r>
          </w:p>
        </w:tc>
        <w:tc>
          <w:tcPr>
            <w:tcW w:w="1.0%" w:type="pct"/>
            <w:tcBorders>
              <w:top w:val="nil"/>
              <w:start w:val="nil"/>
              <w:bottom w:val="nil"/>
              <w:end w:val="nil"/>
            </w:tcBorders>
            <w:shd w:val="clear" w:color="auto" w:fill="CFF0FC"/>
            <w:tcMar>
              <w:top w:w="0pt" w:type="dxa"/>
              <w:end w:w="0pt" w:type="dxa"/>
            </w:tcMar>
            <w:vAlign w:val="bottom"/>
          </w:tcPr>
          <w:p w14:paraId="2E81BEF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2C22338"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73855A73"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Building and site improvements</w:t>
            </w:r>
          </w:p>
        </w:tc>
        <w:tc>
          <w:tcPr>
            <w:tcW w:w="1.0%" w:type="pct"/>
            <w:tcBorders>
              <w:top w:val="nil"/>
              <w:start w:val="nil"/>
              <w:bottom w:val="nil"/>
              <w:end w:val="nil"/>
            </w:tcBorders>
            <w:shd w:val="clear" w:color="auto" w:fill="FFFFFF"/>
            <w:tcMar>
              <w:top w:w="0pt" w:type="dxa"/>
              <w:end w:w="0pt" w:type="dxa"/>
            </w:tcMar>
            <w:vAlign w:val="bottom"/>
          </w:tcPr>
          <w:p w14:paraId="5DEBD39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3B21B57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67,660,702</w:t>
            </w:r>
          </w:p>
        </w:tc>
        <w:tc>
          <w:tcPr>
            <w:tcW w:w="1.0%" w:type="pct"/>
            <w:tcBorders>
              <w:top w:val="nil"/>
              <w:start w:val="nil"/>
              <w:bottom w:val="nil"/>
              <w:end w:val="nil"/>
            </w:tcBorders>
            <w:shd w:val="clear" w:color="auto" w:fill="FFFFFF"/>
            <w:tcMar>
              <w:top w:w="0pt" w:type="dxa"/>
              <w:end w:w="0pt" w:type="dxa"/>
            </w:tcMar>
            <w:vAlign w:val="bottom"/>
          </w:tcPr>
          <w:p w14:paraId="173AFC4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CEE1C0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5B5C3E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092A72A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71,621,499</w:t>
            </w:r>
          </w:p>
        </w:tc>
        <w:tc>
          <w:tcPr>
            <w:tcW w:w="1.0%" w:type="pct"/>
            <w:tcBorders>
              <w:top w:val="nil"/>
              <w:start w:val="nil"/>
              <w:bottom w:val="nil"/>
              <w:end w:val="nil"/>
            </w:tcBorders>
            <w:shd w:val="clear" w:color="auto" w:fill="FFFFFF"/>
            <w:tcMar>
              <w:top w:w="0pt" w:type="dxa"/>
              <w:end w:w="0pt" w:type="dxa"/>
            </w:tcMar>
            <w:vAlign w:val="bottom"/>
          </w:tcPr>
          <w:p w14:paraId="3C7E424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7360DE8"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7CCDEB5D"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Acquired tenant improvements</w:t>
            </w:r>
          </w:p>
        </w:tc>
        <w:tc>
          <w:tcPr>
            <w:tcW w:w="1.0%" w:type="pct"/>
            <w:tcBorders>
              <w:top w:val="nil"/>
              <w:start w:val="nil"/>
              <w:bottom w:val="nil"/>
              <w:end w:val="nil"/>
            </w:tcBorders>
            <w:shd w:val="clear" w:color="auto" w:fill="CFF0FC"/>
            <w:tcMar>
              <w:top w:w="0pt" w:type="dxa"/>
              <w:end w:w="0pt" w:type="dxa"/>
            </w:tcMar>
            <w:vAlign w:val="bottom"/>
          </w:tcPr>
          <w:p w14:paraId="02CB4EB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4C96922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2,072,205</w:t>
            </w:r>
          </w:p>
        </w:tc>
        <w:tc>
          <w:tcPr>
            <w:tcW w:w="1.0%" w:type="pct"/>
            <w:tcBorders>
              <w:top w:val="nil"/>
              <w:start w:val="nil"/>
              <w:bottom w:val="nil"/>
              <w:end w:val="nil"/>
            </w:tcBorders>
            <w:shd w:val="clear" w:color="auto" w:fill="CFF0FC"/>
            <w:tcMar>
              <w:top w:w="0pt" w:type="dxa"/>
              <w:end w:w="0pt" w:type="dxa"/>
            </w:tcMar>
            <w:vAlign w:val="bottom"/>
          </w:tcPr>
          <w:p w14:paraId="477292D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1177AEA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773014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5204A96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2,072,205</w:t>
            </w:r>
          </w:p>
        </w:tc>
        <w:tc>
          <w:tcPr>
            <w:tcW w:w="1.0%" w:type="pct"/>
            <w:tcBorders>
              <w:top w:val="nil"/>
              <w:start w:val="nil"/>
              <w:bottom w:val="nil"/>
              <w:end w:val="nil"/>
            </w:tcBorders>
            <w:shd w:val="clear" w:color="auto" w:fill="CFF0FC"/>
            <w:tcMar>
              <w:top w:w="0pt" w:type="dxa"/>
              <w:end w:w="0pt" w:type="dxa"/>
            </w:tcMar>
            <w:vAlign w:val="bottom"/>
          </w:tcPr>
          <w:p w14:paraId="17E3BF7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280CB186"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FC03B8D"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Acquired lease intangible assets</w:t>
            </w:r>
          </w:p>
        </w:tc>
        <w:tc>
          <w:tcPr>
            <w:tcW w:w="1.0%" w:type="pct"/>
            <w:tcBorders>
              <w:top w:val="nil"/>
              <w:start w:val="nil"/>
              <w:bottom w:val="nil"/>
              <w:end w:val="nil"/>
            </w:tcBorders>
            <w:shd w:val="clear" w:color="auto" w:fill="FFFFFF"/>
            <w:tcMar>
              <w:top w:w="0pt" w:type="dxa"/>
              <w:end w:w="0pt" w:type="dxa"/>
            </w:tcMar>
            <w:vAlign w:val="bottom"/>
          </w:tcPr>
          <w:p w14:paraId="5CB9418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4A139F7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9,927,046</w:t>
            </w:r>
          </w:p>
        </w:tc>
        <w:tc>
          <w:tcPr>
            <w:tcW w:w="1.0%" w:type="pct"/>
            <w:tcBorders>
              <w:top w:val="nil"/>
              <w:start w:val="nil"/>
              <w:bottom w:val="nil"/>
              <w:end w:val="nil"/>
            </w:tcBorders>
            <w:shd w:val="clear" w:color="auto" w:fill="FFFFFF"/>
            <w:tcMar>
              <w:top w:w="0pt" w:type="dxa"/>
              <w:end w:w="0pt" w:type="dxa"/>
            </w:tcMar>
            <w:vAlign w:val="bottom"/>
          </w:tcPr>
          <w:p w14:paraId="6DD8DC9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393503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579333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05AE614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10,571,331</w:t>
            </w:r>
          </w:p>
        </w:tc>
        <w:tc>
          <w:tcPr>
            <w:tcW w:w="1.0%" w:type="pct"/>
            <w:tcBorders>
              <w:top w:val="nil"/>
              <w:start w:val="nil"/>
              <w:bottom w:val="nil"/>
              <w:end w:val="nil"/>
            </w:tcBorders>
            <w:shd w:val="clear" w:color="auto" w:fill="FFFFFF"/>
            <w:tcMar>
              <w:top w:w="0pt" w:type="dxa"/>
              <w:end w:w="0pt" w:type="dxa"/>
            </w:tcMar>
            <w:vAlign w:val="bottom"/>
          </w:tcPr>
          <w:p w14:paraId="0DD7BA2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2505343A"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0A032F3C"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Less: accumulated depreciation and amortization</w:t>
            </w:r>
          </w:p>
        </w:tc>
        <w:tc>
          <w:tcPr>
            <w:tcW w:w="1.0%" w:type="pct"/>
            <w:tcBorders>
              <w:top w:val="nil"/>
              <w:start w:val="nil"/>
              <w:bottom w:val="single" w:sz="4" w:space="0" w:color="000000"/>
              <w:end w:val="nil"/>
            </w:tcBorders>
            <w:shd w:val="clear" w:color="auto" w:fill="CFF0FC"/>
            <w:tcMar>
              <w:top w:w="0pt" w:type="dxa"/>
              <w:end w:w="0pt" w:type="dxa"/>
            </w:tcMar>
            <w:vAlign w:val="bottom"/>
          </w:tcPr>
          <w:p w14:paraId="3737C43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single" w:sz="4" w:space="0" w:color="000000"/>
              <w:end w:val="nil"/>
            </w:tcBorders>
            <w:shd w:val="clear" w:color="auto" w:fill="CFF0FC"/>
            <w:tcMar>
              <w:top w:w="0pt" w:type="dxa"/>
              <w:end w:w="0pt" w:type="dxa"/>
            </w:tcMar>
            <w:vAlign w:val="bottom"/>
          </w:tcPr>
          <w:p w14:paraId="716EA33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(11,070,036</w:t>
            </w:r>
          </w:p>
        </w:tc>
        <w:tc>
          <w:tcPr>
            <w:tcW w:w="1.0%" w:type="pct"/>
            <w:tcBorders>
              <w:top w:val="nil"/>
              <w:start w:val="nil"/>
              <w:bottom w:val="nil"/>
              <w:end w:val="nil"/>
            </w:tcBorders>
            <w:shd w:val="clear" w:color="auto" w:fill="CFF0FC"/>
            <w:tcMar>
              <w:top w:w="0pt" w:type="dxa"/>
              <w:end w:w="0pt" w:type="dxa"/>
            </w:tcMar>
            <w:vAlign w:val="bottom"/>
          </w:tcPr>
          <w:p w14:paraId="3C78EBF2"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0%" w:type="pct"/>
            <w:tcBorders>
              <w:top w:val="nil"/>
              <w:start w:val="nil"/>
              <w:bottom w:val="nil"/>
              <w:end w:val="nil"/>
            </w:tcBorders>
            <w:shd w:val="clear" w:color="auto" w:fill="CFF0FC"/>
            <w:tcMar>
              <w:top w:w="0pt" w:type="dxa"/>
              <w:end w:w="0pt" w:type="dxa"/>
            </w:tcMar>
            <w:vAlign w:val="bottom"/>
          </w:tcPr>
          <w:p w14:paraId="060070C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59F2DE7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single" w:sz="4" w:space="0" w:color="000000"/>
              <w:end w:val="nil"/>
            </w:tcBorders>
            <w:shd w:val="clear" w:color="auto" w:fill="CFF0FC"/>
            <w:tcMar>
              <w:top w:w="0pt" w:type="dxa"/>
              <w:end w:w="0pt" w:type="dxa"/>
            </w:tcMar>
            <w:vAlign w:val="bottom"/>
          </w:tcPr>
          <w:p w14:paraId="554DCEE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(8,855,332</w:t>
            </w:r>
          </w:p>
        </w:tc>
        <w:tc>
          <w:tcPr>
            <w:tcW w:w="1.0%" w:type="pct"/>
            <w:tcBorders>
              <w:top w:val="nil"/>
              <w:start w:val="nil"/>
              <w:bottom w:val="nil"/>
              <w:end w:val="nil"/>
            </w:tcBorders>
            <w:shd w:val="clear" w:color="auto" w:fill="CFF0FC"/>
            <w:tcMar>
              <w:top w:w="0pt" w:type="dxa"/>
              <w:end w:w="0pt" w:type="dxa"/>
            </w:tcMar>
            <w:vAlign w:val="bottom"/>
          </w:tcPr>
          <w:p w14:paraId="250752EE"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r>
      <w:tr w:rsidR="0086099C" w14:paraId="657852E7"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53B15EA6" w14:textId="77777777" w:rsidR="0086099C" w:rsidRDefault="00000000">
            <w:pPr>
              <w:keepNext/>
              <w:pBdr>
                <w:top w:val="nil"/>
                <w:left w:val="nil"/>
                <w:bottom w:val="nil"/>
                <w:right w:val="nil"/>
                <w:between w:val="nil"/>
                <w:bar w:val="nil"/>
              </w:pBdr>
              <w:ind w:start="10pt"/>
              <w:rPr>
                <w:rFonts w:ascii="Open Sans" w:eastAsia="Open Sans" w:hAnsi="Open Sans" w:cs="Open Sans"/>
                <w:color w:val="000000"/>
                <w:sz w:val="17"/>
              </w:rPr>
            </w:pPr>
            <w:r>
              <w:rPr>
                <w:rFonts w:ascii="Open Sans" w:eastAsia="Open Sans" w:hAnsi="Open Sans" w:cs="Open Sans"/>
                <w:color w:val="000000"/>
                <w:sz w:val="17"/>
              </w:rPr>
              <w:t>Net real estate investments</w:t>
            </w:r>
          </w:p>
        </w:tc>
        <w:tc>
          <w:tcPr>
            <w:tcW w:w="1.0%" w:type="pct"/>
            <w:tcBorders>
              <w:top w:val="single" w:sz="4" w:space="0" w:color="000000"/>
              <w:start w:val="nil"/>
              <w:bottom w:val="nil"/>
              <w:end w:val="nil"/>
            </w:tcBorders>
            <w:shd w:val="clear" w:color="auto" w:fill="FFFFFF"/>
            <w:tcMar>
              <w:top w:w="0pt" w:type="dxa"/>
              <w:end w:w="0pt" w:type="dxa"/>
            </w:tcMar>
            <w:vAlign w:val="bottom"/>
          </w:tcPr>
          <w:p w14:paraId="5688EE6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single" w:sz="4" w:space="0" w:color="000000"/>
              <w:start w:val="nil"/>
              <w:bottom w:val="nil"/>
              <w:end w:val="nil"/>
            </w:tcBorders>
            <w:shd w:val="clear" w:color="auto" w:fill="FFFFFF"/>
            <w:tcMar>
              <w:top w:w="0pt" w:type="dxa"/>
              <w:end w:w="0pt" w:type="dxa"/>
            </w:tcMar>
            <w:vAlign w:val="bottom"/>
          </w:tcPr>
          <w:p w14:paraId="5E2DE48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92,586,916</w:t>
            </w:r>
          </w:p>
        </w:tc>
        <w:tc>
          <w:tcPr>
            <w:tcW w:w="1.0%" w:type="pct"/>
            <w:tcBorders>
              <w:top w:val="nil"/>
              <w:start w:val="nil"/>
              <w:bottom w:val="nil"/>
              <w:end w:val="nil"/>
            </w:tcBorders>
            <w:shd w:val="clear" w:color="auto" w:fill="FFFFFF"/>
            <w:tcMar>
              <w:top w:w="0pt" w:type="dxa"/>
              <w:end w:w="0pt" w:type="dxa"/>
            </w:tcMar>
            <w:vAlign w:val="bottom"/>
          </w:tcPr>
          <w:p w14:paraId="21A5722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3190AD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52C2080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single" w:sz="4" w:space="0" w:color="000000"/>
              <w:start w:val="nil"/>
              <w:bottom w:val="nil"/>
              <w:end w:val="nil"/>
            </w:tcBorders>
            <w:shd w:val="clear" w:color="auto" w:fill="FFFFFF"/>
            <w:tcMar>
              <w:top w:w="0pt" w:type="dxa"/>
              <w:end w:w="0pt" w:type="dxa"/>
            </w:tcMar>
            <w:vAlign w:val="bottom"/>
          </w:tcPr>
          <w:p w14:paraId="78BA4B7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97,406,605</w:t>
            </w:r>
          </w:p>
        </w:tc>
        <w:tc>
          <w:tcPr>
            <w:tcW w:w="1.0%" w:type="pct"/>
            <w:tcBorders>
              <w:top w:val="nil"/>
              <w:start w:val="nil"/>
              <w:bottom w:val="nil"/>
              <w:end w:val="nil"/>
            </w:tcBorders>
            <w:shd w:val="clear" w:color="auto" w:fill="FFFFFF"/>
            <w:tcMar>
              <w:top w:w="0pt" w:type="dxa"/>
              <w:end w:w="0pt" w:type="dxa"/>
            </w:tcMar>
            <w:vAlign w:val="bottom"/>
          </w:tcPr>
          <w:p w14:paraId="1DEE993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09F6FECD"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54116127" w14:textId="77777777" w:rsidR="0086099C" w:rsidRDefault="0086099C">
            <w:pPr>
              <w:keepNext/>
              <w:pBdr>
                <w:top w:val="nil"/>
                <w:left w:val="nil"/>
                <w:bottom w:val="nil"/>
                <w:right w:val="nil"/>
                <w:between w:val="nil"/>
                <w:bar w:val="nil"/>
              </w:pBdr>
              <w:ind w:start="5pt"/>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39C8EAF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BEAB86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6B0595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56608BC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50DEAF4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29BF8AA2"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6399C74D"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Cash and cash equivalents</w:t>
            </w:r>
          </w:p>
        </w:tc>
        <w:tc>
          <w:tcPr>
            <w:tcW w:w="1.0%" w:type="pct"/>
            <w:tcBorders>
              <w:top w:val="nil"/>
              <w:start w:val="nil"/>
              <w:bottom w:val="nil"/>
              <w:end w:val="nil"/>
            </w:tcBorders>
            <w:shd w:val="clear" w:color="auto" w:fill="FFFFFF"/>
            <w:tcMar>
              <w:top w:w="0pt" w:type="dxa"/>
              <w:end w:w="0pt" w:type="dxa"/>
            </w:tcMar>
            <w:vAlign w:val="bottom"/>
          </w:tcPr>
          <w:p w14:paraId="1D7FC41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49928E8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1,547,110</w:t>
            </w:r>
          </w:p>
        </w:tc>
        <w:tc>
          <w:tcPr>
            <w:tcW w:w="1.0%" w:type="pct"/>
            <w:tcBorders>
              <w:top w:val="nil"/>
              <w:start w:val="nil"/>
              <w:bottom w:val="nil"/>
              <w:end w:val="nil"/>
            </w:tcBorders>
            <w:shd w:val="clear" w:color="auto" w:fill="FFFFFF"/>
            <w:tcMar>
              <w:top w:w="0pt" w:type="dxa"/>
              <w:end w:w="0pt" w:type="dxa"/>
            </w:tcMar>
            <w:vAlign w:val="bottom"/>
          </w:tcPr>
          <w:p w14:paraId="1671D72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28571F4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156A34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63C3C4F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3,117,446</w:t>
            </w:r>
          </w:p>
        </w:tc>
        <w:tc>
          <w:tcPr>
            <w:tcW w:w="1.0%" w:type="pct"/>
            <w:tcBorders>
              <w:top w:val="nil"/>
              <w:start w:val="nil"/>
              <w:bottom w:val="nil"/>
              <w:end w:val="nil"/>
            </w:tcBorders>
            <w:shd w:val="clear" w:color="auto" w:fill="FFFFFF"/>
            <w:tcMar>
              <w:top w:w="0pt" w:type="dxa"/>
              <w:end w:w="0pt" w:type="dxa"/>
            </w:tcMar>
            <w:vAlign w:val="bottom"/>
          </w:tcPr>
          <w:p w14:paraId="6869466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5773908"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343623D2"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Restricted cash</w:t>
            </w:r>
          </w:p>
        </w:tc>
        <w:tc>
          <w:tcPr>
            <w:tcW w:w="1.0%" w:type="pct"/>
            <w:tcBorders>
              <w:top w:val="nil"/>
              <w:start w:val="nil"/>
              <w:bottom w:val="nil"/>
              <w:end w:val="nil"/>
            </w:tcBorders>
            <w:shd w:val="clear" w:color="auto" w:fill="CFF0FC"/>
            <w:tcMar>
              <w:top w:w="0pt" w:type="dxa"/>
              <w:end w:w="0pt" w:type="dxa"/>
            </w:tcMar>
            <w:vAlign w:val="bottom"/>
          </w:tcPr>
          <w:p w14:paraId="1C09074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21682BE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34,500</w:t>
            </w:r>
          </w:p>
        </w:tc>
        <w:tc>
          <w:tcPr>
            <w:tcW w:w="1.0%" w:type="pct"/>
            <w:tcBorders>
              <w:top w:val="nil"/>
              <w:start w:val="nil"/>
              <w:bottom w:val="nil"/>
              <w:end w:val="nil"/>
            </w:tcBorders>
            <w:shd w:val="clear" w:color="auto" w:fill="CFF0FC"/>
            <w:tcMar>
              <w:top w:w="0pt" w:type="dxa"/>
              <w:end w:w="0pt" w:type="dxa"/>
            </w:tcMar>
            <w:vAlign w:val="bottom"/>
          </w:tcPr>
          <w:p w14:paraId="3468BD8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13B5C2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D4C016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77DF1BE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34,500</w:t>
            </w:r>
          </w:p>
        </w:tc>
        <w:tc>
          <w:tcPr>
            <w:tcW w:w="1.0%" w:type="pct"/>
            <w:tcBorders>
              <w:top w:val="nil"/>
              <w:start w:val="nil"/>
              <w:bottom w:val="nil"/>
              <w:end w:val="nil"/>
            </w:tcBorders>
            <w:shd w:val="clear" w:color="auto" w:fill="CFF0FC"/>
            <w:tcMar>
              <w:top w:w="0pt" w:type="dxa"/>
              <w:end w:w="0pt" w:type="dxa"/>
            </w:tcMar>
            <w:vAlign w:val="bottom"/>
          </w:tcPr>
          <w:p w14:paraId="453DF89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6699528"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79D3E93B"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Deferred rent asset</w:t>
            </w:r>
          </w:p>
        </w:tc>
        <w:tc>
          <w:tcPr>
            <w:tcW w:w="1.0%" w:type="pct"/>
            <w:tcBorders>
              <w:top w:val="nil"/>
              <w:start w:val="nil"/>
              <w:bottom w:val="nil"/>
              <w:end w:val="nil"/>
            </w:tcBorders>
            <w:shd w:val="clear" w:color="auto" w:fill="FFFFFF"/>
            <w:tcMar>
              <w:top w:w="0pt" w:type="dxa"/>
              <w:end w:w="0pt" w:type="dxa"/>
            </w:tcMar>
            <w:vAlign w:val="bottom"/>
          </w:tcPr>
          <w:p w14:paraId="51A769E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1E96AB4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435,767</w:t>
            </w:r>
          </w:p>
        </w:tc>
        <w:tc>
          <w:tcPr>
            <w:tcW w:w="1.0%" w:type="pct"/>
            <w:tcBorders>
              <w:top w:val="nil"/>
              <w:start w:val="nil"/>
              <w:bottom w:val="nil"/>
              <w:end w:val="nil"/>
            </w:tcBorders>
            <w:shd w:val="clear" w:color="auto" w:fill="FFFFFF"/>
            <w:tcMar>
              <w:top w:w="0pt" w:type="dxa"/>
              <w:end w:w="0pt" w:type="dxa"/>
            </w:tcMar>
            <w:vAlign w:val="bottom"/>
          </w:tcPr>
          <w:p w14:paraId="1536371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BEB19F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550A2B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617F8CA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1,106,191</w:t>
            </w:r>
          </w:p>
        </w:tc>
        <w:tc>
          <w:tcPr>
            <w:tcW w:w="1.0%" w:type="pct"/>
            <w:tcBorders>
              <w:top w:val="nil"/>
              <w:start w:val="nil"/>
              <w:bottom w:val="nil"/>
              <w:end w:val="nil"/>
            </w:tcBorders>
            <w:shd w:val="clear" w:color="auto" w:fill="FFFFFF"/>
            <w:tcMar>
              <w:top w:w="0pt" w:type="dxa"/>
              <w:end w:w="0pt" w:type="dxa"/>
            </w:tcMar>
            <w:vAlign w:val="bottom"/>
          </w:tcPr>
          <w:p w14:paraId="7544407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D1F2BC5"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B8BF27A"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Prepaid expenses</w:t>
            </w:r>
          </w:p>
        </w:tc>
        <w:tc>
          <w:tcPr>
            <w:tcW w:w="1.0%" w:type="pct"/>
            <w:tcBorders>
              <w:top w:val="nil"/>
              <w:start w:val="nil"/>
              <w:bottom w:val="nil"/>
              <w:end w:val="nil"/>
            </w:tcBorders>
            <w:shd w:val="clear" w:color="auto" w:fill="CFF0FC"/>
            <w:tcMar>
              <w:top w:w="0pt" w:type="dxa"/>
              <w:end w:w="0pt" w:type="dxa"/>
            </w:tcMar>
            <w:vAlign w:val="bottom"/>
          </w:tcPr>
          <w:p w14:paraId="32E20F1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25696D8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270,626</w:t>
            </w:r>
          </w:p>
        </w:tc>
        <w:tc>
          <w:tcPr>
            <w:tcW w:w="1.0%" w:type="pct"/>
            <w:tcBorders>
              <w:top w:val="nil"/>
              <w:start w:val="nil"/>
              <w:bottom w:val="nil"/>
              <w:end w:val="nil"/>
            </w:tcBorders>
            <w:shd w:val="clear" w:color="auto" w:fill="CFF0FC"/>
            <w:tcMar>
              <w:top w:w="0pt" w:type="dxa"/>
              <w:end w:w="0pt" w:type="dxa"/>
            </w:tcMar>
            <w:vAlign w:val="bottom"/>
          </w:tcPr>
          <w:p w14:paraId="589B7FC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082B84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11E58A9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2E01845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139,941</w:t>
            </w:r>
          </w:p>
        </w:tc>
        <w:tc>
          <w:tcPr>
            <w:tcW w:w="1.0%" w:type="pct"/>
            <w:tcBorders>
              <w:top w:val="nil"/>
              <w:start w:val="nil"/>
              <w:bottom w:val="nil"/>
              <w:end w:val="nil"/>
            </w:tcBorders>
            <w:shd w:val="clear" w:color="auto" w:fill="CFF0FC"/>
            <w:tcMar>
              <w:top w:w="0pt" w:type="dxa"/>
              <w:end w:w="0pt" w:type="dxa"/>
            </w:tcMar>
            <w:vAlign w:val="bottom"/>
          </w:tcPr>
          <w:p w14:paraId="0B3DCE4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EC36DF0"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FDF0454"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Prepaid guaranty fees - related party</w:t>
            </w:r>
          </w:p>
        </w:tc>
        <w:tc>
          <w:tcPr>
            <w:tcW w:w="1.0%" w:type="pct"/>
            <w:tcBorders>
              <w:top w:val="nil"/>
              <w:start w:val="nil"/>
              <w:bottom w:val="nil"/>
              <w:end w:val="nil"/>
            </w:tcBorders>
            <w:shd w:val="clear" w:color="auto" w:fill="FFFFFF"/>
            <w:tcMar>
              <w:top w:w="0pt" w:type="dxa"/>
              <w:end w:w="0pt" w:type="dxa"/>
            </w:tcMar>
            <w:vAlign w:val="bottom"/>
          </w:tcPr>
          <w:p w14:paraId="79B5C33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4D0FC1E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96,360</w:t>
            </w:r>
          </w:p>
        </w:tc>
        <w:tc>
          <w:tcPr>
            <w:tcW w:w="1.0%" w:type="pct"/>
            <w:tcBorders>
              <w:top w:val="nil"/>
              <w:start w:val="nil"/>
              <w:bottom w:val="nil"/>
              <w:end w:val="nil"/>
            </w:tcBorders>
            <w:shd w:val="clear" w:color="auto" w:fill="FFFFFF"/>
            <w:tcMar>
              <w:top w:w="0pt" w:type="dxa"/>
              <w:end w:w="0pt" w:type="dxa"/>
            </w:tcMar>
            <w:vAlign w:val="bottom"/>
          </w:tcPr>
          <w:p w14:paraId="708E33A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A604FC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BE080E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6EBDAC9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w:t>
            </w:r>
          </w:p>
        </w:tc>
        <w:tc>
          <w:tcPr>
            <w:tcW w:w="1.0%" w:type="pct"/>
            <w:tcBorders>
              <w:top w:val="nil"/>
              <w:start w:val="nil"/>
              <w:bottom w:val="nil"/>
              <w:end w:val="nil"/>
            </w:tcBorders>
            <w:shd w:val="clear" w:color="auto" w:fill="FFFFFF"/>
            <w:tcMar>
              <w:top w:w="0pt" w:type="dxa"/>
              <w:end w:w="0pt" w:type="dxa"/>
            </w:tcMar>
            <w:vAlign w:val="bottom"/>
          </w:tcPr>
          <w:p w14:paraId="7D9380D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8418459"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4A5D46F6"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Accounts receivable</w:t>
            </w:r>
          </w:p>
        </w:tc>
        <w:tc>
          <w:tcPr>
            <w:tcW w:w="1.0%" w:type="pct"/>
            <w:tcBorders>
              <w:top w:val="nil"/>
              <w:start w:val="nil"/>
              <w:bottom w:val="nil"/>
              <w:end w:val="nil"/>
            </w:tcBorders>
            <w:shd w:val="clear" w:color="auto" w:fill="CFF0FC"/>
            <w:tcMar>
              <w:top w:w="0pt" w:type="dxa"/>
              <w:end w:w="0pt" w:type="dxa"/>
            </w:tcMar>
            <w:vAlign w:val="bottom"/>
          </w:tcPr>
          <w:p w14:paraId="77781CB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55F3628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164,549</w:t>
            </w:r>
          </w:p>
        </w:tc>
        <w:tc>
          <w:tcPr>
            <w:tcW w:w="1.0%" w:type="pct"/>
            <w:tcBorders>
              <w:top w:val="nil"/>
              <w:start w:val="nil"/>
              <w:bottom w:val="nil"/>
              <w:end w:val="nil"/>
            </w:tcBorders>
            <w:shd w:val="clear" w:color="auto" w:fill="CFF0FC"/>
            <w:tcMar>
              <w:top w:w="0pt" w:type="dxa"/>
              <w:end w:w="0pt" w:type="dxa"/>
            </w:tcMar>
            <w:vAlign w:val="bottom"/>
          </w:tcPr>
          <w:p w14:paraId="751826E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A99D69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ACA5B2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00181AD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241,166</w:t>
            </w:r>
          </w:p>
        </w:tc>
        <w:tc>
          <w:tcPr>
            <w:tcW w:w="1.0%" w:type="pct"/>
            <w:tcBorders>
              <w:top w:val="nil"/>
              <w:start w:val="nil"/>
              <w:bottom w:val="nil"/>
              <w:end w:val="nil"/>
            </w:tcBorders>
            <w:shd w:val="clear" w:color="auto" w:fill="CFF0FC"/>
            <w:tcMar>
              <w:top w:w="0pt" w:type="dxa"/>
              <w:end w:w="0pt" w:type="dxa"/>
            </w:tcMar>
            <w:vAlign w:val="bottom"/>
          </w:tcPr>
          <w:p w14:paraId="37CAC05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867662C"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47F4166"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Escrow deposits and other assets</w:t>
            </w:r>
          </w:p>
        </w:tc>
        <w:tc>
          <w:tcPr>
            <w:tcW w:w="1.0%" w:type="pct"/>
            <w:tcBorders>
              <w:top w:val="nil"/>
              <w:start w:val="nil"/>
              <w:bottom w:val="nil"/>
              <w:end w:val="nil"/>
            </w:tcBorders>
            <w:shd w:val="clear" w:color="auto" w:fill="FFFFFF"/>
            <w:tcMar>
              <w:top w:w="0pt" w:type="dxa"/>
              <w:end w:w="0pt" w:type="dxa"/>
            </w:tcMar>
            <w:vAlign w:val="bottom"/>
          </w:tcPr>
          <w:p w14:paraId="20FC8B4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1378A0A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982,640</w:t>
            </w:r>
          </w:p>
        </w:tc>
        <w:tc>
          <w:tcPr>
            <w:tcW w:w="1.0%" w:type="pct"/>
            <w:tcBorders>
              <w:top w:val="nil"/>
              <w:start w:val="nil"/>
              <w:bottom w:val="nil"/>
              <w:end w:val="nil"/>
            </w:tcBorders>
            <w:shd w:val="clear" w:color="auto" w:fill="FFFFFF"/>
            <w:tcMar>
              <w:top w:w="0pt" w:type="dxa"/>
              <w:end w:w="0pt" w:type="dxa"/>
            </w:tcMar>
            <w:vAlign w:val="bottom"/>
          </w:tcPr>
          <w:p w14:paraId="15B7E96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B82F4B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9F3869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0E804FB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493,393</w:t>
            </w:r>
          </w:p>
        </w:tc>
        <w:tc>
          <w:tcPr>
            <w:tcW w:w="1.0%" w:type="pct"/>
            <w:tcBorders>
              <w:top w:val="nil"/>
              <w:start w:val="nil"/>
              <w:bottom w:val="nil"/>
              <w:end w:val="nil"/>
            </w:tcBorders>
            <w:shd w:val="clear" w:color="auto" w:fill="FFFFFF"/>
            <w:tcMar>
              <w:top w:w="0pt" w:type="dxa"/>
              <w:end w:w="0pt" w:type="dxa"/>
            </w:tcMar>
            <w:vAlign w:val="bottom"/>
          </w:tcPr>
          <w:p w14:paraId="6B7DE92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8919D29"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11C7855F"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Held for sale assets</w:t>
            </w:r>
          </w:p>
        </w:tc>
        <w:tc>
          <w:tcPr>
            <w:tcW w:w="1.0%" w:type="pct"/>
            <w:tcBorders>
              <w:top w:val="nil"/>
              <w:start w:val="nil"/>
              <w:bottom w:val="nil"/>
              <w:end w:val="nil"/>
            </w:tcBorders>
            <w:shd w:val="clear" w:color="auto" w:fill="CFF0FC"/>
            <w:tcMar>
              <w:top w:w="0pt" w:type="dxa"/>
              <w:end w:w="0pt" w:type="dxa"/>
            </w:tcMar>
            <w:vAlign w:val="bottom"/>
          </w:tcPr>
          <w:p w14:paraId="2E5449C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729E4C7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5,750,250</w:t>
            </w:r>
          </w:p>
        </w:tc>
        <w:tc>
          <w:tcPr>
            <w:tcW w:w="1.0%" w:type="pct"/>
            <w:tcBorders>
              <w:top w:val="nil"/>
              <w:start w:val="nil"/>
              <w:bottom w:val="nil"/>
              <w:end w:val="nil"/>
            </w:tcBorders>
            <w:shd w:val="clear" w:color="auto" w:fill="CFF0FC"/>
            <w:tcMar>
              <w:top w:w="0pt" w:type="dxa"/>
              <w:end w:w="0pt" w:type="dxa"/>
            </w:tcMar>
            <w:vAlign w:val="bottom"/>
          </w:tcPr>
          <w:p w14:paraId="3DE7C1B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EFFD04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6E5966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20C87F4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w:t>
            </w:r>
          </w:p>
        </w:tc>
        <w:tc>
          <w:tcPr>
            <w:tcW w:w="1.0%" w:type="pct"/>
            <w:tcBorders>
              <w:top w:val="nil"/>
              <w:start w:val="nil"/>
              <w:bottom w:val="nil"/>
              <w:end w:val="nil"/>
            </w:tcBorders>
            <w:shd w:val="clear" w:color="auto" w:fill="CFF0FC"/>
            <w:tcMar>
              <w:top w:w="0pt" w:type="dxa"/>
              <w:end w:w="0pt" w:type="dxa"/>
            </w:tcMar>
            <w:vAlign w:val="bottom"/>
          </w:tcPr>
          <w:p w14:paraId="46C7C30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CB10165"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54721E3"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Right of use asset, net</w:t>
            </w:r>
          </w:p>
        </w:tc>
        <w:tc>
          <w:tcPr>
            <w:tcW w:w="1.0%" w:type="pct"/>
            <w:tcBorders>
              <w:top w:val="nil"/>
              <w:start w:val="nil"/>
              <w:bottom w:val="single" w:sz="4" w:space="0" w:color="000000"/>
              <w:end w:val="nil"/>
            </w:tcBorders>
            <w:shd w:val="clear" w:color="auto" w:fill="FFFFFF"/>
            <w:tcMar>
              <w:top w:w="0pt" w:type="dxa"/>
              <w:end w:w="0pt" w:type="dxa"/>
            </w:tcMar>
            <w:vAlign w:val="bottom"/>
          </w:tcPr>
          <w:p w14:paraId="14EBBBD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single" w:sz="4" w:space="0" w:color="000000"/>
              <w:end w:val="nil"/>
            </w:tcBorders>
            <w:shd w:val="clear" w:color="auto" w:fill="FFFFFF"/>
            <w:tcMar>
              <w:top w:w="0pt" w:type="dxa"/>
              <w:end w:w="0pt" w:type="dxa"/>
            </w:tcMar>
            <w:vAlign w:val="bottom"/>
          </w:tcPr>
          <w:p w14:paraId="3291C75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6,088,025</w:t>
            </w:r>
          </w:p>
        </w:tc>
        <w:tc>
          <w:tcPr>
            <w:tcW w:w="1.0%" w:type="pct"/>
            <w:tcBorders>
              <w:top w:val="nil"/>
              <w:start w:val="nil"/>
              <w:bottom w:val="nil"/>
              <w:end w:val="nil"/>
            </w:tcBorders>
            <w:shd w:val="clear" w:color="auto" w:fill="FFFFFF"/>
            <w:tcMar>
              <w:top w:w="0pt" w:type="dxa"/>
              <w:end w:w="0pt" w:type="dxa"/>
            </w:tcMar>
            <w:vAlign w:val="bottom"/>
          </w:tcPr>
          <w:p w14:paraId="1D98990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233DEF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1AFD646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single" w:sz="4" w:space="0" w:color="000000"/>
              <w:end w:val="nil"/>
            </w:tcBorders>
            <w:shd w:val="clear" w:color="auto" w:fill="FFFFFF"/>
            <w:tcMar>
              <w:top w:w="0pt" w:type="dxa"/>
              <w:end w:w="0pt" w:type="dxa"/>
            </w:tcMar>
            <w:vAlign w:val="bottom"/>
          </w:tcPr>
          <w:p w14:paraId="06017F8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6,152,174</w:t>
            </w:r>
          </w:p>
        </w:tc>
        <w:tc>
          <w:tcPr>
            <w:tcW w:w="1.0%" w:type="pct"/>
            <w:tcBorders>
              <w:top w:val="nil"/>
              <w:start w:val="nil"/>
              <w:bottom w:val="nil"/>
              <w:end w:val="nil"/>
            </w:tcBorders>
            <w:shd w:val="clear" w:color="auto" w:fill="FFFFFF"/>
            <w:tcMar>
              <w:top w:w="0pt" w:type="dxa"/>
              <w:end w:w="0pt" w:type="dxa"/>
            </w:tcMar>
            <w:vAlign w:val="bottom"/>
          </w:tcPr>
          <w:p w14:paraId="0285A8F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09381537"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0D8F79D5"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Total Assets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54418757"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w:t>
            </w:r>
          </w:p>
        </w:tc>
        <w:tc>
          <w:tcPr>
            <w:tcW w:w="16.0%" w:type="pct"/>
            <w:tcBorders>
              <w:top w:val="single" w:sz="4" w:space="0" w:color="000000"/>
              <w:start w:val="nil"/>
              <w:bottom w:val="double" w:sz="6" w:space="0" w:color="000000"/>
              <w:end w:val="nil"/>
            </w:tcBorders>
            <w:shd w:val="clear" w:color="auto" w:fill="CFF0FC"/>
            <w:tcMar>
              <w:top w:w="0pt" w:type="dxa"/>
              <w:end w:w="0pt" w:type="dxa"/>
            </w:tcMar>
            <w:vAlign w:val="bottom"/>
          </w:tcPr>
          <w:p w14:paraId="70F1FFD3"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7"/>
              </w:rPr>
            </w:pPr>
            <w:r>
              <w:rPr>
                <w:rFonts w:ascii="Open Sans" w:eastAsia="Open Sans" w:hAnsi="Open Sans" w:cs="Open Sans"/>
                <w:b/>
                <w:color w:val="000000"/>
                <w:sz w:val="17"/>
              </w:rPr>
              <w:t>107,956,744</w:t>
            </w:r>
          </w:p>
        </w:tc>
        <w:tc>
          <w:tcPr>
            <w:tcW w:w="1.0%" w:type="pct"/>
            <w:tcBorders>
              <w:top w:val="nil"/>
              <w:start w:val="nil"/>
              <w:bottom w:val="nil"/>
              <w:end w:val="nil"/>
            </w:tcBorders>
            <w:shd w:val="clear" w:color="auto" w:fill="CFF0FC"/>
            <w:tcMar>
              <w:top w:w="0pt" w:type="dxa"/>
              <w:end w:w="0pt" w:type="dxa"/>
            </w:tcMar>
            <w:vAlign w:val="bottom"/>
          </w:tcPr>
          <w:p w14:paraId="0EF03F16"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1B0E504"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6A4EA2DE"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w:t>
            </w:r>
          </w:p>
        </w:tc>
        <w:tc>
          <w:tcPr>
            <w:tcW w:w="17.0%" w:type="pct"/>
            <w:tcBorders>
              <w:top w:val="single" w:sz="4" w:space="0" w:color="000000"/>
              <w:start w:val="nil"/>
              <w:bottom w:val="double" w:sz="6" w:space="0" w:color="000000"/>
              <w:end w:val="nil"/>
            </w:tcBorders>
            <w:shd w:val="clear" w:color="auto" w:fill="CFF0FC"/>
            <w:tcMar>
              <w:top w:w="0pt" w:type="dxa"/>
              <w:end w:w="0pt" w:type="dxa"/>
            </w:tcMar>
            <w:vAlign w:val="bottom"/>
          </w:tcPr>
          <w:p w14:paraId="65CB0560"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7"/>
              </w:rPr>
            </w:pPr>
            <w:r>
              <w:rPr>
                <w:rFonts w:ascii="Open Sans" w:eastAsia="Open Sans" w:hAnsi="Open Sans" w:cs="Open Sans"/>
                <w:b/>
                <w:color w:val="000000"/>
                <w:sz w:val="17"/>
              </w:rPr>
              <w:t>108,691,416</w:t>
            </w:r>
          </w:p>
        </w:tc>
        <w:tc>
          <w:tcPr>
            <w:tcW w:w="1.0%" w:type="pct"/>
            <w:tcBorders>
              <w:top w:val="nil"/>
              <w:start w:val="nil"/>
              <w:bottom w:val="nil"/>
              <w:end w:val="nil"/>
            </w:tcBorders>
            <w:shd w:val="clear" w:color="auto" w:fill="CFF0FC"/>
            <w:tcMar>
              <w:top w:w="0pt" w:type="dxa"/>
              <w:end w:w="0pt" w:type="dxa"/>
            </w:tcMar>
            <w:vAlign w:val="bottom"/>
          </w:tcPr>
          <w:p w14:paraId="389A0ED7"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r>
      <w:tr w:rsidR="0086099C" w14:paraId="4BD98D3E"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4792A0EB"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5F342B3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F6AC0A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D6CF70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084D518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93CC83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65A9C489"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740C6441"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u w:val="single"/>
              </w:rPr>
            </w:pPr>
            <w:r>
              <w:rPr>
                <w:rFonts w:ascii="Open Sans" w:eastAsia="Open Sans" w:hAnsi="Open Sans" w:cs="Open Sans"/>
                <w:b/>
                <w:color w:val="000000"/>
                <w:sz w:val="17"/>
                <w:u w:val="single"/>
              </w:rPr>
              <w:t>Liabilities and Equity</w:t>
            </w:r>
          </w:p>
        </w:tc>
        <w:tc>
          <w:tcPr>
            <w:tcW w:w="0pt" w:type="dxa"/>
            <w:gridSpan w:val="2"/>
            <w:tcBorders>
              <w:top w:val="nil"/>
              <w:start w:val="nil"/>
              <w:bottom w:val="nil"/>
              <w:end w:val="nil"/>
            </w:tcBorders>
            <w:shd w:val="clear" w:color="auto" w:fill="CFF0FC"/>
            <w:tcMar>
              <w:top w:w="0pt" w:type="dxa"/>
              <w:end w:w="0pt" w:type="dxa"/>
            </w:tcMar>
            <w:vAlign w:val="bottom"/>
          </w:tcPr>
          <w:p w14:paraId="1A6EFE9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F2891D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26F891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4BEA589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854BB7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6E4616D5"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3CE5AE09"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Liabilities</w:t>
            </w:r>
          </w:p>
        </w:tc>
        <w:tc>
          <w:tcPr>
            <w:tcW w:w="0pt" w:type="dxa"/>
            <w:gridSpan w:val="2"/>
            <w:tcBorders>
              <w:top w:val="nil"/>
              <w:start w:val="nil"/>
              <w:bottom w:val="nil"/>
              <w:end w:val="nil"/>
            </w:tcBorders>
            <w:shd w:val="clear" w:color="auto" w:fill="FFFFFF"/>
            <w:tcMar>
              <w:top w:w="0pt" w:type="dxa"/>
              <w:end w:w="0pt" w:type="dxa"/>
            </w:tcMar>
            <w:vAlign w:val="bottom"/>
          </w:tcPr>
          <w:p w14:paraId="5252692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E9A08B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64D29C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4947795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60739E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4CD2E658"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11E6CC23"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Accounts payable</w:t>
            </w:r>
          </w:p>
        </w:tc>
        <w:tc>
          <w:tcPr>
            <w:tcW w:w="1.0%" w:type="pct"/>
            <w:tcBorders>
              <w:top w:val="nil"/>
              <w:start w:val="nil"/>
              <w:bottom w:val="nil"/>
              <w:end w:val="nil"/>
            </w:tcBorders>
            <w:shd w:val="clear" w:color="auto" w:fill="CFF0FC"/>
            <w:tcMar>
              <w:top w:w="0pt" w:type="dxa"/>
              <w:end w:w="0pt" w:type="dxa"/>
            </w:tcMar>
            <w:vAlign w:val="bottom"/>
          </w:tcPr>
          <w:p w14:paraId="5E321DA0"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6.0%" w:type="pct"/>
            <w:tcBorders>
              <w:top w:val="nil"/>
              <w:start w:val="nil"/>
              <w:bottom w:val="nil"/>
              <w:end w:val="nil"/>
            </w:tcBorders>
            <w:shd w:val="clear" w:color="auto" w:fill="CFF0FC"/>
            <w:tcMar>
              <w:top w:w="0pt" w:type="dxa"/>
              <w:end w:w="0pt" w:type="dxa"/>
            </w:tcMar>
            <w:vAlign w:val="bottom"/>
          </w:tcPr>
          <w:p w14:paraId="43A764D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79,297</w:t>
            </w:r>
          </w:p>
        </w:tc>
        <w:tc>
          <w:tcPr>
            <w:tcW w:w="1.0%" w:type="pct"/>
            <w:tcBorders>
              <w:top w:val="nil"/>
              <w:start w:val="nil"/>
              <w:bottom w:val="nil"/>
              <w:end w:val="nil"/>
            </w:tcBorders>
            <w:shd w:val="clear" w:color="auto" w:fill="CFF0FC"/>
            <w:tcMar>
              <w:top w:w="0pt" w:type="dxa"/>
              <w:end w:w="0pt" w:type="dxa"/>
            </w:tcMar>
            <w:vAlign w:val="bottom"/>
          </w:tcPr>
          <w:p w14:paraId="07D413D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E09545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6F4E9B6"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7.0%" w:type="pct"/>
            <w:tcBorders>
              <w:top w:val="nil"/>
              <w:start w:val="nil"/>
              <w:bottom w:val="nil"/>
              <w:end w:val="nil"/>
            </w:tcBorders>
            <w:shd w:val="clear" w:color="auto" w:fill="CFF0FC"/>
            <w:tcMar>
              <w:top w:w="0pt" w:type="dxa"/>
              <w:end w:w="0pt" w:type="dxa"/>
            </w:tcMar>
            <w:vAlign w:val="bottom"/>
          </w:tcPr>
          <w:p w14:paraId="2CB6EB2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406,772</w:t>
            </w:r>
          </w:p>
        </w:tc>
        <w:tc>
          <w:tcPr>
            <w:tcW w:w="1.0%" w:type="pct"/>
            <w:tcBorders>
              <w:top w:val="nil"/>
              <w:start w:val="nil"/>
              <w:bottom w:val="nil"/>
              <w:end w:val="nil"/>
            </w:tcBorders>
            <w:shd w:val="clear" w:color="auto" w:fill="CFF0FC"/>
            <w:tcMar>
              <w:top w:w="0pt" w:type="dxa"/>
              <w:end w:w="0pt" w:type="dxa"/>
            </w:tcMar>
            <w:vAlign w:val="bottom"/>
          </w:tcPr>
          <w:p w14:paraId="0068BAC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6750F6B7"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51DBADB0"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Accrued expenses</w:t>
            </w:r>
          </w:p>
        </w:tc>
        <w:tc>
          <w:tcPr>
            <w:tcW w:w="1.0%" w:type="pct"/>
            <w:tcBorders>
              <w:top w:val="nil"/>
              <w:start w:val="nil"/>
              <w:bottom w:val="nil"/>
              <w:end w:val="nil"/>
            </w:tcBorders>
            <w:shd w:val="clear" w:color="auto" w:fill="FFFFFF"/>
            <w:tcMar>
              <w:top w:w="0pt" w:type="dxa"/>
              <w:end w:w="0pt" w:type="dxa"/>
            </w:tcMar>
            <w:vAlign w:val="bottom"/>
          </w:tcPr>
          <w:p w14:paraId="73A31A7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533C40A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1,480,103</w:t>
            </w:r>
          </w:p>
        </w:tc>
        <w:tc>
          <w:tcPr>
            <w:tcW w:w="1.0%" w:type="pct"/>
            <w:tcBorders>
              <w:top w:val="nil"/>
              <w:start w:val="nil"/>
              <w:bottom w:val="nil"/>
              <w:end w:val="nil"/>
            </w:tcBorders>
            <w:shd w:val="clear" w:color="auto" w:fill="FFFFFF"/>
            <w:tcMar>
              <w:top w:w="0pt" w:type="dxa"/>
              <w:end w:w="0pt" w:type="dxa"/>
            </w:tcMar>
            <w:vAlign w:val="bottom"/>
          </w:tcPr>
          <w:p w14:paraId="4988D0E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20C4363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2261C51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1BD1B6C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688,146</w:t>
            </w:r>
          </w:p>
        </w:tc>
        <w:tc>
          <w:tcPr>
            <w:tcW w:w="1.0%" w:type="pct"/>
            <w:tcBorders>
              <w:top w:val="nil"/>
              <w:start w:val="nil"/>
              <w:bottom w:val="nil"/>
              <w:end w:val="nil"/>
            </w:tcBorders>
            <w:shd w:val="clear" w:color="auto" w:fill="FFFFFF"/>
            <w:tcMar>
              <w:top w:w="0pt" w:type="dxa"/>
              <w:end w:w="0pt" w:type="dxa"/>
            </w:tcMar>
            <w:vAlign w:val="bottom"/>
          </w:tcPr>
          <w:p w14:paraId="575EB4F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5116A3B"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815B0E9"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Accrued expense - related party</w:t>
            </w:r>
          </w:p>
        </w:tc>
        <w:tc>
          <w:tcPr>
            <w:tcW w:w="1.0%" w:type="pct"/>
            <w:tcBorders>
              <w:top w:val="nil"/>
              <w:start w:val="nil"/>
              <w:bottom w:val="nil"/>
              <w:end w:val="nil"/>
            </w:tcBorders>
            <w:shd w:val="clear" w:color="auto" w:fill="CFF0FC"/>
            <w:tcMar>
              <w:top w:w="0pt" w:type="dxa"/>
              <w:end w:w="0pt" w:type="dxa"/>
            </w:tcMar>
            <w:vAlign w:val="bottom"/>
          </w:tcPr>
          <w:p w14:paraId="633099B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5A8698E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683,347</w:t>
            </w:r>
          </w:p>
        </w:tc>
        <w:tc>
          <w:tcPr>
            <w:tcW w:w="1.0%" w:type="pct"/>
            <w:tcBorders>
              <w:top w:val="nil"/>
              <w:start w:val="nil"/>
              <w:bottom w:val="nil"/>
              <w:end w:val="nil"/>
            </w:tcBorders>
            <w:shd w:val="clear" w:color="auto" w:fill="CFF0FC"/>
            <w:tcMar>
              <w:top w:w="0pt" w:type="dxa"/>
              <w:end w:w="0pt" w:type="dxa"/>
            </w:tcMar>
            <w:vAlign w:val="bottom"/>
          </w:tcPr>
          <w:p w14:paraId="78A4234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BE9C9A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2E9354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27ADAE1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683,347</w:t>
            </w:r>
          </w:p>
        </w:tc>
        <w:tc>
          <w:tcPr>
            <w:tcW w:w="1.0%" w:type="pct"/>
            <w:tcBorders>
              <w:top w:val="nil"/>
              <w:start w:val="nil"/>
              <w:bottom w:val="nil"/>
              <w:end w:val="nil"/>
            </w:tcBorders>
            <w:shd w:val="clear" w:color="auto" w:fill="CFF0FC"/>
            <w:tcMar>
              <w:top w:w="0pt" w:type="dxa"/>
              <w:end w:w="0pt" w:type="dxa"/>
            </w:tcMar>
            <w:vAlign w:val="bottom"/>
          </w:tcPr>
          <w:p w14:paraId="4CFBDB1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D408091"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382547F4"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Acquired lease intangible liabilities, net</w:t>
            </w:r>
          </w:p>
        </w:tc>
        <w:tc>
          <w:tcPr>
            <w:tcW w:w="1.0%" w:type="pct"/>
            <w:tcBorders>
              <w:top w:val="nil"/>
              <w:start w:val="nil"/>
              <w:bottom w:val="nil"/>
              <w:end w:val="nil"/>
            </w:tcBorders>
            <w:shd w:val="clear" w:color="auto" w:fill="FFFFFF"/>
            <w:tcMar>
              <w:top w:w="0pt" w:type="dxa"/>
              <w:end w:w="0pt" w:type="dxa"/>
            </w:tcMar>
            <w:vAlign w:val="bottom"/>
          </w:tcPr>
          <w:p w14:paraId="0946327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650B868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914,305</w:t>
            </w:r>
          </w:p>
        </w:tc>
        <w:tc>
          <w:tcPr>
            <w:tcW w:w="1.0%" w:type="pct"/>
            <w:tcBorders>
              <w:top w:val="nil"/>
              <w:start w:val="nil"/>
              <w:bottom w:val="nil"/>
              <w:end w:val="nil"/>
            </w:tcBorders>
            <w:shd w:val="clear" w:color="auto" w:fill="FFFFFF"/>
            <w:tcMar>
              <w:top w:w="0pt" w:type="dxa"/>
              <w:end w:w="0pt" w:type="dxa"/>
            </w:tcMar>
            <w:vAlign w:val="bottom"/>
          </w:tcPr>
          <w:p w14:paraId="0634CDD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2C8D6E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DE8CE5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4741579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1,016,260</w:t>
            </w:r>
          </w:p>
        </w:tc>
        <w:tc>
          <w:tcPr>
            <w:tcW w:w="1.0%" w:type="pct"/>
            <w:tcBorders>
              <w:top w:val="nil"/>
              <w:start w:val="nil"/>
              <w:bottom w:val="nil"/>
              <w:end w:val="nil"/>
            </w:tcBorders>
            <w:shd w:val="clear" w:color="auto" w:fill="FFFFFF"/>
            <w:tcMar>
              <w:top w:w="0pt" w:type="dxa"/>
              <w:end w:w="0pt" w:type="dxa"/>
            </w:tcMar>
            <w:vAlign w:val="bottom"/>
          </w:tcPr>
          <w:p w14:paraId="30CB2B1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7D66F080"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E9146DE"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Insurance payable</w:t>
            </w:r>
          </w:p>
        </w:tc>
        <w:tc>
          <w:tcPr>
            <w:tcW w:w="1.0%" w:type="pct"/>
            <w:tcBorders>
              <w:top w:val="nil"/>
              <w:start w:val="nil"/>
              <w:bottom w:val="nil"/>
              <w:end w:val="nil"/>
            </w:tcBorders>
            <w:shd w:val="clear" w:color="auto" w:fill="CFF0FC"/>
            <w:tcMar>
              <w:top w:w="0pt" w:type="dxa"/>
              <w:end w:w="0pt" w:type="dxa"/>
            </w:tcMar>
            <w:vAlign w:val="bottom"/>
          </w:tcPr>
          <w:p w14:paraId="165886C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5D37F2E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150,450</w:t>
            </w:r>
          </w:p>
        </w:tc>
        <w:tc>
          <w:tcPr>
            <w:tcW w:w="1.0%" w:type="pct"/>
            <w:tcBorders>
              <w:top w:val="nil"/>
              <w:start w:val="nil"/>
              <w:bottom w:val="nil"/>
              <w:end w:val="nil"/>
            </w:tcBorders>
            <w:shd w:val="clear" w:color="auto" w:fill="CFF0FC"/>
            <w:tcMar>
              <w:top w:w="0pt" w:type="dxa"/>
              <w:end w:w="0pt" w:type="dxa"/>
            </w:tcMar>
            <w:vAlign w:val="bottom"/>
          </w:tcPr>
          <w:p w14:paraId="466EB45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008D2A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D855BB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501BF3D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34,966</w:t>
            </w:r>
          </w:p>
        </w:tc>
        <w:tc>
          <w:tcPr>
            <w:tcW w:w="1.0%" w:type="pct"/>
            <w:tcBorders>
              <w:top w:val="nil"/>
              <w:start w:val="nil"/>
              <w:bottom w:val="nil"/>
              <w:end w:val="nil"/>
            </w:tcBorders>
            <w:shd w:val="clear" w:color="auto" w:fill="CFF0FC"/>
            <w:tcMar>
              <w:top w:w="0pt" w:type="dxa"/>
              <w:end w:w="0pt" w:type="dxa"/>
            </w:tcMar>
            <w:vAlign w:val="bottom"/>
          </w:tcPr>
          <w:p w14:paraId="5B6644B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3BB80984"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71255E66"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Deferred rent liability</w:t>
            </w:r>
          </w:p>
        </w:tc>
        <w:tc>
          <w:tcPr>
            <w:tcW w:w="1.0%" w:type="pct"/>
            <w:tcBorders>
              <w:top w:val="nil"/>
              <w:start w:val="nil"/>
              <w:bottom w:val="nil"/>
              <w:end w:val="nil"/>
            </w:tcBorders>
            <w:shd w:val="clear" w:color="auto" w:fill="FFFFFF"/>
            <w:tcMar>
              <w:top w:w="0pt" w:type="dxa"/>
              <w:end w:w="0pt" w:type="dxa"/>
            </w:tcMar>
            <w:vAlign w:val="bottom"/>
          </w:tcPr>
          <w:p w14:paraId="41A371A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364C049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155,968</w:t>
            </w:r>
          </w:p>
        </w:tc>
        <w:tc>
          <w:tcPr>
            <w:tcW w:w="1.0%" w:type="pct"/>
            <w:tcBorders>
              <w:top w:val="nil"/>
              <w:start w:val="nil"/>
              <w:bottom w:val="nil"/>
              <w:end w:val="nil"/>
            </w:tcBorders>
            <w:shd w:val="clear" w:color="auto" w:fill="FFFFFF"/>
            <w:tcMar>
              <w:top w:w="0pt" w:type="dxa"/>
              <w:end w:w="0pt" w:type="dxa"/>
            </w:tcMar>
            <w:vAlign w:val="bottom"/>
          </w:tcPr>
          <w:p w14:paraId="1D58BE1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080684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92CED9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1BA3A17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260,942</w:t>
            </w:r>
          </w:p>
        </w:tc>
        <w:tc>
          <w:tcPr>
            <w:tcW w:w="1.0%" w:type="pct"/>
            <w:tcBorders>
              <w:top w:val="nil"/>
              <w:start w:val="nil"/>
              <w:bottom w:val="nil"/>
              <w:end w:val="nil"/>
            </w:tcBorders>
            <w:shd w:val="clear" w:color="auto" w:fill="FFFFFF"/>
            <w:tcMar>
              <w:top w:w="0pt" w:type="dxa"/>
              <w:end w:w="0pt" w:type="dxa"/>
            </w:tcMar>
            <w:vAlign w:val="bottom"/>
          </w:tcPr>
          <w:p w14:paraId="6F76CD8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E3B9A40"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1E51D377"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Lease liability, net</w:t>
            </w:r>
          </w:p>
        </w:tc>
        <w:tc>
          <w:tcPr>
            <w:tcW w:w="1.0%" w:type="pct"/>
            <w:tcBorders>
              <w:top w:val="nil"/>
              <w:start w:val="nil"/>
              <w:bottom w:val="nil"/>
              <w:end w:val="nil"/>
            </w:tcBorders>
            <w:shd w:val="clear" w:color="auto" w:fill="CFF0FC"/>
            <w:tcMar>
              <w:top w:w="0pt" w:type="dxa"/>
              <w:end w:w="0pt" w:type="dxa"/>
            </w:tcMar>
            <w:vAlign w:val="bottom"/>
          </w:tcPr>
          <w:p w14:paraId="442A2CC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2104E97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6,452,484</w:t>
            </w:r>
          </w:p>
        </w:tc>
        <w:tc>
          <w:tcPr>
            <w:tcW w:w="1.0%" w:type="pct"/>
            <w:tcBorders>
              <w:top w:val="nil"/>
              <w:start w:val="nil"/>
              <w:bottom w:val="nil"/>
              <w:end w:val="nil"/>
            </w:tcBorders>
            <w:shd w:val="clear" w:color="auto" w:fill="CFF0FC"/>
            <w:tcMar>
              <w:top w:w="0pt" w:type="dxa"/>
              <w:end w:w="0pt" w:type="dxa"/>
            </w:tcMar>
            <w:vAlign w:val="bottom"/>
          </w:tcPr>
          <w:p w14:paraId="547D814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DD45A3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696451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4DE4DA3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6,415,041</w:t>
            </w:r>
          </w:p>
        </w:tc>
        <w:tc>
          <w:tcPr>
            <w:tcW w:w="1.0%" w:type="pct"/>
            <w:tcBorders>
              <w:top w:val="nil"/>
              <w:start w:val="nil"/>
              <w:bottom w:val="nil"/>
              <w:end w:val="nil"/>
            </w:tcBorders>
            <w:shd w:val="clear" w:color="auto" w:fill="CFF0FC"/>
            <w:tcMar>
              <w:top w:w="0pt" w:type="dxa"/>
              <w:end w:w="0pt" w:type="dxa"/>
            </w:tcMar>
            <w:vAlign w:val="bottom"/>
          </w:tcPr>
          <w:p w14:paraId="5F947AE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198A2FF"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F997B24"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Other payable - related party</w:t>
            </w:r>
          </w:p>
        </w:tc>
        <w:tc>
          <w:tcPr>
            <w:tcW w:w="1.0%" w:type="pct"/>
            <w:tcBorders>
              <w:top w:val="nil"/>
              <w:start w:val="nil"/>
              <w:bottom w:val="nil"/>
              <w:end w:val="nil"/>
            </w:tcBorders>
            <w:shd w:val="clear" w:color="auto" w:fill="FFFFFF"/>
            <w:tcMar>
              <w:top w:w="0pt" w:type="dxa"/>
              <w:end w:w="0pt" w:type="dxa"/>
            </w:tcMar>
            <w:vAlign w:val="bottom"/>
          </w:tcPr>
          <w:p w14:paraId="2E15F18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1ADF1BD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452,460</w:t>
            </w:r>
          </w:p>
        </w:tc>
        <w:tc>
          <w:tcPr>
            <w:tcW w:w="1.0%" w:type="pct"/>
            <w:tcBorders>
              <w:top w:val="nil"/>
              <w:start w:val="nil"/>
              <w:bottom w:val="nil"/>
              <w:end w:val="nil"/>
            </w:tcBorders>
            <w:shd w:val="clear" w:color="auto" w:fill="FFFFFF"/>
            <w:tcMar>
              <w:top w:w="0pt" w:type="dxa"/>
              <w:end w:w="0pt" w:type="dxa"/>
            </w:tcMar>
            <w:vAlign w:val="bottom"/>
          </w:tcPr>
          <w:p w14:paraId="7C3BB42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97A82E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BFD7A4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1648571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1,809,840</w:t>
            </w:r>
          </w:p>
        </w:tc>
        <w:tc>
          <w:tcPr>
            <w:tcW w:w="1.0%" w:type="pct"/>
            <w:tcBorders>
              <w:top w:val="nil"/>
              <w:start w:val="nil"/>
              <w:bottom w:val="nil"/>
              <w:end w:val="nil"/>
            </w:tcBorders>
            <w:shd w:val="clear" w:color="auto" w:fill="FFFFFF"/>
            <w:tcMar>
              <w:top w:w="0pt" w:type="dxa"/>
              <w:end w:w="0pt" w:type="dxa"/>
            </w:tcMar>
            <w:vAlign w:val="bottom"/>
          </w:tcPr>
          <w:p w14:paraId="70413B9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07D6447"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7B1C384"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Loan payable - related party</w:t>
            </w:r>
          </w:p>
        </w:tc>
        <w:tc>
          <w:tcPr>
            <w:tcW w:w="1.0%" w:type="pct"/>
            <w:tcBorders>
              <w:top w:val="nil"/>
              <w:start w:val="nil"/>
              <w:bottom w:val="nil"/>
              <w:end w:val="nil"/>
            </w:tcBorders>
            <w:shd w:val="clear" w:color="auto" w:fill="CFF0FC"/>
            <w:tcMar>
              <w:top w:w="0pt" w:type="dxa"/>
              <w:end w:w="0pt" w:type="dxa"/>
            </w:tcMar>
            <w:vAlign w:val="bottom"/>
          </w:tcPr>
          <w:p w14:paraId="69A65F3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2EA0A18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5,500,000</w:t>
            </w:r>
          </w:p>
        </w:tc>
        <w:tc>
          <w:tcPr>
            <w:tcW w:w="1.0%" w:type="pct"/>
            <w:tcBorders>
              <w:top w:val="nil"/>
              <w:start w:val="nil"/>
              <w:bottom w:val="nil"/>
              <w:end w:val="nil"/>
            </w:tcBorders>
            <w:shd w:val="clear" w:color="auto" w:fill="CFF0FC"/>
            <w:tcMar>
              <w:top w:w="0pt" w:type="dxa"/>
              <w:end w:w="0pt" w:type="dxa"/>
            </w:tcMar>
            <w:vAlign w:val="bottom"/>
          </w:tcPr>
          <w:p w14:paraId="6361368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3765A6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E77B89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21F1BDD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5,500,000</w:t>
            </w:r>
          </w:p>
        </w:tc>
        <w:tc>
          <w:tcPr>
            <w:tcW w:w="1.0%" w:type="pct"/>
            <w:tcBorders>
              <w:top w:val="nil"/>
              <w:start w:val="nil"/>
              <w:bottom w:val="nil"/>
              <w:end w:val="nil"/>
            </w:tcBorders>
            <w:shd w:val="clear" w:color="auto" w:fill="CFF0FC"/>
            <w:tcMar>
              <w:top w:w="0pt" w:type="dxa"/>
              <w:end w:w="0pt" w:type="dxa"/>
            </w:tcMar>
            <w:vAlign w:val="bottom"/>
          </w:tcPr>
          <w:p w14:paraId="520CCF6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FD658ED"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757CEB08"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Mortgage loans, net of unamortized debt discount of $1,156,620 and $1,326,362 at September 30, 2024 and December 31, 2023, respectively, and debt issuance costs</w:t>
            </w:r>
          </w:p>
        </w:tc>
        <w:tc>
          <w:tcPr>
            <w:tcW w:w="1.0%" w:type="pct"/>
            <w:tcBorders>
              <w:top w:val="nil"/>
              <w:start w:val="nil"/>
              <w:bottom w:val="nil"/>
              <w:end w:val="nil"/>
            </w:tcBorders>
            <w:shd w:val="clear" w:color="auto" w:fill="FFFFFF"/>
            <w:tcMar>
              <w:top w:w="0pt" w:type="dxa"/>
              <w:end w:w="0pt" w:type="dxa"/>
            </w:tcMar>
            <w:vAlign w:val="bottom"/>
          </w:tcPr>
          <w:p w14:paraId="545179A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54B5F81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58,551,152</w:t>
            </w:r>
          </w:p>
        </w:tc>
        <w:tc>
          <w:tcPr>
            <w:tcW w:w="1.0%" w:type="pct"/>
            <w:tcBorders>
              <w:top w:val="nil"/>
              <w:start w:val="nil"/>
              <w:bottom w:val="nil"/>
              <w:end w:val="nil"/>
            </w:tcBorders>
            <w:shd w:val="clear" w:color="auto" w:fill="FFFFFF"/>
            <w:tcMar>
              <w:top w:w="0pt" w:type="dxa"/>
              <w:end w:w="0pt" w:type="dxa"/>
            </w:tcMar>
            <w:vAlign w:val="bottom"/>
          </w:tcPr>
          <w:p w14:paraId="63FAF85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2E173DF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CAFE97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139C6CC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56,817,310</w:t>
            </w:r>
          </w:p>
        </w:tc>
        <w:tc>
          <w:tcPr>
            <w:tcW w:w="1.0%" w:type="pct"/>
            <w:tcBorders>
              <w:top w:val="nil"/>
              <w:start w:val="nil"/>
              <w:bottom w:val="nil"/>
              <w:end w:val="nil"/>
            </w:tcBorders>
            <w:shd w:val="clear" w:color="auto" w:fill="FFFFFF"/>
            <w:tcMar>
              <w:top w:w="0pt" w:type="dxa"/>
              <w:end w:w="0pt" w:type="dxa"/>
            </w:tcMar>
            <w:vAlign w:val="bottom"/>
          </w:tcPr>
          <w:p w14:paraId="73069D8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88D6874"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3D1E52F1"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Derivative liabilities</w:t>
            </w:r>
          </w:p>
        </w:tc>
        <w:tc>
          <w:tcPr>
            <w:tcW w:w="1.0%" w:type="pct"/>
            <w:tcBorders>
              <w:top w:val="nil"/>
              <w:start w:val="nil"/>
              <w:bottom w:val="single" w:sz="4" w:space="0" w:color="000000"/>
              <w:end w:val="nil"/>
            </w:tcBorders>
            <w:shd w:val="clear" w:color="auto" w:fill="CFF0FC"/>
            <w:tcMar>
              <w:top w:w="0pt" w:type="dxa"/>
              <w:end w:w="0pt" w:type="dxa"/>
            </w:tcMar>
            <w:vAlign w:val="bottom"/>
          </w:tcPr>
          <w:p w14:paraId="4F60AF0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single" w:sz="4" w:space="0" w:color="000000"/>
              <w:end w:val="nil"/>
            </w:tcBorders>
            <w:shd w:val="clear" w:color="auto" w:fill="CFF0FC"/>
            <w:tcMar>
              <w:top w:w="0pt" w:type="dxa"/>
              <w:end w:w="0pt" w:type="dxa"/>
            </w:tcMar>
            <w:vAlign w:val="bottom"/>
          </w:tcPr>
          <w:p w14:paraId="4B27AAA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809,339</w:t>
            </w:r>
          </w:p>
        </w:tc>
        <w:tc>
          <w:tcPr>
            <w:tcW w:w="1.0%" w:type="pct"/>
            <w:tcBorders>
              <w:top w:val="nil"/>
              <w:start w:val="nil"/>
              <w:bottom w:val="nil"/>
              <w:end w:val="nil"/>
            </w:tcBorders>
            <w:shd w:val="clear" w:color="auto" w:fill="CFF0FC"/>
            <w:tcMar>
              <w:top w:w="0pt" w:type="dxa"/>
              <w:end w:w="0pt" w:type="dxa"/>
            </w:tcMar>
            <w:vAlign w:val="bottom"/>
          </w:tcPr>
          <w:p w14:paraId="4BCBE12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78A60E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42B34FE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single" w:sz="4" w:space="0" w:color="000000"/>
              <w:end w:val="nil"/>
            </w:tcBorders>
            <w:shd w:val="clear" w:color="auto" w:fill="CFF0FC"/>
            <w:tcMar>
              <w:top w:w="0pt" w:type="dxa"/>
              <w:end w:w="0pt" w:type="dxa"/>
            </w:tcMar>
            <w:vAlign w:val="bottom"/>
          </w:tcPr>
          <w:p w14:paraId="740E668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537,424</w:t>
            </w:r>
          </w:p>
        </w:tc>
        <w:tc>
          <w:tcPr>
            <w:tcW w:w="1.0%" w:type="pct"/>
            <w:tcBorders>
              <w:top w:val="nil"/>
              <w:start w:val="nil"/>
              <w:bottom w:val="nil"/>
              <w:end w:val="nil"/>
            </w:tcBorders>
            <w:shd w:val="clear" w:color="auto" w:fill="CFF0FC"/>
            <w:tcMar>
              <w:top w:w="0pt" w:type="dxa"/>
              <w:end w:w="0pt" w:type="dxa"/>
            </w:tcMar>
            <w:vAlign w:val="bottom"/>
          </w:tcPr>
          <w:p w14:paraId="677F452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0945A020"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3ECD7DA" w14:textId="77777777" w:rsidR="0086099C" w:rsidRDefault="00000000">
            <w:pPr>
              <w:keepNext/>
              <w:pBdr>
                <w:top w:val="nil"/>
                <w:left w:val="nil"/>
                <w:bottom w:val="nil"/>
                <w:right w:val="nil"/>
                <w:between w:val="nil"/>
                <w:bar w:val="nil"/>
              </w:pBdr>
              <w:ind w:start="10pt"/>
              <w:rPr>
                <w:rFonts w:ascii="Open Sans" w:eastAsia="Open Sans" w:hAnsi="Open Sans" w:cs="Open Sans"/>
                <w:color w:val="000000"/>
                <w:sz w:val="17"/>
              </w:rPr>
            </w:pPr>
            <w:r>
              <w:rPr>
                <w:rFonts w:ascii="Open Sans" w:eastAsia="Open Sans" w:hAnsi="Open Sans" w:cs="Open Sans"/>
                <w:color w:val="000000"/>
                <w:sz w:val="17"/>
              </w:rPr>
              <w:t xml:space="preserve"> Total liabilities</w:t>
            </w:r>
          </w:p>
        </w:tc>
        <w:tc>
          <w:tcPr>
            <w:tcW w:w="1.0%" w:type="pct"/>
            <w:tcBorders>
              <w:top w:val="single" w:sz="4" w:space="0" w:color="000000"/>
              <w:start w:val="nil"/>
              <w:bottom w:val="nil"/>
              <w:end w:val="nil"/>
            </w:tcBorders>
            <w:shd w:val="clear" w:color="auto" w:fill="FFFFFF"/>
            <w:tcMar>
              <w:top w:w="0pt" w:type="dxa"/>
              <w:end w:w="0pt" w:type="dxa"/>
            </w:tcMar>
            <w:vAlign w:val="bottom"/>
          </w:tcPr>
          <w:p w14:paraId="3021720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single" w:sz="4" w:space="0" w:color="000000"/>
              <w:start w:val="nil"/>
              <w:bottom w:val="nil"/>
              <w:end w:val="nil"/>
            </w:tcBorders>
            <w:shd w:val="clear" w:color="auto" w:fill="FFFFFF"/>
            <w:tcMar>
              <w:top w:w="0pt" w:type="dxa"/>
              <w:end w:w="0pt" w:type="dxa"/>
            </w:tcMar>
            <w:vAlign w:val="bottom"/>
          </w:tcPr>
          <w:p w14:paraId="0E205A5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75,228,905</w:t>
            </w:r>
          </w:p>
        </w:tc>
        <w:tc>
          <w:tcPr>
            <w:tcW w:w="1.0%" w:type="pct"/>
            <w:tcBorders>
              <w:top w:val="nil"/>
              <w:start w:val="nil"/>
              <w:bottom w:val="nil"/>
              <w:end w:val="nil"/>
            </w:tcBorders>
            <w:shd w:val="clear" w:color="auto" w:fill="FFFFFF"/>
            <w:tcMar>
              <w:top w:w="0pt" w:type="dxa"/>
              <w:end w:w="0pt" w:type="dxa"/>
            </w:tcMar>
            <w:vAlign w:val="bottom"/>
          </w:tcPr>
          <w:p w14:paraId="0A36E01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63F074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6B07087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single" w:sz="4" w:space="0" w:color="000000"/>
              <w:start w:val="nil"/>
              <w:bottom w:val="nil"/>
              <w:end w:val="nil"/>
            </w:tcBorders>
            <w:shd w:val="clear" w:color="auto" w:fill="FFFFFF"/>
            <w:tcMar>
              <w:top w:w="0pt" w:type="dxa"/>
              <w:end w:w="0pt" w:type="dxa"/>
            </w:tcMar>
            <w:vAlign w:val="bottom"/>
          </w:tcPr>
          <w:p w14:paraId="07DD40D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74,170,048</w:t>
            </w:r>
          </w:p>
        </w:tc>
        <w:tc>
          <w:tcPr>
            <w:tcW w:w="1.0%" w:type="pct"/>
            <w:tcBorders>
              <w:top w:val="nil"/>
              <w:start w:val="nil"/>
              <w:bottom w:val="nil"/>
              <w:end w:val="nil"/>
            </w:tcBorders>
            <w:shd w:val="clear" w:color="auto" w:fill="FFFFFF"/>
            <w:tcMar>
              <w:top w:w="0pt" w:type="dxa"/>
              <w:end w:w="0pt" w:type="dxa"/>
            </w:tcMar>
            <w:vAlign w:val="bottom"/>
          </w:tcPr>
          <w:p w14:paraId="4E0DFA3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4BB99B8B"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4F1C944F" w14:textId="77777777" w:rsidR="0086099C" w:rsidRDefault="0086099C">
            <w:pPr>
              <w:keepNext/>
              <w:pBdr>
                <w:top w:val="nil"/>
                <w:left w:val="nil"/>
                <w:bottom w:val="nil"/>
                <w:right w:val="nil"/>
                <w:between w:val="nil"/>
                <w:bar w:val="nil"/>
              </w:pBdr>
              <w:ind w:start="10pt"/>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16728CB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38E1A0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D8989E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607C83C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3D8B58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55880229"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A90FB9D"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 xml:space="preserve"> Redeemable Non-Controlling Interests</w:t>
            </w:r>
          </w:p>
        </w:tc>
        <w:tc>
          <w:tcPr>
            <w:tcW w:w="1.0%" w:type="pct"/>
            <w:tcBorders>
              <w:top w:val="nil"/>
              <w:start w:val="nil"/>
              <w:bottom w:val="nil"/>
              <w:end w:val="nil"/>
            </w:tcBorders>
            <w:shd w:val="clear" w:color="auto" w:fill="FFFFFF"/>
            <w:tcMar>
              <w:top w:w="0pt" w:type="dxa"/>
              <w:end w:w="0pt" w:type="dxa"/>
            </w:tcMar>
            <w:vAlign w:val="bottom"/>
          </w:tcPr>
          <w:p w14:paraId="171180E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158A6FE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26,135,796</w:t>
            </w:r>
          </w:p>
        </w:tc>
        <w:tc>
          <w:tcPr>
            <w:tcW w:w="1.0%" w:type="pct"/>
            <w:tcBorders>
              <w:top w:val="nil"/>
              <w:start w:val="nil"/>
              <w:bottom w:val="nil"/>
              <w:end w:val="nil"/>
            </w:tcBorders>
            <w:shd w:val="clear" w:color="auto" w:fill="FFFFFF"/>
            <w:tcMar>
              <w:top w:w="0pt" w:type="dxa"/>
              <w:end w:w="0pt" w:type="dxa"/>
            </w:tcMar>
            <w:vAlign w:val="bottom"/>
          </w:tcPr>
          <w:p w14:paraId="7AF4299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3ED626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4E5A2C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38A2621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18,812,423</w:t>
            </w:r>
          </w:p>
        </w:tc>
        <w:tc>
          <w:tcPr>
            <w:tcW w:w="1.0%" w:type="pct"/>
            <w:tcBorders>
              <w:top w:val="nil"/>
              <w:start w:val="nil"/>
              <w:bottom w:val="nil"/>
              <w:end w:val="nil"/>
            </w:tcBorders>
            <w:shd w:val="clear" w:color="auto" w:fill="FFFFFF"/>
            <w:tcMar>
              <w:top w:w="0pt" w:type="dxa"/>
              <w:end w:w="0pt" w:type="dxa"/>
            </w:tcMar>
            <w:vAlign w:val="bottom"/>
          </w:tcPr>
          <w:p w14:paraId="4899F63B"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6418D29A"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5DC7B8BB" w14:textId="77777777" w:rsidR="0086099C" w:rsidRDefault="0086099C">
            <w:pPr>
              <w:keepNext/>
              <w:pBdr>
                <w:top w:val="nil"/>
                <w:left w:val="nil"/>
                <w:bottom w:val="nil"/>
                <w:right w:val="nil"/>
                <w:between w:val="nil"/>
                <w:bar w:val="nil"/>
              </w:pBdr>
              <w:rPr>
                <w:rFonts w:ascii="Open Sans" w:eastAsia="Open Sans" w:hAnsi="Open Sans" w:cs="Open Sans"/>
                <w:b/>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5206D5F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6B4B647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65AB74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2135C42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6B40B0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1E8BCEFE"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75458D4" w14:textId="77777777" w:rsidR="0086099C" w:rsidRDefault="00000000">
            <w:pPr>
              <w:keepNext/>
              <w:pBdr>
                <w:top w:val="nil"/>
                <w:left w:val="nil"/>
                <w:bottom w:val="nil"/>
                <w:right w:val="nil"/>
                <w:between w:val="nil"/>
                <w:bar w:val="nil"/>
              </w:pBdr>
              <w:rPr>
                <w:rFonts w:ascii="Arial" w:eastAsia="Arial" w:hAnsi="Arial" w:cs="Arial"/>
                <w:b/>
                <w:color w:val="000000"/>
                <w:sz w:val="18"/>
              </w:rPr>
            </w:pPr>
            <w:r>
              <w:rPr>
                <w:rFonts w:ascii="Arial" w:eastAsia="Arial" w:hAnsi="Arial" w:cs="Arial"/>
                <w:b/>
                <w:color w:val="000000"/>
                <w:sz w:val="18"/>
              </w:rPr>
              <w:t xml:space="preserve"> Preferred Stock - Series A Redeemable Preferred stock, net,</w:t>
            </w:r>
          </w:p>
        </w:tc>
        <w:tc>
          <w:tcPr>
            <w:tcW w:w="0pt" w:type="dxa"/>
            <w:gridSpan w:val="2"/>
            <w:tcBorders>
              <w:top w:val="nil"/>
              <w:start w:val="nil"/>
              <w:bottom w:val="nil"/>
              <w:end w:val="nil"/>
            </w:tcBorders>
            <w:shd w:val="clear" w:color="auto" w:fill="FFFFFF"/>
            <w:tcMar>
              <w:top w:w="0pt" w:type="dxa"/>
              <w:end w:w="0pt" w:type="dxa"/>
            </w:tcMar>
            <w:vAlign w:val="bottom"/>
          </w:tcPr>
          <w:p w14:paraId="69E092A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767287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B8883F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3F3ABA8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B1277D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1E522E95" w14:textId="77777777">
        <w:trPr>
          <w:jc w:val="center"/>
        </w:trPr>
        <w:tc>
          <w:tcPr>
            <w:tcW w:w="60.0%" w:type="pct"/>
            <w:tcBorders>
              <w:top w:val="nil"/>
              <w:start w:val="nil"/>
              <w:bottom w:val="nil"/>
              <w:end w:val="nil"/>
            </w:tcBorders>
            <w:shd w:val="clear" w:color="auto" w:fill="CFF0FC"/>
            <w:tcMar>
              <w:top w:w="0pt" w:type="dxa"/>
              <w:end w:w="0pt" w:type="dxa"/>
            </w:tcMar>
            <w:vAlign w:val="center"/>
          </w:tcPr>
          <w:p w14:paraId="7490AAFB" w14:textId="77777777" w:rsidR="0086099C" w:rsidRDefault="00000000">
            <w:pPr>
              <w:keepNext/>
              <w:pBdr>
                <w:top w:val="nil"/>
                <w:left w:val="nil"/>
                <w:bottom w:val="nil"/>
                <w:right w:val="nil"/>
                <w:between w:val="nil"/>
                <w:bar w:val="nil"/>
              </w:pBdr>
              <w:ind w:start="5pt"/>
              <w:rPr>
                <w:rFonts w:ascii="Arial" w:eastAsia="Arial" w:hAnsi="Arial" w:cs="Arial"/>
                <w:color w:val="000000"/>
                <w:sz w:val="18"/>
              </w:rPr>
            </w:pPr>
            <w:r>
              <w:rPr>
                <w:rFonts w:ascii="Arial" w:eastAsia="Arial" w:hAnsi="Arial" w:cs="Arial"/>
                <w:color w:val="000000"/>
                <w:sz w:val="18"/>
              </w:rPr>
              <w:t xml:space="preserve"> $0.01 par value, 2,400,000 shares authorized, issued, and outstanding at December 31, 2023 with liquidation preferences of $5 per share and no shares authorized or issued in 2022</w:t>
            </w:r>
          </w:p>
        </w:tc>
        <w:tc>
          <w:tcPr>
            <w:tcW w:w="1.0%" w:type="pct"/>
            <w:tcBorders>
              <w:top w:val="nil"/>
              <w:start w:val="nil"/>
              <w:bottom w:val="nil"/>
              <w:end w:val="nil"/>
            </w:tcBorders>
            <w:shd w:val="clear" w:color="auto" w:fill="CFF0FC"/>
            <w:tcMar>
              <w:top w:w="0pt" w:type="dxa"/>
              <w:end w:w="0pt" w:type="dxa"/>
            </w:tcMar>
            <w:vAlign w:val="bottom"/>
          </w:tcPr>
          <w:p w14:paraId="6CFC4EA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2663277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w:t>
            </w:r>
          </w:p>
        </w:tc>
        <w:tc>
          <w:tcPr>
            <w:tcW w:w="1.0%" w:type="pct"/>
            <w:tcBorders>
              <w:top w:val="nil"/>
              <w:start w:val="nil"/>
              <w:bottom w:val="nil"/>
              <w:end w:val="nil"/>
            </w:tcBorders>
            <w:shd w:val="clear" w:color="auto" w:fill="CFF0FC"/>
            <w:tcMar>
              <w:top w:w="0pt" w:type="dxa"/>
              <w:end w:w="0pt" w:type="dxa"/>
            </w:tcMar>
            <w:vAlign w:val="bottom"/>
          </w:tcPr>
          <w:p w14:paraId="44EE4B1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4C2733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2C9D22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038EFFB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11,637,616</w:t>
            </w:r>
          </w:p>
        </w:tc>
        <w:tc>
          <w:tcPr>
            <w:tcW w:w="1.0%" w:type="pct"/>
            <w:tcBorders>
              <w:top w:val="nil"/>
              <w:start w:val="nil"/>
              <w:bottom w:val="nil"/>
              <w:end w:val="nil"/>
            </w:tcBorders>
            <w:shd w:val="clear" w:color="auto" w:fill="CFF0FC"/>
            <w:tcMar>
              <w:top w:w="0pt" w:type="dxa"/>
              <w:end w:w="0pt" w:type="dxa"/>
            </w:tcMar>
            <w:vAlign w:val="bottom"/>
          </w:tcPr>
          <w:p w14:paraId="1FF53DD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0257F70B"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51D1DCED" w14:textId="77777777" w:rsidR="0086099C" w:rsidRDefault="0086099C">
            <w:pPr>
              <w:keepNext/>
              <w:pBdr>
                <w:top w:val="nil"/>
                <w:left w:val="nil"/>
                <w:bottom w:val="nil"/>
                <w:right w:val="nil"/>
                <w:between w:val="nil"/>
                <w:bar w:val="nil"/>
              </w:pBdr>
              <w:ind w:start="10pt"/>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7B153EE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91BC0D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38C2FC7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2B5BFF6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362DA2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00E9FBD3"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03AD118E"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 xml:space="preserve"> Stockholders' Equity</w:t>
            </w:r>
          </w:p>
        </w:tc>
        <w:tc>
          <w:tcPr>
            <w:tcW w:w="0pt" w:type="dxa"/>
            <w:gridSpan w:val="2"/>
            <w:tcBorders>
              <w:top w:val="nil"/>
              <w:start w:val="nil"/>
              <w:bottom w:val="nil"/>
              <w:end w:val="nil"/>
            </w:tcBorders>
            <w:shd w:val="clear" w:color="auto" w:fill="CFF0FC"/>
            <w:tcMar>
              <w:top w:w="0pt" w:type="dxa"/>
              <w:end w:w="0pt" w:type="dxa"/>
            </w:tcMar>
            <w:vAlign w:val="bottom"/>
          </w:tcPr>
          <w:p w14:paraId="21871CA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5763EA2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F1A3C59"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CFF0FC"/>
            <w:tcMar>
              <w:top w:w="0pt" w:type="dxa"/>
              <w:end w:w="0pt" w:type="dxa"/>
            </w:tcMar>
            <w:vAlign w:val="bottom"/>
          </w:tcPr>
          <w:p w14:paraId="1C89F0E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2ECC90D"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3BA6E315"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B6E8A1F"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Common stock, $0.01 par value, 100,000,000 shares authorized; 5,419,855 and 2,620,707 shares issued and outstanding at September 30, 2024 and December 31, 2023, respectively</w:t>
            </w:r>
          </w:p>
        </w:tc>
        <w:tc>
          <w:tcPr>
            <w:tcW w:w="1.0%" w:type="pct"/>
            <w:tcBorders>
              <w:top w:val="nil"/>
              <w:start w:val="nil"/>
              <w:bottom w:val="nil"/>
              <w:end w:val="nil"/>
            </w:tcBorders>
            <w:shd w:val="clear" w:color="auto" w:fill="FFFFFF"/>
            <w:tcMar>
              <w:top w:w="0pt" w:type="dxa"/>
              <w:end w:w="0pt" w:type="dxa"/>
            </w:tcMar>
            <w:vAlign w:val="bottom"/>
          </w:tcPr>
          <w:p w14:paraId="4AB5912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FFFFFF"/>
            <w:tcMar>
              <w:top w:w="0pt" w:type="dxa"/>
              <w:end w:w="0pt" w:type="dxa"/>
            </w:tcMar>
            <w:vAlign w:val="bottom"/>
          </w:tcPr>
          <w:p w14:paraId="328DFB2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54,232</w:t>
            </w:r>
          </w:p>
        </w:tc>
        <w:tc>
          <w:tcPr>
            <w:tcW w:w="1.0%" w:type="pct"/>
            <w:tcBorders>
              <w:top w:val="nil"/>
              <w:start w:val="nil"/>
              <w:bottom w:val="nil"/>
              <w:end w:val="nil"/>
            </w:tcBorders>
            <w:shd w:val="clear" w:color="auto" w:fill="FFFFFF"/>
            <w:tcMar>
              <w:top w:w="0pt" w:type="dxa"/>
              <w:end w:w="0pt" w:type="dxa"/>
            </w:tcMar>
            <w:vAlign w:val="bottom"/>
          </w:tcPr>
          <w:p w14:paraId="0BE95DC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2BEE41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4040656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FFFFFF"/>
            <w:tcMar>
              <w:top w:w="0pt" w:type="dxa"/>
              <w:end w:w="0pt" w:type="dxa"/>
            </w:tcMar>
            <w:vAlign w:val="bottom"/>
          </w:tcPr>
          <w:p w14:paraId="017ED24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26,207</w:t>
            </w:r>
          </w:p>
        </w:tc>
        <w:tc>
          <w:tcPr>
            <w:tcW w:w="1.0%" w:type="pct"/>
            <w:tcBorders>
              <w:top w:val="nil"/>
              <w:start w:val="nil"/>
              <w:bottom w:val="nil"/>
              <w:end w:val="nil"/>
            </w:tcBorders>
            <w:shd w:val="clear" w:color="auto" w:fill="FFFFFF"/>
            <w:tcMar>
              <w:top w:w="0pt" w:type="dxa"/>
              <w:end w:w="0pt" w:type="dxa"/>
            </w:tcMar>
            <w:vAlign w:val="bottom"/>
          </w:tcPr>
          <w:p w14:paraId="79548CB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5B02DC68"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0C626E14"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Additional paid-in capital</w:t>
            </w:r>
          </w:p>
        </w:tc>
        <w:tc>
          <w:tcPr>
            <w:tcW w:w="1.0%" w:type="pct"/>
            <w:tcBorders>
              <w:top w:val="nil"/>
              <w:start w:val="nil"/>
              <w:bottom w:val="nil"/>
              <w:end w:val="nil"/>
            </w:tcBorders>
            <w:shd w:val="clear" w:color="auto" w:fill="CFF0FC"/>
            <w:tcMar>
              <w:top w:w="0pt" w:type="dxa"/>
              <w:end w:w="0pt" w:type="dxa"/>
            </w:tcMar>
            <w:vAlign w:val="bottom"/>
          </w:tcPr>
          <w:p w14:paraId="3725B9C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nil"/>
              <w:end w:val="nil"/>
            </w:tcBorders>
            <w:shd w:val="clear" w:color="auto" w:fill="CFF0FC"/>
            <w:tcMar>
              <w:top w:w="0pt" w:type="dxa"/>
              <w:end w:w="0pt" w:type="dxa"/>
            </w:tcMar>
            <w:vAlign w:val="bottom"/>
          </w:tcPr>
          <w:p w14:paraId="3D53D55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29,129,543</w:t>
            </w:r>
          </w:p>
        </w:tc>
        <w:tc>
          <w:tcPr>
            <w:tcW w:w="1.0%" w:type="pct"/>
            <w:tcBorders>
              <w:top w:val="nil"/>
              <w:start w:val="nil"/>
              <w:bottom w:val="nil"/>
              <w:end w:val="nil"/>
            </w:tcBorders>
            <w:shd w:val="clear" w:color="auto" w:fill="CFF0FC"/>
            <w:tcMar>
              <w:top w:w="0pt" w:type="dxa"/>
              <w:end w:w="0pt" w:type="dxa"/>
            </w:tcMar>
            <w:vAlign w:val="bottom"/>
          </w:tcPr>
          <w:p w14:paraId="542C353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F03155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74567C93"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nil"/>
              <w:end w:val="nil"/>
            </w:tcBorders>
            <w:shd w:val="clear" w:color="auto" w:fill="CFF0FC"/>
            <w:tcMar>
              <w:top w:w="0pt" w:type="dxa"/>
              <w:end w:w="0pt" w:type="dxa"/>
            </w:tcMar>
            <w:vAlign w:val="bottom"/>
          </w:tcPr>
          <w:p w14:paraId="34F608A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18,472,049</w:t>
            </w:r>
          </w:p>
        </w:tc>
        <w:tc>
          <w:tcPr>
            <w:tcW w:w="1.0%" w:type="pct"/>
            <w:tcBorders>
              <w:top w:val="nil"/>
              <w:start w:val="nil"/>
              <w:bottom w:val="nil"/>
              <w:end w:val="nil"/>
            </w:tcBorders>
            <w:shd w:val="clear" w:color="auto" w:fill="CFF0FC"/>
            <w:tcMar>
              <w:top w:w="0pt" w:type="dxa"/>
              <w:end w:w="0pt" w:type="dxa"/>
            </w:tcMar>
            <w:vAlign w:val="bottom"/>
          </w:tcPr>
          <w:p w14:paraId="5DB745EF"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DE2F271"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17CE61EB" w14:textId="77777777" w:rsidR="0086099C" w:rsidRDefault="00000000">
            <w:pPr>
              <w:keepNext/>
              <w:pBdr>
                <w:top w:val="nil"/>
                <w:left w:val="nil"/>
                <w:bottom w:val="nil"/>
                <w:right w:val="nil"/>
                <w:between w:val="nil"/>
                <w:bar w:val="nil"/>
              </w:pBdr>
              <w:ind w:start="5pt"/>
              <w:rPr>
                <w:rFonts w:ascii="Open Sans" w:eastAsia="Open Sans" w:hAnsi="Open Sans" w:cs="Open Sans"/>
                <w:color w:val="000000"/>
                <w:sz w:val="17"/>
              </w:rPr>
            </w:pPr>
            <w:r>
              <w:rPr>
                <w:rFonts w:ascii="Open Sans" w:eastAsia="Open Sans" w:hAnsi="Open Sans" w:cs="Open Sans"/>
                <w:color w:val="000000"/>
                <w:sz w:val="17"/>
              </w:rPr>
              <w:t xml:space="preserve"> Accumulated deficit</w:t>
            </w:r>
          </w:p>
        </w:tc>
        <w:tc>
          <w:tcPr>
            <w:tcW w:w="1.0%" w:type="pct"/>
            <w:tcBorders>
              <w:top w:val="nil"/>
              <w:start w:val="nil"/>
              <w:bottom w:val="single" w:sz="4" w:space="0" w:color="000000"/>
              <w:end w:val="nil"/>
            </w:tcBorders>
            <w:shd w:val="clear" w:color="auto" w:fill="FFFFFF"/>
            <w:tcMar>
              <w:top w:w="0pt" w:type="dxa"/>
              <w:end w:w="0pt" w:type="dxa"/>
            </w:tcMar>
            <w:vAlign w:val="bottom"/>
          </w:tcPr>
          <w:p w14:paraId="638F299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single" w:sz="4" w:space="0" w:color="000000"/>
              <w:end w:val="nil"/>
            </w:tcBorders>
            <w:shd w:val="clear" w:color="auto" w:fill="FFFFFF"/>
            <w:tcMar>
              <w:top w:w="0pt" w:type="dxa"/>
              <w:end w:w="0pt" w:type="dxa"/>
            </w:tcMar>
            <w:vAlign w:val="bottom"/>
          </w:tcPr>
          <w:p w14:paraId="063A9E8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(22,984,592</w:t>
            </w:r>
          </w:p>
        </w:tc>
        <w:tc>
          <w:tcPr>
            <w:tcW w:w="1.0%" w:type="pct"/>
            <w:tcBorders>
              <w:top w:val="nil"/>
              <w:start w:val="nil"/>
              <w:bottom w:val="nil"/>
              <w:end w:val="nil"/>
            </w:tcBorders>
            <w:shd w:val="clear" w:color="auto" w:fill="FFFFFF"/>
            <w:tcMar>
              <w:top w:w="0pt" w:type="dxa"/>
              <w:end w:w="0pt" w:type="dxa"/>
            </w:tcMar>
            <w:vAlign w:val="bottom"/>
          </w:tcPr>
          <w:p w14:paraId="11E08EBE"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c>
          <w:tcPr>
            <w:tcW w:w="1.0%" w:type="pct"/>
            <w:tcBorders>
              <w:top w:val="nil"/>
              <w:start w:val="nil"/>
              <w:bottom w:val="nil"/>
              <w:end w:val="nil"/>
            </w:tcBorders>
            <w:shd w:val="clear" w:color="auto" w:fill="FFFFFF"/>
            <w:tcMar>
              <w:top w:w="0pt" w:type="dxa"/>
              <w:end w:w="0pt" w:type="dxa"/>
            </w:tcMar>
            <w:vAlign w:val="bottom"/>
          </w:tcPr>
          <w:p w14:paraId="6ED0BF8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594F7F5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single" w:sz="4" w:space="0" w:color="000000"/>
              <w:end w:val="nil"/>
            </w:tcBorders>
            <w:shd w:val="clear" w:color="auto" w:fill="FFFFFF"/>
            <w:tcMar>
              <w:top w:w="0pt" w:type="dxa"/>
              <w:end w:w="0pt" w:type="dxa"/>
            </w:tcMar>
            <w:vAlign w:val="bottom"/>
          </w:tcPr>
          <w:p w14:paraId="59D537B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(14,833,058</w:t>
            </w:r>
          </w:p>
        </w:tc>
        <w:tc>
          <w:tcPr>
            <w:tcW w:w="1.0%" w:type="pct"/>
            <w:tcBorders>
              <w:top w:val="nil"/>
              <w:start w:val="nil"/>
              <w:bottom w:val="nil"/>
              <w:end w:val="nil"/>
            </w:tcBorders>
            <w:shd w:val="clear" w:color="auto" w:fill="FFFFFF"/>
            <w:tcMar>
              <w:top w:w="0pt" w:type="dxa"/>
              <w:end w:w="0pt" w:type="dxa"/>
            </w:tcMar>
            <w:vAlign w:val="bottom"/>
          </w:tcPr>
          <w:p w14:paraId="63C87FFD" w14:textId="77777777" w:rsidR="0086099C" w:rsidRDefault="00000000">
            <w:pPr>
              <w:keepNext/>
              <w:pBdr>
                <w:top w:val="nil"/>
                <w:left w:val="nil"/>
                <w:bottom w:val="nil"/>
                <w:right w:val="nil"/>
                <w:between w:val="nil"/>
                <w:bar w:val="nil"/>
              </w:pBdr>
              <w:rPr>
                <w:rFonts w:ascii="Open Sans" w:eastAsia="Open Sans" w:hAnsi="Open Sans" w:cs="Open Sans"/>
                <w:color w:val="000000"/>
                <w:sz w:val="17"/>
              </w:rPr>
            </w:pPr>
            <w:r>
              <w:rPr>
                <w:rFonts w:ascii="Open Sans" w:eastAsia="Open Sans" w:hAnsi="Open Sans" w:cs="Open Sans"/>
                <w:color w:val="000000"/>
                <w:sz w:val="17"/>
              </w:rPr>
              <w:t>)</w:t>
            </w:r>
          </w:p>
        </w:tc>
      </w:tr>
      <w:tr w:rsidR="0086099C" w14:paraId="131B9A98"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267B9140" w14:textId="77777777" w:rsidR="0086099C" w:rsidRDefault="00000000">
            <w:pPr>
              <w:keepNext/>
              <w:pBdr>
                <w:top w:val="nil"/>
                <w:left w:val="nil"/>
                <w:bottom w:val="nil"/>
                <w:right w:val="nil"/>
                <w:between w:val="nil"/>
                <w:bar w:val="nil"/>
              </w:pBdr>
              <w:ind w:start="10pt"/>
              <w:rPr>
                <w:rFonts w:ascii="Open Sans" w:eastAsia="Open Sans" w:hAnsi="Open Sans" w:cs="Open Sans"/>
                <w:color w:val="000000"/>
                <w:sz w:val="17"/>
              </w:rPr>
            </w:pPr>
            <w:r>
              <w:rPr>
                <w:rFonts w:ascii="Open Sans" w:eastAsia="Open Sans" w:hAnsi="Open Sans" w:cs="Open Sans"/>
                <w:color w:val="000000"/>
                <w:sz w:val="17"/>
              </w:rPr>
              <w:t xml:space="preserve"> Total Generation Income Properties, Inc. Stockholders' Equity</w:t>
            </w:r>
          </w:p>
        </w:tc>
        <w:tc>
          <w:tcPr>
            <w:tcW w:w="1.0%" w:type="pct"/>
            <w:tcBorders>
              <w:top w:val="single" w:sz="4" w:space="0" w:color="000000"/>
              <w:start w:val="nil"/>
              <w:bottom w:val="nil"/>
              <w:end w:val="nil"/>
            </w:tcBorders>
            <w:shd w:val="clear" w:color="auto" w:fill="CFF0FC"/>
            <w:tcMar>
              <w:top w:w="0pt" w:type="dxa"/>
              <w:end w:w="0pt" w:type="dxa"/>
            </w:tcMar>
            <w:vAlign w:val="bottom"/>
          </w:tcPr>
          <w:p w14:paraId="6D800091"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single" w:sz="4" w:space="0" w:color="000000"/>
              <w:start w:val="nil"/>
              <w:bottom w:val="nil"/>
              <w:end w:val="nil"/>
            </w:tcBorders>
            <w:shd w:val="clear" w:color="auto" w:fill="CFF0FC"/>
            <w:tcMar>
              <w:top w:w="0pt" w:type="dxa"/>
              <w:end w:w="0pt" w:type="dxa"/>
            </w:tcMar>
            <w:vAlign w:val="bottom"/>
          </w:tcPr>
          <w:p w14:paraId="62A29CF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6,199,183</w:t>
            </w:r>
          </w:p>
        </w:tc>
        <w:tc>
          <w:tcPr>
            <w:tcW w:w="1.0%" w:type="pct"/>
            <w:tcBorders>
              <w:top w:val="nil"/>
              <w:start w:val="nil"/>
              <w:bottom w:val="nil"/>
              <w:end w:val="nil"/>
            </w:tcBorders>
            <w:shd w:val="clear" w:color="auto" w:fill="CFF0FC"/>
            <w:tcMar>
              <w:top w:w="0pt" w:type="dxa"/>
              <w:end w:w="0pt" w:type="dxa"/>
            </w:tcMar>
            <w:vAlign w:val="bottom"/>
          </w:tcPr>
          <w:p w14:paraId="136D2F0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5EB15A28"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single" w:sz="4" w:space="0" w:color="000000"/>
              <w:start w:val="nil"/>
              <w:bottom w:val="nil"/>
              <w:end w:val="nil"/>
            </w:tcBorders>
            <w:shd w:val="clear" w:color="auto" w:fill="CFF0FC"/>
            <w:tcMar>
              <w:top w:w="0pt" w:type="dxa"/>
              <w:end w:w="0pt" w:type="dxa"/>
            </w:tcMar>
            <w:vAlign w:val="bottom"/>
          </w:tcPr>
          <w:p w14:paraId="54DCA91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single" w:sz="4" w:space="0" w:color="000000"/>
              <w:start w:val="nil"/>
              <w:bottom w:val="nil"/>
              <w:end w:val="nil"/>
            </w:tcBorders>
            <w:shd w:val="clear" w:color="auto" w:fill="CFF0FC"/>
            <w:tcMar>
              <w:top w:w="0pt" w:type="dxa"/>
              <w:end w:w="0pt" w:type="dxa"/>
            </w:tcMar>
            <w:vAlign w:val="bottom"/>
          </w:tcPr>
          <w:p w14:paraId="304FBB2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3,665,198</w:t>
            </w:r>
          </w:p>
        </w:tc>
        <w:tc>
          <w:tcPr>
            <w:tcW w:w="1.0%" w:type="pct"/>
            <w:tcBorders>
              <w:top w:val="nil"/>
              <w:start w:val="nil"/>
              <w:bottom w:val="nil"/>
              <w:end w:val="nil"/>
            </w:tcBorders>
            <w:shd w:val="clear" w:color="auto" w:fill="CFF0FC"/>
            <w:tcMar>
              <w:top w:w="0pt" w:type="dxa"/>
              <w:end w:w="0pt" w:type="dxa"/>
            </w:tcMar>
            <w:vAlign w:val="bottom"/>
          </w:tcPr>
          <w:p w14:paraId="7DCBEBA2"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1A85C1C2"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25066C8C" w14:textId="77777777" w:rsidR="0086099C" w:rsidRDefault="0086099C">
            <w:pPr>
              <w:keepNext/>
              <w:pBdr>
                <w:top w:val="nil"/>
                <w:left w:val="nil"/>
                <w:bottom w:val="nil"/>
                <w:right w:val="nil"/>
                <w:between w:val="nil"/>
                <w:bar w:val="nil"/>
              </w:pBdr>
              <w:ind w:start="10pt"/>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027EFA9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5C607AD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7C55CAAC"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nil"/>
              <w:start w:val="nil"/>
              <w:bottom w:val="nil"/>
              <w:end w:val="nil"/>
            </w:tcBorders>
            <w:shd w:val="clear" w:color="auto" w:fill="FFFFFF"/>
            <w:tcMar>
              <w:top w:w="0pt" w:type="dxa"/>
              <w:end w:w="0pt" w:type="dxa"/>
            </w:tcMar>
            <w:vAlign w:val="bottom"/>
          </w:tcPr>
          <w:p w14:paraId="024D124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61C3404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671A9EDB"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1866F16B" w14:textId="77777777" w:rsidR="0086099C" w:rsidRDefault="00000000">
            <w:pPr>
              <w:keepNext/>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 xml:space="preserve"> Non-Controlling Interest</w:t>
            </w:r>
          </w:p>
        </w:tc>
        <w:tc>
          <w:tcPr>
            <w:tcW w:w="1.0%" w:type="pct"/>
            <w:tcBorders>
              <w:top w:val="nil"/>
              <w:start w:val="nil"/>
              <w:bottom w:val="single" w:sz="4" w:space="0" w:color="000000"/>
              <w:end w:val="nil"/>
            </w:tcBorders>
            <w:shd w:val="clear" w:color="auto" w:fill="CFF0FC"/>
            <w:tcMar>
              <w:top w:w="0pt" w:type="dxa"/>
              <w:end w:w="0pt" w:type="dxa"/>
            </w:tcMar>
            <w:vAlign w:val="bottom"/>
          </w:tcPr>
          <w:p w14:paraId="4048435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nil"/>
              <w:start w:val="nil"/>
              <w:bottom w:val="single" w:sz="4" w:space="0" w:color="000000"/>
              <w:end w:val="nil"/>
            </w:tcBorders>
            <w:shd w:val="clear" w:color="auto" w:fill="CFF0FC"/>
            <w:tcMar>
              <w:top w:w="0pt" w:type="dxa"/>
              <w:end w:w="0pt" w:type="dxa"/>
            </w:tcMar>
            <w:vAlign w:val="bottom"/>
          </w:tcPr>
          <w:p w14:paraId="2F4CB75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392,861</w:t>
            </w:r>
          </w:p>
        </w:tc>
        <w:tc>
          <w:tcPr>
            <w:tcW w:w="1.0%" w:type="pct"/>
            <w:tcBorders>
              <w:top w:val="nil"/>
              <w:start w:val="nil"/>
              <w:bottom w:val="nil"/>
              <w:end w:val="nil"/>
            </w:tcBorders>
            <w:shd w:val="clear" w:color="auto" w:fill="CFF0FC"/>
            <w:tcMar>
              <w:top w:w="0pt" w:type="dxa"/>
              <w:end w:w="0pt" w:type="dxa"/>
            </w:tcMar>
            <w:vAlign w:val="bottom"/>
          </w:tcPr>
          <w:p w14:paraId="2D22C18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2966221E"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4E37B1D6"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nil"/>
              <w:start w:val="nil"/>
              <w:bottom w:val="single" w:sz="4" w:space="0" w:color="000000"/>
              <w:end w:val="nil"/>
            </w:tcBorders>
            <w:shd w:val="clear" w:color="auto" w:fill="CFF0FC"/>
            <w:tcMar>
              <w:top w:w="0pt" w:type="dxa"/>
              <w:end w:w="0pt" w:type="dxa"/>
            </w:tcMar>
            <w:vAlign w:val="bottom"/>
          </w:tcPr>
          <w:p w14:paraId="49AE4FE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406,131</w:t>
            </w:r>
          </w:p>
        </w:tc>
        <w:tc>
          <w:tcPr>
            <w:tcW w:w="1.0%" w:type="pct"/>
            <w:tcBorders>
              <w:top w:val="nil"/>
              <w:start w:val="nil"/>
              <w:bottom w:val="nil"/>
              <w:end w:val="nil"/>
            </w:tcBorders>
            <w:shd w:val="clear" w:color="auto" w:fill="CFF0FC"/>
            <w:tcMar>
              <w:top w:w="0pt" w:type="dxa"/>
              <w:end w:w="0pt" w:type="dxa"/>
            </w:tcMar>
            <w:vAlign w:val="bottom"/>
          </w:tcPr>
          <w:p w14:paraId="3F3B759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09BA85D6"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034D2D93" w14:textId="77777777" w:rsidR="0086099C" w:rsidRDefault="00000000">
            <w:pPr>
              <w:keepNext/>
              <w:pBdr>
                <w:top w:val="nil"/>
                <w:left w:val="nil"/>
                <w:bottom w:val="nil"/>
                <w:right w:val="nil"/>
                <w:between w:val="nil"/>
                <w:bar w:val="nil"/>
              </w:pBdr>
              <w:ind w:start="10pt"/>
              <w:rPr>
                <w:rFonts w:ascii="Open Sans" w:eastAsia="Open Sans" w:hAnsi="Open Sans" w:cs="Open Sans"/>
                <w:color w:val="000000"/>
                <w:sz w:val="17"/>
              </w:rPr>
            </w:pPr>
            <w:r>
              <w:rPr>
                <w:rFonts w:ascii="Open Sans" w:eastAsia="Open Sans" w:hAnsi="Open Sans" w:cs="Open Sans"/>
                <w:color w:val="000000"/>
                <w:sz w:val="17"/>
              </w:rPr>
              <w:t xml:space="preserve"> Total equity</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42DA171A"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6.0%" w:type="pct"/>
            <w:tcBorders>
              <w:top w:val="single" w:sz="4" w:space="0" w:color="000000"/>
              <w:start w:val="nil"/>
              <w:bottom w:val="single" w:sz="4" w:space="0" w:color="000000"/>
              <w:end w:val="nil"/>
            </w:tcBorders>
            <w:shd w:val="clear" w:color="auto" w:fill="FFFFFF"/>
            <w:tcMar>
              <w:top w:w="0pt" w:type="dxa"/>
              <w:end w:w="0pt" w:type="dxa"/>
            </w:tcMar>
            <w:vAlign w:val="bottom"/>
          </w:tcPr>
          <w:p w14:paraId="43B50AD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6,592,044</w:t>
            </w:r>
          </w:p>
        </w:tc>
        <w:tc>
          <w:tcPr>
            <w:tcW w:w="1.0%" w:type="pct"/>
            <w:tcBorders>
              <w:top w:val="nil"/>
              <w:start w:val="nil"/>
              <w:bottom w:val="nil"/>
              <w:end w:val="nil"/>
            </w:tcBorders>
            <w:shd w:val="clear" w:color="auto" w:fill="FFFFFF"/>
            <w:tcMar>
              <w:top w:w="0pt" w:type="dxa"/>
              <w:end w:w="0pt" w:type="dxa"/>
            </w:tcMar>
            <w:vAlign w:val="bottom"/>
          </w:tcPr>
          <w:p w14:paraId="136E25D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03AE5804"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527339B0"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17.0%" w:type="pct"/>
            <w:tcBorders>
              <w:top w:val="single" w:sz="4" w:space="0" w:color="000000"/>
              <w:start w:val="nil"/>
              <w:bottom w:val="single" w:sz="4" w:space="0" w:color="000000"/>
              <w:end w:val="nil"/>
            </w:tcBorders>
            <w:shd w:val="clear" w:color="auto" w:fill="FFFFFF"/>
            <w:tcMar>
              <w:top w:w="0pt" w:type="dxa"/>
              <w:end w:w="0pt" w:type="dxa"/>
            </w:tcMar>
            <w:vAlign w:val="bottom"/>
          </w:tcPr>
          <w:p w14:paraId="2979038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7"/>
              </w:rPr>
            </w:pPr>
            <w:r>
              <w:rPr>
                <w:rFonts w:ascii="Open Sans" w:eastAsia="Open Sans" w:hAnsi="Open Sans" w:cs="Open Sans"/>
                <w:color w:val="000000"/>
                <w:sz w:val="17"/>
              </w:rPr>
              <w:t>4,071,329</w:t>
            </w:r>
          </w:p>
        </w:tc>
        <w:tc>
          <w:tcPr>
            <w:tcW w:w="1.0%" w:type="pct"/>
            <w:tcBorders>
              <w:top w:val="nil"/>
              <w:start w:val="nil"/>
              <w:bottom w:val="nil"/>
              <w:end w:val="nil"/>
            </w:tcBorders>
            <w:shd w:val="clear" w:color="auto" w:fill="FFFFFF"/>
            <w:tcMar>
              <w:top w:w="0pt" w:type="dxa"/>
              <w:end w:w="0pt" w:type="dxa"/>
            </w:tcMar>
            <w:vAlign w:val="bottom"/>
          </w:tcPr>
          <w:p w14:paraId="22895625"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r>
      <w:tr w:rsidR="0086099C" w14:paraId="2F925389" w14:textId="77777777">
        <w:trPr>
          <w:jc w:val="center"/>
        </w:trPr>
        <w:tc>
          <w:tcPr>
            <w:tcW w:w="60.0%" w:type="pct"/>
            <w:tcBorders>
              <w:top w:val="nil"/>
              <w:start w:val="nil"/>
              <w:bottom w:val="nil"/>
              <w:end w:val="nil"/>
            </w:tcBorders>
            <w:shd w:val="clear" w:color="auto" w:fill="CFF0FC"/>
            <w:tcMar>
              <w:top w:w="0pt" w:type="dxa"/>
              <w:end w:w="0pt" w:type="dxa"/>
            </w:tcMar>
            <w:vAlign w:val="bottom"/>
          </w:tcPr>
          <w:p w14:paraId="53AD25A7" w14:textId="77777777" w:rsidR="0086099C" w:rsidRDefault="0086099C">
            <w:pPr>
              <w:keepNext/>
              <w:pBdr>
                <w:top w:val="nil"/>
                <w:left w:val="nil"/>
                <w:bottom w:val="nil"/>
                <w:right w:val="nil"/>
                <w:between w:val="nil"/>
                <w:bar w:val="nil"/>
              </w:pBdr>
              <w:ind w:start="10pt"/>
              <w:rPr>
                <w:rFonts w:ascii="Open Sans" w:eastAsia="Open Sans" w:hAnsi="Open Sans" w:cs="Open Sans"/>
                <w:color w:val="000000"/>
                <w:sz w:val="17"/>
              </w:rPr>
            </w:pPr>
          </w:p>
        </w:tc>
        <w:tc>
          <w:tcPr>
            <w:tcW w:w="0pt" w:type="dxa"/>
            <w:gridSpan w:val="2"/>
            <w:tcBorders>
              <w:top w:val="single" w:sz="4" w:space="0" w:color="000000"/>
              <w:start w:val="nil"/>
              <w:bottom w:val="single" w:sz="4" w:space="0" w:color="000000"/>
              <w:end w:val="nil"/>
            </w:tcBorders>
            <w:shd w:val="clear" w:color="auto" w:fill="CFF0FC"/>
            <w:tcMar>
              <w:top w:w="0pt" w:type="dxa"/>
              <w:end w:w="0pt" w:type="dxa"/>
            </w:tcMar>
            <w:vAlign w:val="bottom"/>
          </w:tcPr>
          <w:p w14:paraId="348A596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3A938C5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497AF477" w14:textId="77777777" w:rsidR="0086099C" w:rsidRDefault="0086099C">
            <w:pPr>
              <w:keepNext/>
              <w:pBdr>
                <w:top w:val="nil"/>
                <w:left w:val="nil"/>
                <w:bottom w:val="nil"/>
                <w:right w:val="nil"/>
                <w:between w:val="nil"/>
                <w:bar w:val="nil"/>
              </w:pBdr>
              <w:rPr>
                <w:rFonts w:ascii="Open Sans" w:eastAsia="Open Sans" w:hAnsi="Open Sans" w:cs="Open Sans"/>
                <w:color w:val="000000"/>
                <w:sz w:val="17"/>
              </w:rPr>
            </w:pPr>
          </w:p>
        </w:tc>
        <w:tc>
          <w:tcPr>
            <w:tcW w:w="0pt" w:type="dxa"/>
            <w:gridSpan w:val="2"/>
            <w:tcBorders>
              <w:top w:val="single" w:sz="4" w:space="0" w:color="000000"/>
              <w:start w:val="nil"/>
              <w:bottom w:val="single" w:sz="4" w:space="0" w:color="000000"/>
              <w:end w:val="nil"/>
            </w:tcBorders>
            <w:shd w:val="clear" w:color="auto" w:fill="CFF0FC"/>
            <w:tcMar>
              <w:top w:w="0pt" w:type="dxa"/>
              <w:end w:w="0pt" w:type="dxa"/>
            </w:tcMar>
            <w:vAlign w:val="bottom"/>
          </w:tcPr>
          <w:p w14:paraId="0D01486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c>
          <w:tcPr>
            <w:tcW w:w="1.0%" w:type="pct"/>
            <w:tcBorders>
              <w:top w:val="nil"/>
              <w:start w:val="nil"/>
              <w:bottom w:val="nil"/>
              <w:end w:val="nil"/>
            </w:tcBorders>
            <w:shd w:val="clear" w:color="auto" w:fill="CFF0FC"/>
            <w:tcMar>
              <w:top w:w="0pt" w:type="dxa"/>
              <w:end w:w="0pt" w:type="dxa"/>
            </w:tcMar>
            <w:vAlign w:val="bottom"/>
          </w:tcPr>
          <w:p w14:paraId="05447D9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7"/>
              </w:rPr>
            </w:pPr>
          </w:p>
        </w:tc>
      </w:tr>
      <w:tr w:rsidR="0086099C" w14:paraId="50426FE6" w14:textId="77777777">
        <w:trPr>
          <w:jc w:val="center"/>
        </w:trPr>
        <w:tc>
          <w:tcPr>
            <w:tcW w:w="60.0%" w:type="pct"/>
            <w:tcBorders>
              <w:top w:val="nil"/>
              <w:start w:val="nil"/>
              <w:bottom w:val="nil"/>
              <w:end w:val="nil"/>
            </w:tcBorders>
            <w:shd w:val="clear" w:color="auto" w:fill="FFFFFF"/>
            <w:tcMar>
              <w:top w:w="0pt" w:type="dxa"/>
              <w:end w:w="0pt" w:type="dxa"/>
            </w:tcMar>
            <w:vAlign w:val="bottom"/>
          </w:tcPr>
          <w:p w14:paraId="1B9B6E29" w14:textId="77777777" w:rsidR="0086099C" w:rsidRDefault="00000000">
            <w:pPr>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 xml:space="preserve"> Total Liabilities and Equity</w:t>
            </w: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34DDE7FF" w14:textId="77777777" w:rsidR="0086099C" w:rsidRDefault="00000000">
            <w:pPr>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w:t>
            </w:r>
          </w:p>
        </w:tc>
        <w:tc>
          <w:tcPr>
            <w:tcW w:w="16.0%" w:type="pct"/>
            <w:tcBorders>
              <w:top w:val="single" w:sz="4" w:space="0" w:color="000000"/>
              <w:start w:val="nil"/>
              <w:bottom w:val="double" w:sz="6" w:space="0" w:color="000000"/>
              <w:end w:val="nil"/>
            </w:tcBorders>
            <w:shd w:val="clear" w:color="auto" w:fill="FFFFFF"/>
            <w:tcMar>
              <w:top w:w="0pt" w:type="dxa"/>
              <w:end w:w="0pt" w:type="dxa"/>
            </w:tcMar>
            <w:vAlign w:val="bottom"/>
          </w:tcPr>
          <w:p w14:paraId="4019F7F4"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7"/>
              </w:rPr>
            </w:pPr>
            <w:r>
              <w:rPr>
                <w:rFonts w:ascii="Open Sans" w:eastAsia="Open Sans" w:hAnsi="Open Sans" w:cs="Open Sans"/>
                <w:b/>
                <w:color w:val="000000"/>
                <w:sz w:val="17"/>
              </w:rPr>
              <w:t>107,956,744</w:t>
            </w:r>
          </w:p>
        </w:tc>
        <w:tc>
          <w:tcPr>
            <w:tcW w:w="1.0%" w:type="pct"/>
            <w:tcBorders>
              <w:top w:val="nil"/>
              <w:start w:val="nil"/>
              <w:bottom w:val="nil"/>
              <w:end w:val="nil"/>
            </w:tcBorders>
            <w:shd w:val="clear" w:color="auto" w:fill="FFFFFF"/>
            <w:tcMar>
              <w:top w:w="0pt" w:type="dxa"/>
              <w:end w:w="0pt" w:type="dxa"/>
            </w:tcMar>
            <w:vAlign w:val="bottom"/>
          </w:tcPr>
          <w:p w14:paraId="3F4A2F12" w14:textId="77777777" w:rsidR="0086099C" w:rsidRDefault="0086099C">
            <w:pPr>
              <w:pBdr>
                <w:top w:val="nil"/>
                <w:left w:val="nil"/>
                <w:bottom w:val="nil"/>
                <w:right w:val="nil"/>
                <w:between w:val="nil"/>
                <w:bar w:val="nil"/>
              </w:pBdr>
              <w:rPr>
                <w:rFonts w:ascii="Open Sans" w:eastAsia="Open Sans" w:hAnsi="Open Sans" w:cs="Open Sans"/>
                <w:b/>
                <w:color w:val="000000"/>
                <w:sz w:val="17"/>
              </w:rPr>
            </w:pPr>
          </w:p>
        </w:tc>
        <w:tc>
          <w:tcPr>
            <w:tcW w:w="1.0%" w:type="pct"/>
            <w:tcBorders>
              <w:top w:val="nil"/>
              <w:start w:val="nil"/>
              <w:bottom w:val="nil"/>
              <w:end w:val="nil"/>
            </w:tcBorders>
            <w:shd w:val="clear" w:color="auto" w:fill="FFFFFF"/>
            <w:tcMar>
              <w:top w:w="0pt" w:type="dxa"/>
              <w:end w:w="0pt" w:type="dxa"/>
            </w:tcMar>
            <w:vAlign w:val="bottom"/>
          </w:tcPr>
          <w:p w14:paraId="1BFCA0CE" w14:textId="77777777" w:rsidR="0086099C" w:rsidRDefault="0086099C">
            <w:pPr>
              <w:pBdr>
                <w:top w:val="nil"/>
                <w:left w:val="nil"/>
                <w:bottom w:val="nil"/>
                <w:right w:val="nil"/>
                <w:between w:val="nil"/>
                <w:bar w:val="nil"/>
              </w:pBdr>
              <w:rPr>
                <w:rFonts w:ascii="Open Sans" w:eastAsia="Open Sans" w:hAnsi="Open Sans" w:cs="Open Sans"/>
                <w:color w:val="000000"/>
                <w:sz w:val="17"/>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45B1BB74" w14:textId="77777777" w:rsidR="0086099C" w:rsidRDefault="00000000">
            <w:pPr>
              <w:pBdr>
                <w:top w:val="nil"/>
                <w:left w:val="nil"/>
                <w:bottom w:val="nil"/>
                <w:right w:val="nil"/>
                <w:between w:val="nil"/>
                <w:bar w:val="nil"/>
              </w:pBdr>
              <w:rPr>
                <w:rFonts w:ascii="Open Sans" w:eastAsia="Open Sans" w:hAnsi="Open Sans" w:cs="Open Sans"/>
                <w:b/>
                <w:color w:val="000000"/>
                <w:sz w:val="17"/>
              </w:rPr>
            </w:pPr>
            <w:r>
              <w:rPr>
                <w:rFonts w:ascii="Open Sans" w:eastAsia="Open Sans" w:hAnsi="Open Sans" w:cs="Open Sans"/>
                <w:b/>
                <w:color w:val="000000"/>
                <w:sz w:val="17"/>
              </w:rPr>
              <w:t>$</w:t>
            </w:r>
          </w:p>
        </w:tc>
        <w:tc>
          <w:tcPr>
            <w:tcW w:w="17.0%" w:type="pct"/>
            <w:tcBorders>
              <w:top w:val="single" w:sz="4" w:space="0" w:color="000000"/>
              <w:start w:val="nil"/>
              <w:bottom w:val="double" w:sz="6" w:space="0" w:color="000000"/>
              <w:end w:val="nil"/>
            </w:tcBorders>
            <w:shd w:val="clear" w:color="auto" w:fill="FFFFFF"/>
            <w:tcMar>
              <w:top w:w="0pt" w:type="dxa"/>
              <w:end w:w="0pt" w:type="dxa"/>
            </w:tcMar>
            <w:vAlign w:val="bottom"/>
          </w:tcPr>
          <w:p w14:paraId="4E7128F5"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7"/>
              </w:rPr>
            </w:pPr>
            <w:r>
              <w:rPr>
                <w:rFonts w:ascii="Open Sans" w:eastAsia="Open Sans" w:hAnsi="Open Sans" w:cs="Open Sans"/>
                <w:b/>
                <w:color w:val="000000"/>
                <w:sz w:val="17"/>
              </w:rPr>
              <w:t>108,691,416</w:t>
            </w:r>
          </w:p>
        </w:tc>
        <w:tc>
          <w:tcPr>
            <w:tcW w:w="1.0%" w:type="pct"/>
            <w:tcBorders>
              <w:top w:val="nil"/>
              <w:start w:val="nil"/>
              <w:bottom w:val="nil"/>
              <w:end w:val="nil"/>
            </w:tcBorders>
            <w:shd w:val="clear" w:color="auto" w:fill="FFFFFF"/>
            <w:tcMar>
              <w:top w:w="0pt" w:type="dxa"/>
              <w:end w:w="0pt" w:type="dxa"/>
            </w:tcMar>
            <w:vAlign w:val="bottom"/>
          </w:tcPr>
          <w:p w14:paraId="663D1458" w14:textId="77777777" w:rsidR="0086099C" w:rsidRDefault="0086099C">
            <w:pPr>
              <w:pBdr>
                <w:top w:val="nil"/>
                <w:left w:val="nil"/>
                <w:bottom w:val="nil"/>
                <w:right w:val="nil"/>
                <w:between w:val="nil"/>
                <w:bar w:val="nil"/>
              </w:pBdr>
              <w:rPr>
                <w:rFonts w:ascii="Open Sans" w:eastAsia="Open Sans" w:hAnsi="Open Sans" w:cs="Open Sans"/>
                <w:b/>
                <w:color w:val="000000"/>
                <w:sz w:val="17"/>
              </w:rPr>
            </w:pPr>
          </w:p>
        </w:tc>
      </w:tr>
    </w:tbl>
    <w:p w14:paraId="1FCBB508" w14:textId="77777777" w:rsidR="0086099C" w:rsidRDefault="00000000">
      <w:pPr>
        <w:pBdr>
          <w:top w:val="nil"/>
          <w:left w:val="nil"/>
          <w:bottom w:val="nil"/>
          <w:right w:val="nil"/>
          <w:between w:val="nil"/>
          <w:bar w:val="nil"/>
        </w:pBdr>
        <w:jc w:val="center"/>
        <w:rPr>
          <w:sz w:val="2"/>
        </w:rPr>
      </w:pPr>
      <w:r>
        <w:cr/>
      </w:r>
      <w:r>
        <w:rPr>
          <w:sz w:val="2"/>
        </w:rPr>
        <w:br w:type="page"/>
      </w:r>
    </w:p>
    <w:p w14:paraId="64ECABA7"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668204E6"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Consolidated Statements of Operations</w:t>
      </w:r>
    </w:p>
    <w:p w14:paraId="2502E697"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(unaudited)</w:t>
      </w:r>
    </w:p>
    <w:p w14:paraId="7B54EC12"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top w:w="0.70pt" w:type="dxa"/>
          <w:start w:w="0pt" w:type="dxa"/>
          <w:end w:w="0.70pt" w:type="dxa"/>
        </w:tblCellMar>
        <w:tblLook w:firstRow="1" w:lastRow="0" w:firstColumn="1" w:lastColumn="0" w:noHBand="0" w:noVBand="1"/>
      </w:tblPr>
      <w:tblGrid>
        <w:gridCol w:w="5400"/>
        <w:gridCol w:w="115"/>
        <w:gridCol w:w="1034"/>
        <w:gridCol w:w="115"/>
        <w:gridCol w:w="115"/>
        <w:gridCol w:w="1264"/>
        <w:gridCol w:w="115"/>
        <w:gridCol w:w="115"/>
        <w:gridCol w:w="115"/>
        <w:gridCol w:w="115"/>
        <w:gridCol w:w="115"/>
        <w:gridCol w:w="1034"/>
        <w:gridCol w:w="115"/>
        <w:gridCol w:w="115"/>
        <w:gridCol w:w="1378"/>
        <w:gridCol w:w="116"/>
      </w:tblGrid>
      <w:tr w:rsidR="0086099C" w14:paraId="771E8599"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03F157B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5CBFC866"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Three Months ended September 30,</w:t>
            </w:r>
          </w:p>
        </w:tc>
        <w:tc>
          <w:tcPr>
            <w:tcW w:w="1.0%" w:type="pct"/>
            <w:tcBorders>
              <w:top w:val="nil"/>
              <w:start w:val="nil"/>
              <w:bottom w:val="nil"/>
              <w:end w:val="nil"/>
            </w:tcBorders>
            <w:shd w:val="clear" w:color="auto" w:fill="FFFFFF"/>
            <w:tcMar>
              <w:top w:w="0pt" w:type="dxa"/>
              <w:end w:w="0pt" w:type="dxa"/>
            </w:tcMar>
            <w:vAlign w:val="bottom"/>
          </w:tcPr>
          <w:p w14:paraId="4477C99F"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27EA71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FDBE38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01B4C6A1"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Nine Months ended September 30,</w:t>
            </w:r>
          </w:p>
        </w:tc>
        <w:tc>
          <w:tcPr>
            <w:tcW w:w="1.0%" w:type="pct"/>
            <w:tcBorders>
              <w:top w:val="nil"/>
              <w:start w:val="nil"/>
              <w:bottom w:val="nil"/>
              <w:end w:val="nil"/>
            </w:tcBorders>
            <w:shd w:val="clear" w:color="auto" w:fill="FFFFFF"/>
            <w:tcMar>
              <w:top w:w="0pt" w:type="dxa"/>
              <w:end w:w="0pt" w:type="dxa"/>
            </w:tcMar>
            <w:vAlign w:val="bottom"/>
          </w:tcPr>
          <w:p w14:paraId="0F34C963"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0F57A7B8"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68F83CF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164879DF"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tcPr>
          <w:p w14:paraId="7578302F"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1EDD628D"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tcPr>
          <w:p w14:paraId="2E1A8F38"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4BF52292"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63C22F8"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1C163519"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tcPr>
          <w:p w14:paraId="1AFFD1FB"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6327521D"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tcPr>
          <w:p w14:paraId="76860AC2"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2ABFE29C"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30C9FF4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Revenue</w:t>
            </w: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5052506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0E37FE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32AF47E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966CB4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47913E0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A05122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1F95691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1ED367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444EC23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7E0CD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06A04C36"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1E65453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Rental income</w:t>
            </w:r>
          </w:p>
        </w:tc>
        <w:tc>
          <w:tcPr>
            <w:tcW w:w="1.0%" w:type="pct"/>
            <w:tcBorders>
              <w:top w:val="nil"/>
              <w:start w:val="nil"/>
              <w:bottom w:val="nil"/>
              <w:end w:val="nil"/>
            </w:tcBorders>
            <w:shd w:val="clear" w:color="auto" w:fill="FFFFFF"/>
            <w:tcMar>
              <w:top w:w="0pt" w:type="dxa"/>
              <w:end w:w="0pt" w:type="dxa"/>
            </w:tcMar>
            <w:vAlign w:val="bottom"/>
          </w:tcPr>
          <w:p w14:paraId="2E1D91A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nil"/>
              <w:start w:val="nil"/>
              <w:bottom w:val="nil"/>
              <w:end w:val="nil"/>
            </w:tcBorders>
            <w:shd w:val="clear" w:color="auto" w:fill="FFFFFF"/>
            <w:tcMar>
              <w:top w:w="0pt" w:type="dxa"/>
              <w:end w:w="0pt" w:type="dxa"/>
            </w:tcMar>
            <w:vAlign w:val="bottom"/>
          </w:tcPr>
          <w:p w14:paraId="3F693D0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2,326,980</w:t>
            </w:r>
          </w:p>
        </w:tc>
        <w:tc>
          <w:tcPr>
            <w:tcW w:w="1.0%" w:type="pct"/>
            <w:tcBorders>
              <w:top w:val="nil"/>
              <w:start w:val="nil"/>
              <w:bottom w:val="nil"/>
              <w:end w:val="nil"/>
            </w:tcBorders>
            <w:shd w:val="clear" w:color="auto" w:fill="FFFFFF"/>
            <w:tcMar>
              <w:top w:w="0pt" w:type="dxa"/>
              <w:end w:w="0pt" w:type="dxa"/>
            </w:tcMar>
            <w:vAlign w:val="bottom"/>
          </w:tcPr>
          <w:p w14:paraId="435750C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7C36360"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1.0%" w:type="pct"/>
            <w:tcBorders>
              <w:top w:val="nil"/>
              <w:start w:val="nil"/>
              <w:bottom w:val="nil"/>
              <w:end w:val="nil"/>
            </w:tcBorders>
            <w:shd w:val="clear" w:color="auto" w:fill="FFFFFF"/>
            <w:tcMar>
              <w:top w:w="0pt" w:type="dxa"/>
              <w:end w:w="0pt" w:type="dxa"/>
            </w:tcMar>
            <w:vAlign w:val="bottom"/>
          </w:tcPr>
          <w:p w14:paraId="6DC8155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1,841,044</w:t>
            </w:r>
          </w:p>
        </w:tc>
        <w:tc>
          <w:tcPr>
            <w:tcW w:w="1.0%" w:type="pct"/>
            <w:tcBorders>
              <w:top w:val="nil"/>
              <w:start w:val="nil"/>
              <w:bottom w:val="nil"/>
              <w:end w:val="nil"/>
            </w:tcBorders>
            <w:shd w:val="clear" w:color="auto" w:fill="FFFFFF"/>
            <w:tcMar>
              <w:top w:w="0pt" w:type="dxa"/>
              <w:end w:w="0pt" w:type="dxa"/>
            </w:tcMar>
            <w:vAlign w:val="bottom"/>
          </w:tcPr>
          <w:p w14:paraId="2FE8998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0956BCE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F9A33EC"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9C6D98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nil"/>
              <w:start w:val="nil"/>
              <w:bottom w:val="nil"/>
              <w:end w:val="nil"/>
            </w:tcBorders>
            <w:shd w:val="clear" w:color="auto" w:fill="FFFFFF"/>
            <w:tcMar>
              <w:top w:w="0pt" w:type="dxa"/>
              <w:end w:w="0pt" w:type="dxa"/>
            </w:tcMar>
            <w:vAlign w:val="bottom"/>
          </w:tcPr>
          <w:p w14:paraId="1C94B08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6,850,092</w:t>
            </w:r>
          </w:p>
        </w:tc>
        <w:tc>
          <w:tcPr>
            <w:tcW w:w="1.0%" w:type="pct"/>
            <w:tcBorders>
              <w:top w:val="nil"/>
              <w:start w:val="nil"/>
              <w:bottom w:val="nil"/>
              <w:end w:val="nil"/>
            </w:tcBorders>
            <w:shd w:val="clear" w:color="auto" w:fill="FFFFFF"/>
            <w:tcMar>
              <w:top w:w="0pt" w:type="dxa"/>
              <w:end w:w="0pt" w:type="dxa"/>
            </w:tcMar>
            <w:vAlign w:val="bottom"/>
          </w:tcPr>
          <w:p w14:paraId="0F449DE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66B957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2.0%" w:type="pct"/>
            <w:tcBorders>
              <w:top w:val="nil"/>
              <w:start w:val="nil"/>
              <w:bottom w:val="nil"/>
              <w:end w:val="nil"/>
            </w:tcBorders>
            <w:shd w:val="clear" w:color="auto" w:fill="FFFFFF"/>
            <w:tcMar>
              <w:top w:w="0pt" w:type="dxa"/>
              <w:end w:w="0pt" w:type="dxa"/>
            </w:tcMar>
            <w:vAlign w:val="bottom"/>
          </w:tcPr>
          <w:p w14:paraId="7851E68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4,486,501</w:t>
            </w:r>
          </w:p>
        </w:tc>
        <w:tc>
          <w:tcPr>
            <w:tcW w:w="1.0%" w:type="pct"/>
            <w:tcBorders>
              <w:top w:val="nil"/>
              <w:start w:val="nil"/>
              <w:bottom w:val="nil"/>
              <w:end w:val="nil"/>
            </w:tcBorders>
            <w:shd w:val="clear" w:color="auto" w:fill="FFFFFF"/>
            <w:tcMar>
              <w:top w:w="0pt" w:type="dxa"/>
              <w:end w:w="0pt" w:type="dxa"/>
            </w:tcMar>
            <w:vAlign w:val="bottom"/>
          </w:tcPr>
          <w:p w14:paraId="79066D6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44D25BC"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4E9858D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Other income</w:t>
            </w:r>
          </w:p>
        </w:tc>
        <w:tc>
          <w:tcPr>
            <w:tcW w:w="1.0%" w:type="pct"/>
            <w:tcBorders>
              <w:top w:val="nil"/>
              <w:start w:val="nil"/>
              <w:bottom w:val="single" w:sz="4" w:space="0" w:color="000000"/>
              <w:end w:val="nil"/>
            </w:tcBorders>
            <w:shd w:val="clear" w:color="auto" w:fill="CFF0FC"/>
            <w:tcMar>
              <w:top w:w="0pt" w:type="dxa"/>
              <w:end w:w="0pt" w:type="dxa"/>
            </w:tcMar>
            <w:vAlign w:val="bottom"/>
          </w:tcPr>
          <w:p w14:paraId="4595ADF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1A3F9F7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73,302</w:t>
            </w:r>
          </w:p>
        </w:tc>
        <w:tc>
          <w:tcPr>
            <w:tcW w:w="1.0%" w:type="pct"/>
            <w:tcBorders>
              <w:top w:val="nil"/>
              <w:start w:val="nil"/>
              <w:bottom w:val="nil"/>
              <w:end w:val="nil"/>
            </w:tcBorders>
            <w:shd w:val="clear" w:color="auto" w:fill="CFF0FC"/>
            <w:tcMar>
              <w:top w:w="0pt" w:type="dxa"/>
              <w:end w:w="0pt" w:type="dxa"/>
            </w:tcMar>
            <w:vAlign w:val="bottom"/>
          </w:tcPr>
          <w:p w14:paraId="15D6788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5FDB492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single" w:sz="4" w:space="0" w:color="000000"/>
              <w:end w:val="nil"/>
            </w:tcBorders>
            <w:shd w:val="clear" w:color="auto" w:fill="CFF0FC"/>
            <w:tcMar>
              <w:top w:w="0pt" w:type="dxa"/>
              <w:end w:w="0pt" w:type="dxa"/>
            </w:tcMar>
            <w:vAlign w:val="bottom"/>
          </w:tcPr>
          <w:p w14:paraId="7A935DF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3,104</w:t>
            </w:r>
          </w:p>
        </w:tc>
        <w:tc>
          <w:tcPr>
            <w:tcW w:w="1.0%" w:type="pct"/>
            <w:tcBorders>
              <w:top w:val="nil"/>
              <w:start w:val="nil"/>
              <w:bottom w:val="nil"/>
              <w:end w:val="nil"/>
            </w:tcBorders>
            <w:shd w:val="clear" w:color="auto" w:fill="CFF0FC"/>
            <w:tcMar>
              <w:top w:w="0pt" w:type="dxa"/>
              <w:end w:w="0pt" w:type="dxa"/>
            </w:tcMar>
            <w:vAlign w:val="bottom"/>
          </w:tcPr>
          <w:p w14:paraId="0289FC3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CFF0FC"/>
            <w:tcMar>
              <w:top w:w="0pt" w:type="dxa"/>
              <w:end w:w="0pt" w:type="dxa"/>
            </w:tcMar>
            <w:vAlign w:val="bottom"/>
          </w:tcPr>
          <w:p w14:paraId="029EB31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D482CC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74EBA9F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0FE3E70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242,598</w:t>
            </w:r>
          </w:p>
        </w:tc>
        <w:tc>
          <w:tcPr>
            <w:tcW w:w="1.0%" w:type="pct"/>
            <w:tcBorders>
              <w:top w:val="nil"/>
              <w:start w:val="nil"/>
              <w:bottom w:val="nil"/>
              <w:end w:val="nil"/>
            </w:tcBorders>
            <w:shd w:val="clear" w:color="auto" w:fill="CFF0FC"/>
            <w:tcMar>
              <w:top w:w="0pt" w:type="dxa"/>
              <w:end w:w="0pt" w:type="dxa"/>
            </w:tcMar>
            <w:vAlign w:val="bottom"/>
          </w:tcPr>
          <w:p w14:paraId="35220AD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760604F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single" w:sz="4" w:space="0" w:color="000000"/>
              <w:end w:val="nil"/>
            </w:tcBorders>
            <w:shd w:val="clear" w:color="auto" w:fill="CFF0FC"/>
            <w:tcMar>
              <w:top w:w="0pt" w:type="dxa"/>
              <w:end w:w="0pt" w:type="dxa"/>
            </w:tcMar>
            <w:vAlign w:val="bottom"/>
          </w:tcPr>
          <w:p w14:paraId="5FFA2A8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23,564</w:t>
            </w:r>
          </w:p>
        </w:tc>
        <w:tc>
          <w:tcPr>
            <w:tcW w:w="1.0%" w:type="pct"/>
            <w:tcBorders>
              <w:top w:val="nil"/>
              <w:start w:val="nil"/>
              <w:bottom w:val="nil"/>
              <w:end w:val="nil"/>
            </w:tcBorders>
            <w:shd w:val="clear" w:color="auto" w:fill="CFF0FC"/>
            <w:tcMar>
              <w:top w:w="0pt" w:type="dxa"/>
              <w:end w:w="0pt" w:type="dxa"/>
            </w:tcMar>
            <w:vAlign w:val="bottom"/>
          </w:tcPr>
          <w:p w14:paraId="1B3FA94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5A212806"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4EAD988E"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Total revenue</w:t>
            </w:r>
          </w:p>
        </w:tc>
        <w:tc>
          <w:tcPr>
            <w:tcW w:w="1.0%" w:type="pct"/>
            <w:tcBorders>
              <w:top w:val="single" w:sz="4" w:space="0" w:color="000000"/>
              <w:start w:val="nil"/>
              <w:bottom w:val="nil"/>
              <w:end w:val="nil"/>
            </w:tcBorders>
            <w:shd w:val="clear" w:color="auto" w:fill="FFFFFF"/>
            <w:tcMar>
              <w:top w:w="0pt" w:type="dxa"/>
              <w:end w:w="0pt" w:type="dxa"/>
            </w:tcMar>
            <w:vAlign w:val="bottom"/>
          </w:tcPr>
          <w:p w14:paraId="74C251C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nil"/>
              <w:end w:val="nil"/>
            </w:tcBorders>
            <w:shd w:val="clear" w:color="auto" w:fill="FFFFFF"/>
            <w:tcMar>
              <w:top w:w="0pt" w:type="dxa"/>
              <w:end w:w="0pt" w:type="dxa"/>
            </w:tcMar>
            <w:vAlign w:val="bottom"/>
          </w:tcPr>
          <w:p w14:paraId="5DC8497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2,400,282</w:t>
            </w:r>
          </w:p>
        </w:tc>
        <w:tc>
          <w:tcPr>
            <w:tcW w:w="1.0%" w:type="pct"/>
            <w:tcBorders>
              <w:top w:val="nil"/>
              <w:start w:val="nil"/>
              <w:bottom w:val="nil"/>
              <w:end w:val="nil"/>
            </w:tcBorders>
            <w:shd w:val="clear" w:color="auto" w:fill="FFFFFF"/>
            <w:tcMar>
              <w:top w:w="0pt" w:type="dxa"/>
              <w:end w:w="0pt" w:type="dxa"/>
            </w:tcMar>
            <w:vAlign w:val="bottom"/>
          </w:tcPr>
          <w:p w14:paraId="67B70B9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74452E0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1.0%" w:type="pct"/>
            <w:tcBorders>
              <w:top w:val="single" w:sz="4" w:space="0" w:color="000000"/>
              <w:start w:val="nil"/>
              <w:bottom w:val="nil"/>
              <w:end w:val="nil"/>
            </w:tcBorders>
            <w:shd w:val="clear" w:color="auto" w:fill="FFFFFF"/>
            <w:tcMar>
              <w:top w:w="0pt" w:type="dxa"/>
              <w:end w:w="0pt" w:type="dxa"/>
            </w:tcMar>
            <w:vAlign w:val="bottom"/>
          </w:tcPr>
          <w:p w14:paraId="1D045C0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1,844,148</w:t>
            </w:r>
          </w:p>
        </w:tc>
        <w:tc>
          <w:tcPr>
            <w:tcW w:w="1.0%" w:type="pct"/>
            <w:tcBorders>
              <w:top w:val="nil"/>
              <w:start w:val="nil"/>
              <w:bottom w:val="nil"/>
              <w:end w:val="nil"/>
            </w:tcBorders>
            <w:shd w:val="clear" w:color="auto" w:fill="FFFFFF"/>
            <w:tcMar>
              <w:top w:w="0pt" w:type="dxa"/>
              <w:end w:w="0pt" w:type="dxa"/>
            </w:tcMar>
            <w:vAlign w:val="bottom"/>
          </w:tcPr>
          <w:p w14:paraId="4B4C228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42D5A40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nil"/>
              <w:end w:val="nil"/>
            </w:tcBorders>
            <w:shd w:val="clear" w:color="auto" w:fill="FFFFFF"/>
            <w:tcMar>
              <w:top w:w="0pt" w:type="dxa"/>
              <w:end w:w="0pt" w:type="dxa"/>
            </w:tcMar>
            <w:vAlign w:val="bottom"/>
          </w:tcPr>
          <w:p w14:paraId="1901AA1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6FE6BAC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019915C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nil"/>
              <w:end w:val="nil"/>
            </w:tcBorders>
            <w:shd w:val="clear" w:color="auto" w:fill="FFFFFF"/>
            <w:tcMar>
              <w:top w:w="0pt" w:type="dxa"/>
              <w:end w:w="0pt" w:type="dxa"/>
            </w:tcMar>
            <w:vAlign w:val="bottom"/>
          </w:tcPr>
          <w:p w14:paraId="68E53BE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7,092,690</w:t>
            </w:r>
          </w:p>
        </w:tc>
        <w:tc>
          <w:tcPr>
            <w:tcW w:w="1.0%" w:type="pct"/>
            <w:tcBorders>
              <w:top w:val="nil"/>
              <w:start w:val="nil"/>
              <w:bottom w:val="nil"/>
              <w:end w:val="nil"/>
            </w:tcBorders>
            <w:shd w:val="clear" w:color="auto" w:fill="FFFFFF"/>
            <w:tcMar>
              <w:top w:w="0pt" w:type="dxa"/>
              <w:end w:w="0pt" w:type="dxa"/>
            </w:tcMar>
            <w:vAlign w:val="bottom"/>
          </w:tcPr>
          <w:p w14:paraId="3D37C0C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1EEB1F2F"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2.0%" w:type="pct"/>
            <w:tcBorders>
              <w:top w:val="single" w:sz="4" w:space="0" w:color="000000"/>
              <w:start w:val="nil"/>
              <w:bottom w:val="nil"/>
              <w:end w:val="nil"/>
            </w:tcBorders>
            <w:shd w:val="clear" w:color="auto" w:fill="FFFFFF"/>
            <w:tcMar>
              <w:top w:w="0pt" w:type="dxa"/>
              <w:end w:w="0pt" w:type="dxa"/>
            </w:tcMar>
            <w:vAlign w:val="bottom"/>
          </w:tcPr>
          <w:p w14:paraId="3D180AD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4,510,065</w:t>
            </w:r>
          </w:p>
        </w:tc>
        <w:tc>
          <w:tcPr>
            <w:tcW w:w="1.0%" w:type="pct"/>
            <w:tcBorders>
              <w:top w:val="nil"/>
              <w:start w:val="nil"/>
              <w:bottom w:val="nil"/>
              <w:end w:val="nil"/>
            </w:tcBorders>
            <w:shd w:val="clear" w:color="auto" w:fill="FFFFFF"/>
            <w:tcMar>
              <w:top w:w="0pt" w:type="dxa"/>
              <w:end w:w="0pt" w:type="dxa"/>
            </w:tcMar>
            <w:vAlign w:val="bottom"/>
          </w:tcPr>
          <w:p w14:paraId="5E64BFD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9014D26"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4509447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F959F9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A1758E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6CBBD22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C7A938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579E4F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052235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5A217B6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187A88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5C59574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A75170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79B4D93F"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31F969F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Expenses</w:t>
            </w:r>
          </w:p>
        </w:tc>
        <w:tc>
          <w:tcPr>
            <w:tcW w:w="0pt" w:type="dxa"/>
            <w:gridSpan w:val="2"/>
            <w:tcBorders>
              <w:top w:val="nil"/>
              <w:start w:val="nil"/>
              <w:bottom w:val="nil"/>
              <w:end w:val="nil"/>
            </w:tcBorders>
            <w:shd w:val="clear" w:color="auto" w:fill="FFFFFF"/>
            <w:tcMar>
              <w:top w:w="0pt" w:type="dxa"/>
              <w:end w:w="0pt" w:type="dxa"/>
            </w:tcMar>
            <w:vAlign w:val="bottom"/>
          </w:tcPr>
          <w:p w14:paraId="48632DA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FDB425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398D32A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8DC7D0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3DB5E31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5D4D56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10A815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B0FD82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9E4B7F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6738B5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56F6170F"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29FF4DE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General and administrative expense</w:t>
            </w:r>
          </w:p>
        </w:tc>
        <w:tc>
          <w:tcPr>
            <w:tcW w:w="1.0%" w:type="pct"/>
            <w:tcBorders>
              <w:top w:val="nil"/>
              <w:start w:val="nil"/>
              <w:bottom w:val="nil"/>
              <w:end w:val="nil"/>
            </w:tcBorders>
            <w:shd w:val="clear" w:color="auto" w:fill="CFF0FC"/>
            <w:tcMar>
              <w:top w:w="0pt" w:type="dxa"/>
              <w:end w:w="0pt" w:type="dxa"/>
            </w:tcMar>
            <w:vAlign w:val="bottom"/>
          </w:tcPr>
          <w:p w14:paraId="425BA4A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50C8746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577,565</w:t>
            </w:r>
          </w:p>
        </w:tc>
        <w:tc>
          <w:tcPr>
            <w:tcW w:w="1.0%" w:type="pct"/>
            <w:tcBorders>
              <w:top w:val="nil"/>
              <w:start w:val="nil"/>
              <w:bottom w:val="nil"/>
              <w:end w:val="nil"/>
            </w:tcBorders>
            <w:shd w:val="clear" w:color="auto" w:fill="CFF0FC"/>
            <w:tcMar>
              <w:top w:w="0pt" w:type="dxa"/>
              <w:end w:w="0pt" w:type="dxa"/>
            </w:tcMar>
            <w:vAlign w:val="bottom"/>
          </w:tcPr>
          <w:p w14:paraId="3527910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9F3970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CFF0FC"/>
            <w:tcMar>
              <w:top w:w="0pt" w:type="dxa"/>
              <w:end w:w="0pt" w:type="dxa"/>
            </w:tcMar>
            <w:vAlign w:val="bottom"/>
          </w:tcPr>
          <w:p w14:paraId="20F6C1F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530,538</w:t>
            </w:r>
          </w:p>
        </w:tc>
        <w:tc>
          <w:tcPr>
            <w:tcW w:w="1.0%" w:type="pct"/>
            <w:tcBorders>
              <w:top w:val="nil"/>
              <w:start w:val="nil"/>
              <w:bottom w:val="nil"/>
              <w:end w:val="nil"/>
            </w:tcBorders>
            <w:shd w:val="clear" w:color="auto" w:fill="CFF0FC"/>
            <w:tcMar>
              <w:top w:w="0pt" w:type="dxa"/>
              <w:end w:w="0pt" w:type="dxa"/>
            </w:tcMar>
            <w:vAlign w:val="bottom"/>
          </w:tcPr>
          <w:p w14:paraId="357AE37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4675067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28548C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E462D2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53ED46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1,632,018</w:t>
            </w:r>
          </w:p>
        </w:tc>
        <w:tc>
          <w:tcPr>
            <w:tcW w:w="1.0%" w:type="pct"/>
            <w:tcBorders>
              <w:top w:val="nil"/>
              <w:start w:val="nil"/>
              <w:bottom w:val="nil"/>
              <w:end w:val="nil"/>
            </w:tcBorders>
            <w:shd w:val="clear" w:color="auto" w:fill="CFF0FC"/>
            <w:tcMar>
              <w:top w:w="0pt" w:type="dxa"/>
              <w:end w:w="0pt" w:type="dxa"/>
            </w:tcMar>
            <w:vAlign w:val="bottom"/>
          </w:tcPr>
          <w:p w14:paraId="56669BA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96F212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CFF0FC"/>
            <w:tcMar>
              <w:top w:w="0pt" w:type="dxa"/>
              <w:end w:w="0pt" w:type="dxa"/>
            </w:tcMar>
            <w:vAlign w:val="bottom"/>
          </w:tcPr>
          <w:p w14:paraId="77579ED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1,233,674</w:t>
            </w:r>
          </w:p>
        </w:tc>
        <w:tc>
          <w:tcPr>
            <w:tcW w:w="1.0%" w:type="pct"/>
            <w:tcBorders>
              <w:top w:val="nil"/>
              <w:start w:val="nil"/>
              <w:bottom w:val="nil"/>
              <w:end w:val="nil"/>
            </w:tcBorders>
            <w:shd w:val="clear" w:color="auto" w:fill="CFF0FC"/>
            <w:tcMar>
              <w:top w:w="0pt" w:type="dxa"/>
              <w:end w:w="0pt" w:type="dxa"/>
            </w:tcMar>
            <w:vAlign w:val="bottom"/>
          </w:tcPr>
          <w:p w14:paraId="7774CD5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23C759D"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39DF8AE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Building expenses</w:t>
            </w:r>
          </w:p>
        </w:tc>
        <w:tc>
          <w:tcPr>
            <w:tcW w:w="1.0%" w:type="pct"/>
            <w:tcBorders>
              <w:top w:val="nil"/>
              <w:start w:val="nil"/>
              <w:bottom w:val="nil"/>
              <w:end w:val="nil"/>
            </w:tcBorders>
            <w:shd w:val="clear" w:color="auto" w:fill="FFFFFF"/>
            <w:tcMar>
              <w:top w:w="0pt" w:type="dxa"/>
              <w:end w:w="0pt" w:type="dxa"/>
            </w:tcMar>
            <w:vAlign w:val="bottom"/>
          </w:tcPr>
          <w:p w14:paraId="4FE1257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0B6867F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729,062</w:t>
            </w:r>
          </w:p>
        </w:tc>
        <w:tc>
          <w:tcPr>
            <w:tcW w:w="1.0%" w:type="pct"/>
            <w:tcBorders>
              <w:top w:val="nil"/>
              <w:start w:val="nil"/>
              <w:bottom w:val="nil"/>
              <w:end w:val="nil"/>
            </w:tcBorders>
            <w:shd w:val="clear" w:color="auto" w:fill="FFFFFF"/>
            <w:tcMar>
              <w:top w:w="0pt" w:type="dxa"/>
              <w:end w:w="0pt" w:type="dxa"/>
            </w:tcMar>
            <w:vAlign w:val="bottom"/>
          </w:tcPr>
          <w:p w14:paraId="3F68EE4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78A168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FFFFFF"/>
            <w:tcMar>
              <w:top w:w="0pt" w:type="dxa"/>
              <w:end w:w="0pt" w:type="dxa"/>
            </w:tcMar>
            <w:vAlign w:val="bottom"/>
          </w:tcPr>
          <w:p w14:paraId="478FE34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431,359</w:t>
            </w:r>
          </w:p>
        </w:tc>
        <w:tc>
          <w:tcPr>
            <w:tcW w:w="1.0%" w:type="pct"/>
            <w:tcBorders>
              <w:top w:val="nil"/>
              <w:start w:val="nil"/>
              <w:bottom w:val="nil"/>
              <w:end w:val="nil"/>
            </w:tcBorders>
            <w:shd w:val="clear" w:color="auto" w:fill="FFFFFF"/>
            <w:tcMar>
              <w:top w:w="0pt" w:type="dxa"/>
              <w:end w:w="0pt" w:type="dxa"/>
            </w:tcMar>
            <w:vAlign w:val="bottom"/>
          </w:tcPr>
          <w:p w14:paraId="760E321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19A58C4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F026DE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B3F446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52F3B0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2,067,356</w:t>
            </w:r>
          </w:p>
        </w:tc>
        <w:tc>
          <w:tcPr>
            <w:tcW w:w="1.0%" w:type="pct"/>
            <w:tcBorders>
              <w:top w:val="nil"/>
              <w:start w:val="nil"/>
              <w:bottom w:val="nil"/>
              <w:end w:val="nil"/>
            </w:tcBorders>
            <w:shd w:val="clear" w:color="auto" w:fill="FFFFFF"/>
            <w:tcMar>
              <w:top w:w="0pt" w:type="dxa"/>
              <w:end w:w="0pt" w:type="dxa"/>
            </w:tcMar>
            <w:vAlign w:val="bottom"/>
          </w:tcPr>
          <w:p w14:paraId="5FF8EDD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BC9FB1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FFFFFF"/>
            <w:tcMar>
              <w:top w:w="0pt" w:type="dxa"/>
              <w:end w:w="0pt" w:type="dxa"/>
            </w:tcMar>
            <w:vAlign w:val="bottom"/>
          </w:tcPr>
          <w:p w14:paraId="3EB2B05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1,065,214</w:t>
            </w:r>
          </w:p>
        </w:tc>
        <w:tc>
          <w:tcPr>
            <w:tcW w:w="1.0%" w:type="pct"/>
            <w:tcBorders>
              <w:top w:val="nil"/>
              <w:start w:val="nil"/>
              <w:bottom w:val="nil"/>
              <w:end w:val="nil"/>
            </w:tcBorders>
            <w:shd w:val="clear" w:color="auto" w:fill="FFFFFF"/>
            <w:tcMar>
              <w:top w:w="0pt" w:type="dxa"/>
              <w:end w:w="0pt" w:type="dxa"/>
            </w:tcMar>
            <w:vAlign w:val="bottom"/>
          </w:tcPr>
          <w:p w14:paraId="6823032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C8EAD9A"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0478D35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Depreciation and amortization</w:t>
            </w:r>
          </w:p>
        </w:tc>
        <w:tc>
          <w:tcPr>
            <w:tcW w:w="1.0%" w:type="pct"/>
            <w:tcBorders>
              <w:top w:val="nil"/>
              <w:start w:val="nil"/>
              <w:bottom w:val="nil"/>
              <w:end w:val="nil"/>
            </w:tcBorders>
            <w:shd w:val="clear" w:color="auto" w:fill="CFF0FC"/>
            <w:tcMar>
              <w:top w:w="0pt" w:type="dxa"/>
              <w:end w:w="0pt" w:type="dxa"/>
            </w:tcMar>
            <w:vAlign w:val="bottom"/>
          </w:tcPr>
          <w:p w14:paraId="2A50792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6C4406F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1,068,081</w:t>
            </w:r>
          </w:p>
        </w:tc>
        <w:tc>
          <w:tcPr>
            <w:tcW w:w="1.0%" w:type="pct"/>
            <w:tcBorders>
              <w:top w:val="nil"/>
              <w:start w:val="nil"/>
              <w:bottom w:val="nil"/>
              <w:end w:val="nil"/>
            </w:tcBorders>
            <w:shd w:val="clear" w:color="auto" w:fill="CFF0FC"/>
            <w:tcMar>
              <w:top w:w="0pt" w:type="dxa"/>
              <w:end w:w="0pt" w:type="dxa"/>
            </w:tcMar>
            <w:vAlign w:val="bottom"/>
          </w:tcPr>
          <w:p w14:paraId="08CBDDA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002A0F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CFF0FC"/>
            <w:tcMar>
              <w:top w:w="0pt" w:type="dxa"/>
              <w:end w:w="0pt" w:type="dxa"/>
            </w:tcMar>
            <w:vAlign w:val="bottom"/>
          </w:tcPr>
          <w:p w14:paraId="4FE6DD8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981,419</w:t>
            </w:r>
          </w:p>
        </w:tc>
        <w:tc>
          <w:tcPr>
            <w:tcW w:w="1.0%" w:type="pct"/>
            <w:tcBorders>
              <w:top w:val="nil"/>
              <w:start w:val="nil"/>
              <w:bottom w:val="nil"/>
              <w:end w:val="nil"/>
            </w:tcBorders>
            <w:shd w:val="clear" w:color="auto" w:fill="CFF0FC"/>
            <w:tcMar>
              <w:top w:w="0pt" w:type="dxa"/>
              <w:end w:w="0pt" w:type="dxa"/>
            </w:tcMar>
            <w:vAlign w:val="bottom"/>
          </w:tcPr>
          <w:p w14:paraId="66CD792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73ADC9B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D1FAD8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350AAE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8B8FC7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3,474,918</w:t>
            </w:r>
          </w:p>
        </w:tc>
        <w:tc>
          <w:tcPr>
            <w:tcW w:w="1.0%" w:type="pct"/>
            <w:tcBorders>
              <w:top w:val="nil"/>
              <w:start w:val="nil"/>
              <w:bottom w:val="nil"/>
              <w:end w:val="nil"/>
            </w:tcBorders>
            <w:shd w:val="clear" w:color="auto" w:fill="CFF0FC"/>
            <w:tcMar>
              <w:top w:w="0pt" w:type="dxa"/>
              <w:end w:w="0pt" w:type="dxa"/>
            </w:tcMar>
            <w:vAlign w:val="bottom"/>
          </w:tcPr>
          <w:p w14:paraId="6BBA430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3A9A59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CFF0FC"/>
            <w:tcMar>
              <w:top w:w="0pt" w:type="dxa"/>
              <w:end w:w="0pt" w:type="dxa"/>
            </w:tcMar>
            <w:vAlign w:val="bottom"/>
          </w:tcPr>
          <w:p w14:paraId="7E41F05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2,096,970</w:t>
            </w:r>
          </w:p>
        </w:tc>
        <w:tc>
          <w:tcPr>
            <w:tcW w:w="1.0%" w:type="pct"/>
            <w:tcBorders>
              <w:top w:val="nil"/>
              <w:start w:val="nil"/>
              <w:bottom w:val="nil"/>
              <w:end w:val="nil"/>
            </w:tcBorders>
            <w:shd w:val="clear" w:color="auto" w:fill="CFF0FC"/>
            <w:tcMar>
              <w:top w:w="0pt" w:type="dxa"/>
              <w:end w:w="0pt" w:type="dxa"/>
            </w:tcMar>
            <w:vAlign w:val="bottom"/>
          </w:tcPr>
          <w:p w14:paraId="42AEF23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11A43AD"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18A6B85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Interest expense, net</w:t>
            </w:r>
          </w:p>
        </w:tc>
        <w:tc>
          <w:tcPr>
            <w:tcW w:w="1.0%" w:type="pct"/>
            <w:tcBorders>
              <w:top w:val="nil"/>
              <w:start w:val="nil"/>
              <w:bottom w:val="nil"/>
              <w:end w:val="nil"/>
            </w:tcBorders>
            <w:shd w:val="clear" w:color="auto" w:fill="FFFFFF"/>
            <w:tcMar>
              <w:top w:w="0pt" w:type="dxa"/>
              <w:end w:w="0pt" w:type="dxa"/>
            </w:tcMar>
            <w:vAlign w:val="bottom"/>
          </w:tcPr>
          <w:p w14:paraId="4EFA17A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B6A30C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1,098,608</w:t>
            </w:r>
          </w:p>
        </w:tc>
        <w:tc>
          <w:tcPr>
            <w:tcW w:w="1.0%" w:type="pct"/>
            <w:tcBorders>
              <w:top w:val="nil"/>
              <w:start w:val="nil"/>
              <w:bottom w:val="nil"/>
              <w:end w:val="nil"/>
            </w:tcBorders>
            <w:shd w:val="clear" w:color="auto" w:fill="FFFFFF"/>
            <w:tcMar>
              <w:top w:w="0pt" w:type="dxa"/>
              <w:end w:w="0pt" w:type="dxa"/>
            </w:tcMar>
            <w:vAlign w:val="bottom"/>
          </w:tcPr>
          <w:p w14:paraId="63DEAE6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0D519A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FFFFFF"/>
            <w:tcMar>
              <w:top w:w="0pt" w:type="dxa"/>
              <w:end w:w="0pt" w:type="dxa"/>
            </w:tcMar>
            <w:vAlign w:val="bottom"/>
          </w:tcPr>
          <w:p w14:paraId="3A46080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770,624</w:t>
            </w:r>
          </w:p>
        </w:tc>
        <w:tc>
          <w:tcPr>
            <w:tcW w:w="1.0%" w:type="pct"/>
            <w:tcBorders>
              <w:top w:val="nil"/>
              <w:start w:val="nil"/>
              <w:bottom w:val="nil"/>
              <w:end w:val="nil"/>
            </w:tcBorders>
            <w:shd w:val="clear" w:color="auto" w:fill="FFFFFF"/>
            <w:tcMar>
              <w:top w:w="0pt" w:type="dxa"/>
              <w:end w:w="0pt" w:type="dxa"/>
            </w:tcMar>
            <w:vAlign w:val="bottom"/>
          </w:tcPr>
          <w:p w14:paraId="2BAE4DF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8F174F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21FF93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FA8D7F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B72443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3,142,489</w:t>
            </w:r>
          </w:p>
        </w:tc>
        <w:tc>
          <w:tcPr>
            <w:tcW w:w="1.0%" w:type="pct"/>
            <w:tcBorders>
              <w:top w:val="nil"/>
              <w:start w:val="nil"/>
              <w:bottom w:val="nil"/>
              <w:end w:val="nil"/>
            </w:tcBorders>
            <w:shd w:val="clear" w:color="auto" w:fill="FFFFFF"/>
            <w:tcMar>
              <w:top w:w="0pt" w:type="dxa"/>
              <w:end w:w="0pt" w:type="dxa"/>
            </w:tcMar>
            <w:vAlign w:val="bottom"/>
          </w:tcPr>
          <w:p w14:paraId="19B1081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790471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FFFFFF"/>
            <w:tcMar>
              <w:top w:w="0pt" w:type="dxa"/>
              <w:end w:w="0pt" w:type="dxa"/>
            </w:tcMar>
            <w:vAlign w:val="bottom"/>
          </w:tcPr>
          <w:p w14:paraId="3503933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1,706,585</w:t>
            </w:r>
          </w:p>
        </w:tc>
        <w:tc>
          <w:tcPr>
            <w:tcW w:w="1.0%" w:type="pct"/>
            <w:tcBorders>
              <w:top w:val="nil"/>
              <w:start w:val="nil"/>
              <w:bottom w:val="nil"/>
              <w:end w:val="nil"/>
            </w:tcBorders>
            <w:shd w:val="clear" w:color="auto" w:fill="FFFFFF"/>
            <w:tcMar>
              <w:top w:w="0pt" w:type="dxa"/>
              <w:end w:w="0pt" w:type="dxa"/>
            </w:tcMar>
            <w:vAlign w:val="bottom"/>
          </w:tcPr>
          <w:p w14:paraId="6534AE9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82F0467"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57A30A8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Compensation costs</w:t>
            </w:r>
          </w:p>
        </w:tc>
        <w:tc>
          <w:tcPr>
            <w:tcW w:w="1.0%" w:type="pct"/>
            <w:tcBorders>
              <w:top w:val="nil"/>
              <w:start w:val="nil"/>
              <w:bottom w:val="single" w:sz="4" w:space="0" w:color="000000"/>
              <w:end w:val="nil"/>
            </w:tcBorders>
            <w:shd w:val="clear" w:color="auto" w:fill="CFF0FC"/>
            <w:tcMar>
              <w:top w:w="0pt" w:type="dxa"/>
              <w:end w:w="0pt" w:type="dxa"/>
            </w:tcMar>
            <w:vAlign w:val="bottom"/>
          </w:tcPr>
          <w:p w14:paraId="24D6DBB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61B7E80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296,398</w:t>
            </w:r>
          </w:p>
        </w:tc>
        <w:tc>
          <w:tcPr>
            <w:tcW w:w="1.0%" w:type="pct"/>
            <w:tcBorders>
              <w:top w:val="nil"/>
              <w:start w:val="nil"/>
              <w:bottom w:val="nil"/>
              <w:end w:val="nil"/>
            </w:tcBorders>
            <w:shd w:val="clear" w:color="auto" w:fill="CFF0FC"/>
            <w:tcMar>
              <w:top w:w="0pt" w:type="dxa"/>
              <w:end w:w="0pt" w:type="dxa"/>
            </w:tcMar>
            <w:vAlign w:val="bottom"/>
          </w:tcPr>
          <w:p w14:paraId="674E1C2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3A99FCE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single" w:sz="4" w:space="0" w:color="000000"/>
              <w:end w:val="nil"/>
            </w:tcBorders>
            <w:shd w:val="clear" w:color="auto" w:fill="CFF0FC"/>
            <w:tcMar>
              <w:top w:w="0pt" w:type="dxa"/>
              <w:end w:w="0pt" w:type="dxa"/>
            </w:tcMar>
            <w:vAlign w:val="bottom"/>
          </w:tcPr>
          <w:p w14:paraId="4088C8E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346,196</w:t>
            </w:r>
          </w:p>
        </w:tc>
        <w:tc>
          <w:tcPr>
            <w:tcW w:w="1.0%" w:type="pct"/>
            <w:tcBorders>
              <w:top w:val="nil"/>
              <w:start w:val="nil"/>
              <w:bottom w:val="nil"/>
              <w:end w:val="nil"/>
            </w:tcBorders>
            <w:shd w:val="clear" w:color="auto" w:fill="CFF0FC"/>
            <w:tcMar>
              <w:top w:w="0pt" w:type="dxa"/>
              <w:end w:w="0pt" w:type="dxa"/>
            </w:tcMar>
            <w:vAlign w:val="bottom"/>
          </w:tcPr>
          <w:p w14:paraId="5A8FC6E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CFF0FC"/>
            <w:tcMar>
              <w:top w:w="0pt" w:type="dxa"/>
              <w:end w:w="0pt" w:type="dxa"/>
            </w:tcMar>
            <w:vAlign w:val="bottom"/>
          </w:tcPr>
          <w:p w14:paraId="58CE008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1F723D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3127D9E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60DF867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816,604</w:t>
            </w:r>
          </w:p>
        </w:tc>
        <w:tc>
          <w:tcPr>
            <w:tcW w:w="1.0%" w:type="pct"/>
            <w:tcBorders>
              <w:top w:val="nil"/>
              <w:start w:val="nil"/>
              <w:bottom w:val="nil"/>
              <w:end w:val="nil"/>
            </w:tcBorders>
            <w:shd w:val="clear" w:color="auto" w:fill="CFF0FC"/>
            <w:tcMar>
              <w:top w:w="0pt" w:type="dxa"/>
              <w:end w:w="0pt" w:type="dxa"/>
            </w:tcMar>
            <w:vAlign w:val="bottom"/>
          </w:tcPr>
          <w:p w14:paraId="7A35DC9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7F5B8B0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single" w:sz="4" w:space="0" w:color="000000"/>
              <w:end w:val="nil"/>
            </w:tcBorders>
            <w:shd w:val="clear" w:color="auto" w:fill="CFF0FC"/>
            <w:tcMar>
              <w:top w:w="0pt" w:type="dxa"/>
              <w:end w:w="0pt" w:type="dxa"/>
            </w:tcMar>
            <w:vAlign w:val="bottom"/>
          </w:tcPr>
          <w:p w14:paraId="75F0879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980,202</w:t>
            </w:r>
          </w:p>
        </w:tc>
        <w:tc>
          <w:tcPr>
            <w:tcW w:w="1.0%" w:type="pct"/>
            <w:tcBorders>
              <w:top w:val="nil"/>
              <w:start w:val="nil"/>
              <w:bottom w:val="nil"/>
              <w:end w:val="nil"/>
            </w:tcBorders>
            <w:shd w:val="clear" w:color="auto" w:fill="CFF0FC"/>
            <w:tcMar>
              <w:top w:w="0pt" w:type="dxa"/>
              <w:end w:w="0pt" w:type="dxa"/>
            </w:tcMar>
            <w:vAlign w:val="bottom"/>
          </w:tcPr>
          <w:p w14:paraId="278EB12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6ABE327F"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2EC8B81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Total expenses</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54B079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0A6E553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3,769,714</w:t>
            </w:r>
          </w:p>
        </w:tc>
        <w:tc>
          <w:tcPr>
            <w:tcW w:w="1.0%" w:type="pct"/>
            <w:tcBorders>
              <w:top w:val="nil"/>
              <w:start w:val="nil"/>
              <w:bottom w:val="nil"/>
              <w:end w:val="nil"/>
            </w:tcBorders>
            <w:shd w:val="clear" w:color="auto" w:fill="FFFFFF"/>
            <w:tcMar>
              <w:top w:w="0pt" w:type="dxa"/>
              <w:end w:w="0pt" w:type="dxa"/>
            </w:tcMar>
            <w:vAlign w:val="bottom"/>
          </w:tcPr>
          <w:p w14:paraId="45C8DFE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4642531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single" w:sz="4" w:space="0" w:color="000000"/>
              <w:start w:val="nil"/>
              <w:bottom w:val="single" w:sz="4" w:space="0" w:color="000000"/>
              <w:end w:val="nil"/>
            </w:tcBorders>
            <w:shd w:val="clear" w:color="auto" w:fill="FFFFFF"/>
            <w:tcMar>
              <w:top w:w="0pt" w:type="dxa"/>
              <w:end w:w="0pt" w:type="dxa"/>
            </w:tcMar>
            <w:vAlign w:val="bottom"/>
          </w:tcPr>
          <w:p w14:paraId="797B9A8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3,060,136</w:t>
            </w:r>
          </w:p>
        </w:tc>
        <w:tc>
          <w:tcPr>
            <w:tcW w:w="1.0%" w:type="pct"/>
            <w:tcBorders>
              <w:top w:val="nil"/>
              <w:start w:val="nil"/>
              <w:bottom w:val="nil"/>
              <w:end w:val="nil"/>
            </w:tcBorders>
            <w:shd w:val="clear" w:color="auto" w:fill="FFFFFF"/>
            <w:tcMar>
              <w:top w:w="0pt" w:type="dxa"/>
              <w:end w:w="0pt" w:type="dxa"/>
            </w:tcMar>
            <w:vAlign w:val="bottom"/>
          </w:tcPr>
          <w:p w14:paraId="15E5590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1A95762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72E18AE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5199D11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14F7939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78E4A8D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11,133,385</w:t>
            </w:r>
          </w:p>
        </w:tc>
        <w:tc>
          <w:tcPr>
            <w:tcW w:w="1.0%" w:type="pct"/>
            <w:tcBorders>
              <w:top w:val="nil"/>
              <w:start w:val="nil"/>
              <w:bottom w:val="nil"/>
              <w:end w:val="nil"/>
            </w:tcBorders>
            <w:shd w:val="clear" w:color="auto" w:fill="FFFFFF"/>
            <w:tcMar>
              <w:top w:w="0pt" w:type="dxa"/>
              <w:end w:w="0pt" w:type="dxa"/>
            </w:tcMar>
            <w:vAlign w:val="bottom"/>
          </w:tcPr>
          <w:p w14:paraId="772F374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9683E3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single" w:sz="4" w:space="0" w:color="000000"/>
              <w:start w:val="nil"/>
              <w:bottom w:val="single" w:sz="4" w:space="0" w:color="000000"/>
              <w:end w:val="nil"/>
            </w:tcBorders>
            <w:shd w:val="clear" w:color="auto" w:fill="FFFFFF"/>
            <w:tcMar>
              <w:top w:w="0pt" w:type="dxa"/>
              <w:end w:w="0pt" w:type="dxa"/>
            </w:tcMar>
            <w:vAlign w:val="bottom"/>
          </w:tcPr>
          <w:p w14:paraId="5F26957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7,082,645</w:t>
            </w:r>
          </w:p>
        </w:tc>
        <w:tc>
          <w:tcPr>
            <w:tcW w:w="1.0%" w:type="pct"/>
            <w:tcBorders>
              <w:top w:val="nil"/>
              <w:start w:val="nil"/>
              <w:bottom w:val="nil"/>
              <w:end w:val="nil"/>
            </w:tcBorders>
            <w:shd w:val="clear" w:color="auto" w:fill="FFFFFF"/>
            <w:tcMar>
              <w:top w:w="0pt" w:type="dxa"/>
              <w:end w:w="0pt" w:type="dxa"/>
            </w:tcMar>
            <w:vAlign w:val="bottom"/>
          </w:tcPr>
          <w:p w14:paraId="66411B3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CB5D2D3"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1DA4155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Operating loss</w:t>
            </w:r>
          </w:p>
        </w:tc>
        <w:tc>
          <w:tcPr>
            <w:tcW w:w="1.0%" w:type="pct"/>
            <w:tcBorders>
              <w:top w:val="single" w:sz="4" w:space="0" w:color="000000"/>
              <w:start w:val="nil"/>
              <w:bottom w:val="nil"/>
              <w:end w:val="nil"/>
            </w:tcBorders>
            <w:shd w:val="clear" w:color="auto" w:fill="CFF0FC"/>
            <w:tcMar>
              <w:top w:w="0pt" w:type="dxa"/>
              <w:end w:w="0pt" w:type="dxa"/>
            </w:tcMar>
            <w:vAlign w:val="bottom"/>
          </w:tcPr>
          <w:p w14:paraId="3AD3975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single" w:sz="4" w:space="0" w:color="000000"/>
              <w:start w:val="nil"/>
              <w:bottom w:val="nil"/>
              <w:end w:val="nil"/>
            </w:tcBorders>
            <w:shd w:val="clear" w:color="auto" w:fill="CFF0FC"/>
            <w:tcMar>
              <w:top w:w="0pt" w:type="dxa"/>
              <w:end w:w="0pt" w:type="dxa"/>
            </w:tcMar>
            <w:vAlign w:val="bottom"/>
          </w:tcPr>
          <w:p w14:paraId="62613A7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(1,369,432</w:t>
            </w:r>
          </w:p>
        </w:tc>
        <w:tc>
          <w:tcPr>
            <w:tcW w:w="1.0%" w:type="pct"/>
            <w:tcBorders>
              <w:top w:val="nil"/>
              <w:start w:val="nil"/>
              <w:bottom w:val="nil"/>
              <w:end w:val="nil"/>
            </w:tcBorders>
            <w:shd w:val="clear" w:color="auto" w:fill="CFF0FC"/>
            <w:tcMar>
              <w:top w:w="0pt" w:type="dxa"/>
              <w:end w:w="0pt" w:type="dxa"/>
            </w:tcMar>
            <w:vAlign w:val="bottom"/>
          </w:tcPr>
          <w:p w14:paraId="470DF0D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7CDCD4E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single" w:sz="4" w:space="0" w:color="000000"/>
              <w:start w:val="nil"/>
              <w:bottom w:val="nil"/>
              <w:end w:val="nil"/>
            </w:tcBorders>
            <w:shd w:val="clear" w:color="auto" w:fill="CFF0FC"/>
            <w:tcMar>
              <w:top w:w="0pt" w:type="dxa"/>
              <w:end w:w="0pt" w:type="dxa"/>
            </w:tcMar>
            <w:vAlign w:val="bottom"/>
          </w:tcPr>
          <w:p w14:paraId="3EE14EC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(1,215,988</w:t>
            </w:r>
          </w:p>
        </w:tc>
        <w:tc>
          <w:tcPr>
            <w:tcW w:w="1.0%" w:type="pct"/>
            <w:tcBorders>
              <w:top w:val="nil"/>
              <w:start w:val="nil"/>
              <w:bottom w:val="nil"/>
              <w:end w:val="nil"/>
            </w:tcBorders>
            <w:shd w:val="clear" w:color="auto" w:fill="CFF0FC"/>
            <w:tcMar>
              <w:top w:w="0pt" w:type="dxa"/>
              <w:end w:w="0pt" w:type="dxa"/>
            </w:tcMar>
            <w:vAlign w:val="bottom"/>
          </w:tcPr>
          <w:p w14:paraId="6497270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15C19E2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CFF0FC"/>
            <w:tcMar>
              <w:top w:w="0pt" w:type="dxa"/>
              <w:end w:w="0pt" w:type="dxa"/>
            </w:tcMar>
            <w:vAlign w:val="bottom"/>
          </w:tcPr>
          <w:p w14:paraId="3FDDDB4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D31C56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nil"/>
              <w:end w:val="nil"/>
            </w:tcBorders>
            <w:shd w:val="clear" w:color="auto" w:fill="CFF0FC"/>
            <w:tcMar>
              <w:top w:w="0pt" w:type="dxa"/>
              <w:end w:w="0pt" w:type="dxa"/>
            </w:tcMar>
            <w:vAlign w:val="bottom"/>
          </w:tcPr>
          <w:p w14:paraId="396DCF8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single" w:sz="4" w:space="0" w:color="000000"/>
              <w:start w:val="nil"/>
              <w:bottom w:val="nil"/>
              <w:end w:val="nil"/>
            </w:tcBorders>
            <w:shd w:val="clear" w:color="auto" w:fill="CFF0FC"/>
            <w:tcMar>
              <w:top w:w="0pt" w:type="dxa"/>
              <w:end w:w="0pt" w:type="dxa"/>
            </w:tcMar>
            <w:vAlign w:val="bottom"/>
          </w:tcPr>
          <w:p w14:paraId="44BEB40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(4,040,695</w:t>
            </w:r>
          </w:p>
        </w:tc>
        <w:tc>
          <w:tcPr>
            <w:tcW w:w="1.0%" w:type="pct"/>
            <w:tcBorders>
              <w:top w:val="nil"/>
              <w:start w:val="nil"/>
              <w:bottom w:val="nil"/>
              <w:end w:val="nil"/>
            </w:tcBorders>
            <w:shd w:val="clear" w:color="auto" w:fill="CFF0FC"/>
            <w:tcMar>
              <w:top w:w="0pt" w:type="dxa"/>
              <w:end w:w="0pt" w:type="dxa"/>
            </w:tcMar>
            <w:vAlign w:val="bottom"/>
          </w:tcPr>
          <w:p w14:paraId="630E19EE"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2F05BD0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single" w:sz="4" w:space="0" w:color="000000"/>
              <w:start w:val="nil"/>
              <w:bottom w:val="nil"/>
              <w:end w:val="nil"/>
            </w:tcBorders>
            <w:shd w:val="clear" w:color="auto" w:fill="CFF0FC"/>
            <w:tcMar>
              <w:top w:w="0pt" w:type="dxa"/>
              <w:end w:w="0pt" w:type="dxa"/>
            </w:tcMar>
            <w:vAlign w:val="bottom"/>
          </w:tcPr>
          <w:p w14:paraId="0A3212F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(2,572,580</w:t>
            </w:r>
          </w:p>
        </w:tc>
        <w:tc>
          <w:tcPr>
            <w:tcW w:w="1.0%" w:type="pct"/>
            <w:tcBorders>
              <w:top w:val="nil"/>
              <w:start w:val="nil"/>
              <w:bottom w:val="nil"/>
              <w:end w:val="nil"/>
            </w:tcBorders>
            <w:shd w:val="clear" w:color="auto" w:fill="CFF0FC"/>
            <w:tcMar>
              <w:top w:w="0pt" w:type="dxa"/>
              <w:end w:w="0pt" w:type="dxa"/>
            </w:tcMar>
            <w:vAlign w:val="bottom"/>
          </w:tcPr>
          <w:p w14:paraId="3E0E112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r w:rsidR="0086099C" w14:paraId="2FEB696F"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2665BC9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Other expense</w:t>
            </w:r>
          </w:p>
        </w:tc>
        <w:tc>
          <w:tcPr>
            <w:tcW w:w="1.0%" w:type="pct"/>
            <w:tcBorders>
              <w:top w:val="nil"/>
              <w:start w:val="nil"/>
              <w:bottom w:val="nil"/>
              <w:end w:val="nil"/>
            </w:tcBorders>
            <w:shd w:val="clear" w:color="auto" w:fill="FFFFFF"/>
            <w:tcMar>
              <w:top w:w="0pt" w:type="dxa"/>
              <w:end w:w="0pt" w:type="dxa"/>
            </w:tcMar>
            <w:vAlign w:val="bottom"/>
          </w:tcPr>
          <w:p w14:paraId="280017A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26989A7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769B80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DC6536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FFFFFF"/>
            <w:tcMar>
              <w:top w:w="0pt" w:type="dxa"/>
              <w:end w:w="0pt" w:type="dxa"/>
            </w:tcMar>
            <w:vAlign w:val="bottom"/>
          </w:tcPr>
          <w:p w14:paraId="7C7AE60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(639</w:t>
            </w:r>
          </w:p>
        </w:tc>
        <w:tc>
          <w:tcPr>
            <w:tcW w:w="1.0%" w:type="pct"/>
            <w:tcBorders>
              <w:top w:val="nil"/>
              <w:start w:val="nil"/>
              <w:bottom w:val="nil"/>
              <w:end w:val="nil"/>
            </w:tcBorders>
            <w:shd w:val="clear" w:color="auto" w:fill="FFFFFF"/>
            <w:tcMar>
              <w:top w:w="0pt" w:type="dxa"/>
              <w:end w:w="0pt" w:type="dxa"/>
            </w:tcMar>
            <w:vAlign w:val="bottom"/>
          </w:tcPr>
          <w:p w14:paraId="11D81A5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0pt" w:type="dxa"/>
            <w:gridSpan w:val="2"/>
            <w:tcBorders>
              <w:top w:val="nil"/>
              <w:start w:val="nil"/>
              <w:bottom w:val="nil"/>
              <w:end w:val="nil"/>
            </w:tcBorders>
            <w:shd w:val="clear" w:color="auto" w:fill="FFFFFF"/>
            <w:tcMar>
              <w:top w:w="0pt" w:type="dxa"/>
              <w:end w:w="0pt" w:type="dxa"/>
            </w:tcMar>
            <w:vAlign w:val="bottom"/>
          </w:tcPr>
          <w:p w14:paraId="2A77A6D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B477BA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05F02A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27F5330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04B3918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7E19BE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FFFFFF"/>
            <w:tcMar>
              <w:top w:w="0pt" w:type="dxa"/>
              <w:end w:w="0pt" w:type="dxa"/>
            </w:tcMar>
            <w:vAlign w:val="bottom"/>
          </w:tcPr>
          <w:p w14:paraId="2528281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(506,639</w:t>
            </w:r>
          </w:p>
        </w:tc>
        <w:tc>
          <w:tcPr>
            <w:tcW w:w="1.0%" w:type="pct"/>
            <w:tcBorders>
              <w:top w:val="nil"/>
              <w:start w:val="nil"/>
              <w:bottom w:val="nil"/>
              <w:end w:val="nil"/>
            </w:tcBorders>
            <w:shd w:val="clear" w:color="auto" w:fill="FFFFFF"/>
            <w:tcMar>
              <w:top w:w="0pt" w:type="dxa"/>
              <w:end w:w="0pt" w:type="dxa"/>
            </w:tcMar>
            <w:vAlign w:val="bottom"/>
          </w:tcPr>
          <w:p w14:paraId="1097F05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r w:rsidR="0086099C" w14:paraId="7E6FC7E4"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75389386"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Gain on derivative valuation, net</w:t>
            </w:r>
          </w:p>
        </w:tc>
        <w:tc>
          <w:tcPr>
            <w:tcW w:w="1.0%" w:type="pct"/>
            <w:tcBorders>
              <w:top w:val="nil"/>
              <w:start w:val="nil"/>
              <w:bottom w:val="nil"/>
              <w:end w:val="nil"/>
            </w:tcBorders>
            <w:shd w:val="clear" w:color="auto" w:fill="CFF0FC"/>
            <w:tcMar>
              <w:top w:w="0pt" w:type="dxa"/>
              <w:end w:w="0pt" w:type="dxa"/>
            </w:tcMar>
            <w:vAlign w:val="bottom"/>
          </w:tcPr>
          <w:p w14:paraId="1680717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588DD0C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(734,116</w:t>
            </w:r>
          </w:p>
        </w:tc>
        <w:tc>
          <w:tcPr>
            <w:tcW w:w="1.0%" w:type="pct"/>
            <w:tcBorders>
              <w:top w:val="nil"/>
              <w:start w:val="nil"/>
              <w:bottom w:val="nil"/>
              <w:end w:val="nil"/>
            </w:tcBorders>
            <w:shd w:val="clear" w:color="auto" w:fill="CFF0FC"/>
            <w:tcMar>
              <w:top w:w="0pt" w:type="dxa"/>
              <w:end w:w="0pt" w:type="dxa"/>
            </w:tcMar>
            <w:vAlign w:val="bottom"/>
          </w:tcPr>
          <w:p w14:paraId="538E2C8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04EAAD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CFF0FC"/>
            <w:tcMar>
              <w:top w:w="0pt" w:type="dxa"/>
              <w:end w:w="0pt" w:type="dxa"/>
            </w:tcMar>
            <w:vAlign w:val="bottom"/>
          </w:tcPr>
          <w:p w14:paraId="34FC6FE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535E493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632C6BD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A3230A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28097A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A46FBF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(308,570</w:t>
            </w:r>
          </w:p>
        </w:tc>
        <w:tc>
          <w:tcPr>
            <w:tcW w:w="1.0%" w:type="pct"/>
            <w:tcBorders>
              <w:top w:val="nil"/>
              <w:start w:val="nil"/>
              <w:bottom w:val="nil"/>
              <w:end w:val="nil"/>
            </w:tcBorders>
            <w:shd w:val="clear" w:color="auto" w:fill="CFF0FC"/>
            <w:tcMar>
              <w:top w:w="0pt" w:type="dxa"/>
              <w:end w:w="0pt" w:type="dxa"/>
            </w:tcMar>
            <w:vAlign w:val="bottom"/>
          </w:tcPr>
          <w:p w14:paraId="603C4CA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045679E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CFF0FC"/>
            <w:tcMar>
              <w:top w:w="0pt" w:type="dxa"/>
              <w:end w:w="0pt" w:type="dxa"/>
            </w:tcMar>
            <w:vAlign w:val="bottom"/>
          </w:tcPr>
          <w:p w14:paraId="048FE38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F18332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381B995"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21547CC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Income on investment in tenancy-in-common</w:t>
            </w:r>
          </w:p>
        </w:tc>
        <w:tc>
          <w:tcPr>
            <w:tcW w:w="1.0%" w:type="pct"/>
            <w:tcBorders>
              <w:top w:val="nil"/>
              <w:start w:val="nil"/>
              <w:bottom w:val="nil"/>
              <w:end w:val="nil"/>
            </w:tcBorders>
            <w:shd w:val="clear" w:color="auto" w:fill="FFFFFF"/>
            <w:tcMar>
              <w:top w:w="0pt" w:type="dxa"/>
              <w:end w:w="0pt" w:type="dxa"/>
            </w:tcMar>
            <w:vAlign w:val="bottom"/>
          </w:tcPr>
          <w:p w14:paraId="4143970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59053B2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38BC65E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E9DEAA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FFFFFF"/>
            <w:tcMar>
              <w:top w:w="0pt" w:type="dxa"/>
              <w:end w:w="0pt" w:type="dxa"/>
            </w:tcMar>
            <w:vAlign w:val="bottom"/>
          </w:tcPr>
          <w:p w14:paraId="7B3F775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3,362</w:t>
            </w:r>
          </w:p>
        </w:tc>
        <w:tc>
          <w:tcPr>
            <w:tcW w:w="1.0%" w:type="pct"/>
            <w:tcBorders>
              <w:top w:val="nil"/>
              <w:start w:val="nil"/>
              <w:bottom w:val="nil"/>
              <w:end w:val="nil"/>
            </w:tcBorders>
            <w:shd w:val="clear" w:color="auto" w:fill="FFFFFF"/>
            <w:tcMar>
              <w:top w:w="0pt" w:type="dxa"/>
              <w:end w:w="0pt" w:type="dxa"/>
            </w:tcMar>
            <w:vAlign w:val="bottom"/>
          </w:tcPr>
          <w:p w14:paraId="4CD2DFD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0E1DF4C"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440363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E6B7F2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CFA632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5CBA6A1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683F01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FFFFFF"/>
            <w:tcMar>
              <w:top w:w="0pt" w:type="dxa"/>
              <w:end w:w="0pt" w:type="dxa"/>
            </w:tcMar>
            <w:vAlign w:val="bottom"/>
          </w:tcPr>
          <w:p w14:paraId="3E9F252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32,773</w:t>
            </w:r>
          </w:p>
        </w:tc>
        <w:tc>
          <w:tcPr>
            <w:tcW w:w="1.0%" w:type="pct"/>
            <w:tcBorders>
              <w:top w:val="nil"/>
              <w:start w:val="nil"/>
              <w:bottom w:val="nil"/>
              <w:end w:val="nil"/>
            </w:tcBorders>
            <w:shd w:val="clear" w:color="auto" w:fill="FFFFFF"/>
            <w:tcMar>
              <w:top w:w="0pt" w:type="dxa"/>
              <w:end w:w="0pt" w:type="dxa"/>
            </w:tcMar>
            <w:vAlign w:val="bottom"/>
          </w:tcPr>
          <w:p w14:paraId="7A61583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60B11F1"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22B931D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Dead deal expense</w:t>
            </w:r>
          </w:p>
        </w:tc>
        <w:tc>
          <w:tcPr>
            <w:tcW w:w="1.0%" w:type="pct"/>
            <w:tcBorders>
              <w:top w:val="nil"/>
              <w:start w:val="nil"/>
              <w:bottom w:val="nil"/>
              <w:end w:val="nil"/>
            </w:tcBorders>
            <w:shd w:val="clear" w:color="auto" w:fill="CFF0FC"/>
            <w:tcMar>
              <w:top w:w="0pt" w:type="dxa"/>
              <w:end w:w="0pt" w:type="dxa"/>
            </w:tcMar>
            <w:vAlign w:val="bottom"/>
          </w:tcPr>
          <w:p w14:paraId="35B8EA9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120D015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7F8656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F58011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CFF0FC"/>
            <w:tcMar>
              <w:top w:w="0pt" w:type="dxa"/>
              <w:end w:w="0pt" w:type="dxa"/>
            </w:tcMar>
            <w:vAlign w:val="bottom"/>
          </w:tcPr>
          <w:p w14:paraId="5E2F41F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5602CD2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4484B63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24E670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4D2EFE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2B4A368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(35,873</w:t>
            </w:r>
          </w:p>
        </w:tc>
        <w:tc>
          <w:tcPr>
            <w:tcW w:w="1.0%" w:type="pct"/>
            <w:tcBorders>
              <w:top w:val="nil"/>
              <w:start w:val="nil"/>
              <w:bottom w:val="nil"/>
              <w:end w:val="nil"/>
            </w:tcBorders>
            <w:shd w:val="clear" w:color="auto" w:fill="CFF0FC"/>
            <w:tcMar>
              <w:top w:w="0pt" w:type="dxa"/>
              <w:end w:w="0pt" w:type="dxa"/>
            </w:tcMar>
            <w:vAlign w:val="bottom"/>
          </w:tcPr>
          <w:p w14:paraId="591AA91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6ED4CAB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CFF0FC"/>
            <w:tcMar>
              <w:top w:w="0pt" w:type="dxa"/>
              <w:end w:w="0pt" w:type="dxa"/>
            </w:tcMar>
            <w:vAlign w:val="bottom"/>
          </w:tcPr>
          <w:p w14:paraId="7471AAA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(109,569</w:t>
            </w:r>
          </w:p>
        </w:tc>
        <w:tc>
          <w:tcPr>
            <w:tcW w:w="1.0%" w:type="pct"/>
            <w:tcBorders>
              <w:top w:val="nil"/>
              <w:start w:val="nil"/>
              <w:bottom w:val="nil"/>
              <w:end w:val="nil"/>
            </w:tcBorders>
            <w:shd w:val="clear" w:color="auto" w:fill="CFF0FC"/>
            <w:tcMar>
              <w:top w:w="0pt" w:type="dxa"/>
              <w:end w:w="0pt" w:type="dxa"/>
            </w:tcMar>
            <w:vAlign w:val="bottom"/>
          </w:tcPr>
          <w:p w14:paraId="47AC3F7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r w:rsidR="0086099C" w14:paraId="471B3952"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61BC2B5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Loss on held for sale valuation</w:t>
            </w:r>
          </w:p>
        </w:tc>
        <w:tc>
          <w:tcPr>
            <w:tcW w:w="1.0%" w:type="pct"/>
            <w:tcBorders>
              <w:top w:val="nil"/>
              <w:start w:val="nil"/>
              <w:bottom w:val="single" w:sz="4" w:space="0" w:color="000000"/>
              <w:end w:val="nil"/>
            </w:tcBorders>
            <w:shd w:val="clear" w:color="auto" w:fill="FFFFFF"/>
            <w:tcMar>
              <w:top w:w="0pt" w:type="dxa"/>
              <w:end w:w="0pt" w:type="dxa"/>
            </w:tcMar>
            <w:vAlign w:val="bottom"/>
          </w:tcPr>
          <w:p w14:paraId="0AD835F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239B6B3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1C6D346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24807DA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single" w:sz="4" w:space="0" w:color="000000"/>
              <w:end w:val="nil"/>
            </w:tcBorders>
            <w:shd w:val="clear" w:color="auto" w:fill="FFFFFF"/>
            <w:tcMar>
              <w:top w:w="0pt" w:type="dxa"/>
              <w:end w:w="0pt" w:type="dxa"/>
            </w:tcMar>
            <w:vAlign w:val="bottom"/>
          </w:tcPr>
          <w:p w14:paraId="706163E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6341A46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684BD77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095828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42BCC1B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5E60796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(1,058,994</w:t>
            </w:r>
          </w:p>
        </w:tc>
        <w:tc>
          <w:tcPr>
            <w:tcW w:w="1.0%" w:type="pct"/>
            <w:tcBorders>
              <w:top w:val="nil"/>
              <w:start w:val="nil"/>
              <w:bottom w:val="nil"/>
              <w:end w:val="nil"/>
            </w:tcBorders>
            <w:shd w:val="clear" w:color="auto" w:fill="FFFFFF"/>
            <w:tcMar>
              <w:top w:w="0pt" w:type="dxa"/>
              <w:end w:w="0pt" w:type="dxa"/>
            </w:tcMar>
            <w:vAlign w:val="bottom"/>
          </w:tcPr>
          <w:p w14:paraId="361F0C50"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single" w:sz="4" w:space="0" w:color="000000"/>
              <w:end w:val="nil"/>
            </w:tcBorders>
            <w:shd w:val="clear" w:color="auto" w:fill="FFFFFF"/>
            <w:tcMar>
              <w:top w:w="0pt" w:type="dxa"/>
              <w:end w:w="0pt" w:type="dxa"/>
            </w:tcMar>
            <w:vAlign w:val="bottom"/>
          </w:tcPr>
          <w:p w14:paraId="6028180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single" w:sz="4" w:space="0" w:color="000000"/>
              <w:end w:val="nil"/>
            </w:tcBorders>
            <w:shd w:val="clear" w:color="auto" w:fill="FFFFFF"/>
            <w:tcMar>
              <w:top w:w="0pt" w:type="dxa"/>
              <w:end w:w="0pt" w:type="dxa"/>
            </w:tcMar>
            <w:vAlign w:val="bottom"/>
          </w:tcPr>
          <w:p w14:paraId="7D2DA80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5B93907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033D95C"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7A72C8D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208EE57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2505396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(2,103,548</w:t>
            </w:r>
          </w:p>
        </w:tc>
        <w:tc>
          <w:tcPr>
            <w:tcW w:w="1.0%" w:type="pct"/>
            <w:tcBorders>
              <w:top w:val="nil"/>
              <w:start w:val="nil"/>
              <w:bottom w:val="nil"/>
              <w:end w:val="nil"/>
            </w:tcBorders>
            <w:shd w:val="clear" w:color="auto" w:fill="CFF0FC"/>
            <w:tcMar>
              <w:top w:w="0pt" w:type="dxa"/>
              <w:end w:w="0pt" w:type="dxa"/>
            </w:tcMar>
            <w:vAlign w:val="bottom"/>
          </w:tcPr>
          <w:p w14:paraId="547903D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194D82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1.0%" w:type="pct"/>
            <w:tcBorders>
              <w:top w:val="single" w:sz="4" w:space="0" w:color="000000"/>
              <w:start w:val="nil"/>
              <w:bottom w:val="double" w:sz="6" w:space="0" w:color="000000"/>
              <w:end w:val="nil"/>
            </w:tcBorders>
            <w:shd w:val="clear" w:color="auto" w:fill="CFF0FC"/>
            <w:tcMar>
              <w:top w:w="0pt" w:type="dxa"/>
              <w:end w:w="0pt" w:type="dxa"/>
            </w:tcMar>
            <w:vAlign w:val="bottom"/>
          </w:tcPr>
          <w:p w14:paraId="0635E90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(1,213,265</w:t>
            </w:r>
          </w:p>
        </w:tc>
        <w:tc>
          <w:tcPr>
            <w:tcW w:w="1.0%" w:type="pct"/>
            <w:tcBorders>
              <w:top w:val="nil"/>
              <w:start w:val="nil"/>
              <w:bottom w:val="nil"/>
              <w:end w:val="nil"/>
            </w:tcBorders>
            <w:shd w:val="clear" w:color="auto" w:fill="CFF0FC"/>
            <w:tcMar>
              <w:top w:w="0pt" w:type="dxa"/>
              <w:end w:w="0pt" w:type="dxa"/>
            </w:tcMar>
            <w:vAlign w:val="bottom"/>
          </w:tcPr>
          <w:p w14:paraId="5D3876B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5A305DB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C89327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0662D7E8"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1901816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69CD0C26"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(5,444,132</w:t>
            </w:r>
          </w:p>
        </w:tc>
        <w:tc>
          <w:tcPr>
            <w:tcW w:w="1.0%" w:type="pct"/>
            <w:tcBorders>
              <w:top w:val="nil"/>
              <w:start w:val="nil"/>
              <w:bottom w:val="nil"/>
              <w:end w:val="nil"/>
            </w:tcBorders>
            <w:shd w:val="clear" w:color="auto" w:fill="CFF0FC"/>
            <w:tcMar>
              <w:top w:w="0pt" w:type="dxa"/>
              <w:end w:w="0pt" w:type="dxa"/>
            </w:tcMar>
            <w:vAlign w:val="bottom"/>
          </w:tcPr>
          <w:p w14:paraId="7A580A8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1E99FA5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2.0%" w:type="pct"/>
            <w:tcBorders>
              <w:top w:val="single" w:sz="4" w:space="0" w:color="000000"/>
              <w:start w:val="nil"/>
              <w:bottom w:val="double" w:sz="6" w:space="0" w:color="000000"/>
              <w:end w:val="nil"/>
            </w:tcBorders>
            <w:shd w:val="clear" w:color="auto" w:fill="CFF0FC"/>
            <w:tcMar>
              <w:top w:w="0pt" w:type="dxa"/>
              <w:end w:w="0pt" w:type="dxa"/>
            </w:tcMar>
            <w:vAlign w:val="bottom"/>
          </w:tcPr>
          <w:p w14:paraId="1425FF7A"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(3,156,015</w:t>
            </w:r>
          </w:p>
        </w:tc>
        <w:tc>
          <w:tcPr>
            <w:tcW w:w="1.0%" w:type="pct"/>
            <w:tcBorders>
              <w:top w:val="nil"/>
              <w:start w:val="nil"/>
              <w:bottom w:val="nil"/>
              <w:end w:val="nil"/>
            </w:tcBorders>
            <w:shd w:val="clear" w:color="auto" w:fill="CFF0FC"/>
            <w:tcMar>
              <w:top w:w="0pt" w:type="dxa"/>
              <w:end w:w="0pt" w:type="dxa"/>
            </w:tcMar>
            <w:vAlign w:val="bottom"/>
          </w:tcPr>
          <w:p w14:paraId="10C6A85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517ECA59"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50265F29"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Less: Net income attributable to non-controlling interests</w:t>
            </w: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6B1D7F5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double" w:sz="6" w:space="0" w:color="000000"/>
              <w:start w:val="nil"/>
              <w:bottom w:val="single" w:sz="4" w:space="0" w:color="000000"/>
              <w:end w:val="nil"/>
            </w:tcBorders>
            <w:shd w:val="clear" w:color="auto" w:fill="FFFFFF"/>
            <w:tcMar>
              <w:top w:w="0pt" w:type="dxa"/>
              <w:end w:w="0pt" w:type="dxa"/>
            </w:tcMar>
            <w:vAlign w:val="bottom"/>
          </w:tcPr>
          <w:p w14:paraId="65AADF1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866,047</w:t>
            </w:r>
          </w:p>
        </w:tc>
        <w:tc>
          <w:tcPr>
            <w:tcW w:w="1.0%" w:type="pct"/>
            <w:tcBorders>
              <w:top w:val="nil"/>
              <w:start w:val="nil"/>
              <w:bottom w:val="nil"/>
              <w:end w:val="nil"/>
            </w:tcBorders>
            <w:shd w:val="clear" w:color="auto" w:fill="FFFFFF"/>
            <w:tcMar>
              <w:top w:w="0pt" w:type="dxa"/>
              <w:end w:w="0pt" w:type="dxa"/>
            </w:tcMar>
            <w:vAlign w:val="bottom"/>
          </w:tcPr>
          <w:p w14:paraId="673DF8F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4F859DC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1.0%" w:type="pct"/>
            <w:tcBorders>
              <w:top w:val="double" w:sz="6" w:space="0" w:color="000000"/>
              <w:start w:val="nil"/>
              <w:bottom w:val="single" w:sz="4" w:space="0" w:color="000000"/>
              <w:end w:val="nil"/>
            </w:tcBorders>
            <w:shd w:val="clear" w:color="auto" w:fill="FFFFFF"/>
            <w:tcMar>
              <w:top w:w="0pt" w:type="dxa"/>
              <w:end w:w="0pt" w:type="dxa"/>
            </w:tcMar>
            <w:vAlign w:val="bottom"/>
          </w:tcPr>
          <w:p w14:paraId="5402F16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425,637</w:t>
            </w:r>
          </w:p>
        </w:tc>
        <w:tc>
          <w:tcPr>
            <w:tcW w:w="1.0%" w:type="pct"/>
            <w:tcBorders>
              <w:top w:val="nil"/>
              <w:start w:val="nil"/>
              <w:bottom w:val="nil"/>
              <w:end w:val="nil"/>
            </w:tcBorders>
            <w:shd w:val="clear" w:color="auto" w:fill="FFFFFF"/>
            <w:tcMar>
              <w:top w:w="0pt" w:type="dxa"/>
              <w:end w:w="0pt" w:type="dxa"/>
            </w:tcMar>
            <w:vAlign w:val="bottom"/>
          </w:tcPr>
          <w:p w14:paraId="0FF2C30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6F316EA9"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566F384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03CF422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4128BE4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double" w:sz="6" w:space="0" w:color="000000"/>
              <w:start w:val="nil"/>
              <w:bottom w:val="single" w:sz="4" w:space="0" w:color="000000"/>
              <w:end w:val="nil"/>
            </w:tcBorders>
            <w:shd w:val="clear" w:color="auto" w:fill="FFFFFF"/>
            <w:tcMar>
              <w:top w:w="0pt" w:type="dxa"/>
              <w:end w:w="0pt" w:type="dxa"/>
            </w:tcMar>
            <w:vAlign w:val="bottom"/>
          </w:tcPr>
          <w:p w14:paraId="5317D4C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2,612,405</w:t>
            </w:r>
          </w:p>
        </w:tc>
        <w:tc>
          <w:tcPr>
            <w:tcW w:w="1.0%" w:type="pct"/>
            <w:tcBorders>
              <w:top w:val="nil"/>
              <w:start w:val="nil"/>
              <w:bottom w:val="nil"/>
              <w:end w:val="nil"/>
            </w:tcBorders>
            <w:shd w:val="clear" w:color="auto" w:fill="FFFFFF"/>
            <w:tcMar>
              <w:top w:w="0pt" w:type="dxa"/>
              <w:end w:w="0pt" w:type="dxa"/>
            </w:tcMar>
            <w:vAlign w:val="bottom"/>
          </w:tcPr>
          <w:p w14:paraId="54499D5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2727144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2.0%" w:type="pct"/>
            <w:tcBorders>
              <w:top w:val="double" w:sz="6" w:space="0" w:color="000000"/>
              <w:start w:val="nil"/>
              <w:bottom w:val="single" w:sz="4" w:space="0" w:color="000000"/>
              <w:end w:val="nil"/>
            </w:tcBorders>
            <w:shd w:val="clear" w:color="auto" w:fill="FFFFFF"/>
            <w:tcMar>
              <w:top w:w="0pt" w:type="dxa"/>
              <w:end w:w="0pt" w:type="dxa"/>
            </w:tcMar>
            <w:vAlign w:val="bottom"/>
          </w:tcPr>
          <w:p w14:paraId="2141248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681,916</w:t>
            </w:r>
          </w:p>
        </w:tc>
        <w:tc>
          <w:tcPr>
            <w:tcW w:w="1.0%" w:type="pct"/>
            <w:tcBorders>
              <w:top w:val="nil"/>
              <w:start w:val="nil"/>
              <w:bottom w:val="nil"/>
              <w:end w:val="nil"/>
            </w:tcBorders>
            <w:shd w:val="clear" w:color="auto" w:fill="FFFFFF"/>
            <w:tcMar>
              <w:top w:w="0pt" w:type="dxa"/>
              <w:end w:w="0pt" w:type="dxa"/>
            </w:tcMar>
            <w:vAlign w:val="bottom"/>
          </w:tcPr>
          <w:p w14:paraId="5B2264B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1DB6999D"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08259A9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 attributable to Generation Income Properties, Inc.</w:t>
            </w:r>
          </w:p>
        </w:tc>
        <w:tc>
          <w:tcPr>
            <w:tcW w:w="1.0%" w:type="pct"/>
            <w:tcBorders>
              <w:top w:val="single" w:sz="4" w:space="0" w:color="000000"/>
              <w:start w:val="nil"/>
              <w:bottom w:val="nil"/>
              <w:end w:val="nil"/>
            </w:tcBorders>
            <w:shd w:val="clear" w:color="auto" w:fill="CFF0FC"/>
            <w:tcMar>
              <w:top w:w="0pt" w:type="dxa"/>
              <w:end w:w="0pt" w:type="dxa"/>
            </w:tcMar>
            <w:vAlign w:val="bottom"/>
          </w:tcPr>
          <w:p w14:paraId="25A7652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nil"/>
              <w:end w:val="nil"/>
            </w:tcBorders>
            <w:shd w:val="clear" w:color="auto" w:fill="CFF0FC"/>
            <w:tcMar>
              <w:top w:w="0pt" w:type="dxa"/>
              <w:end w:w="0pt" w:type="dxa"/>
            </w:tcMar>
            <w:vAlign w:val="bottom"/>
          </w:tcPr>
          <w:p w14:paraId="21E1212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(2,969,595</w:t>
            </w:r>
          </w:p>
        </w:tc>
        <w:tc>
          <w:tcPr>
            <w:tcW w:w="1.0%" w:type="pct"/>
            <w:tcBorders>
              <w:top w:val="nil"/>
              <w:start w:val="nil"/>
              <w:bottom w:val="nil"/>
              <w:end w:val="nil"/>
            </w:tcBorders>
            <w:shd w:val="clear" w:color="auto" w:fill="CFF0FC"/>
            <w:tcMar>
              <w:top w:w="0pt" w:type="dxa"/>
              <w:end w:w="0pt" w:type="dxa"/>
            </w:tcMar>
            <w:vAlign w:val="bottom"/>
          </w:tcPr>
          <w:p w14:paraId="54C28D2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46AE91F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1.0%" w:type="pct"/>
            <w:tcBorders>
              <w:top w:val="single" w:sz="4" w:space="0" w:color="000000"/>
              <w:start w:val="nil"/>
              <w:bottom w:val="nil"/>
              <w:end w:val="nil"/>
            </w:tcBorders>
            <w:shd w:val="clear" w:color="auto" w:fill="CFF0FC"/>
            <w:tcMar>
              <w:top w:w="0pt" w:type="dxa"/>
              <w:end w:w="0pt" w:type="dxa"/>
            </w:tcMar>
            <w:vAlign w:val="bottom"/>
          </w:tcPr>
          <w:p w14:paraId="3221DD43"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(1,638,902</w:t>
            </w:r>
          </w:p>
        </w:tc>
        <w:tc>
          <w:tcPr>
            <w:tcW w:w="1.0%" w:type="pct"/>
            <w:tcBorders>
              <w:top w:val="nil"/>
              <w:start w:val="nil"/>
              <w:bottom w:val="nil"/>
              <w:end w:val="nil"/>
            </w:tcBorders>
            <w:shd w:val="clear" w:color="auto" w:fill="CFF0FC"/>
            <w:tcMar>
              <w:top w:w="0pt" w:type="dxa"/>
              <w:end w:w="0pt" w:type="dxa"/>
            </w:tcMar>
            <w:vAlign w:val="bottom"/>
          </w:tcPr>
          <w:p w14:paraId="58321FD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15FC666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0EF15B75"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5C4E4968"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nil"/>
              <w:end w:val="nil"/>
            </w:tcBorders>
            <w:shd w:val="clear" w:color="auto" w:fill="CFF0FC"/>
            <w:tcMar>
              <w:top w:w="0pt" w:type="dxa"/>
              <w:end w:w="0pt" w:type="dxa"/>
            </w:tcMar>
            <w:vAlign w:val="bottom"/>
          </w:tcPr>
          <w:p w14:paraId="4262F39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nil"/>
              <w:end w:val="nil"/>
            </w:tcBorders>
            <w:shd w:val="clear" w:color="auto" w:fill="CFF0FC"/>
            <w:tcMar>
              <w:top w:w="0pt" w:type="dxa"/>
              <w:end w:w="0pt" w:type="dxa"/>
            </w:tcMar>
            <w:vAlign w:val="bottom"/>
          </w:tcPr>
          <w:p w14:paraId="69270B3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(8,056,537</w:t>
            </w:r>
          </w:p>
        </w:tc>
        <w:tc>
          <w:tcPr>
            <w:tcW w:w="1.0%" w:type="pct"/>
            <w:tcBorders>
              <w:top w:val="nil"/>
              <w:start w:val="nil"/>
              <w:bottom w:val="nil"/>
              <w:end w:val="nil"/>
            </w:tcBorders>
            <w:shd w:val="clear" w:color="auto" w:fill="CFF0FC"/>
            <w:tcMar>
              <w:top w:w="0pt" w:type="dxa"/>
              <w:end w:w="0pt" w:type="dxa"/>
            </w:tcMar>
            <w:vAlign w:val="bottom"/>
          </w:tcPr>
          <w:p w14:paraId="19E7363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5618D7D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2.0%" w:type="pct"/>
            <w:tcBorders>
              <w:top w:val="single" w:sz="4" w:space="0" w:color="000000"/>
              <w:start w:val="nil"/>
              <w:bottom w:val="nil"/>
              <w:end w:val="nil"/>
            </w:tcBorders>
            <w:shd w:val="clear" w:color="auto" w:fill="CFF0FC"/>
            <w:tcMar>
              <w:top w:w="0pt" w:type="dxa"/>
              <w:end w:w="0pt" w:type="dxa"/>
            </w:tcMar>
            <w:vAlign w:val="bottom"/>
          </w:tcPr>
          <w:p w14:paraId="121E3658"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(3,837,931</w:t>
            </w:r>
          </w:p>
        </w:tc>
        <w:tc>
          <w:tcPr>
            <w:tcW w:w="1.0%" w:type="pct"/>
            <w:tcBorders>
              <w:top w:val="nil"/>
              <w:start w:val="nil"/>
              <w:bottom w:val="nil"/>
              <w:end w:val="nil"/>
            </w:tcBorders>
            <w:shd w:val="clear" w:color="auto" w:fill="CFF0FC"/>
            <w:tcMar>
              <w:top w:w="0pt" w:type="dxa"/>
              <w:end w:w="0pt" w:type="dxa"/>
            </w:tcMar>
            <w:vAlign w:val="bottom"/>
          </w:tcPr>
          <w:p w14:paraId="2C17878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71DCAD95"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012FDA8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Less: Preferred stock dividends</w:t>
            </w:r>
          </w:p>
        </w:tc>
        <w:tc>
          <w:tcPr>
            <w:tcW w:w="1.0%" w:type="pct"/>
            <w:tcBorders>
              <w:top w:val="nil"/>
              <w:start w:val="nil"/>
              <w:bottom w:val="single" w:sz="4" w:space="0" w:color="000000"/>
              <w:end w:val="nil"/>
            </w:tcBorders>
            <w:shd w:val="clear" w:color="auto" w:fill="FFFFFF"/>
            <w:tcMar>
              <w:top w:w="0pt" w:type="dxa"/>
              <w:end w:w="0pt" w:type="dxa"/>
            </w:tcMar>
            <w:vAlign w:val="bottom"/>
          </w:tcPr>
          <w:p w14:paraId="23DF334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44BDFFA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805BA7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1ECF551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single" w:sz="4" w:space="0" w:color="000000"/>
              <w:end w:val="nil"/>
            </w:tcBorders>
            <w:shd w:val="clear" w:color="auto" w:fill="FFFFFF"/>
            <w:tcMar>
              <w:top w:w="0pt" w:type="dxa"/>
              <w:end w:w="0pt" w:type="dxa"/>
            </w:tcMar>
            <w:vAlign w:val="bottom"/>
          </w:tcPr>
          <w:p w14:paraId="12FF9EA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FFFFFF"/>
            <w:tcMar>
              <w:top w:w="0pt" w:type="dxa"/>
              <w:end w:w="0pt" w:type="dxa"/>
            </w:tcMar>
            <w:vAlign w:val="bottom"/>
          </w:tcPr>
          <w:p w14:paraId="73775ED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457D371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FB74BF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65EB128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0633D62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95,000</w:t>
            </w:r>
          </w:p>
        </w:tc>
        <w:tc>
          <w:tcPr>
            <w:tcW w:w="1.0%" w:type="pct"/>
            <w:tcBorders>
              <w:top w:val="nil"/>
              <w:start w:val="nil"/>
              <w:bottom w:val="nil"/>
              <w:end w:val="nil"/>
            </w:tcBorders>
            <w:shd w:val="clear" w:color="auto" w:fill="FFFFFF"/>
            <w:tcMar>
              <w:top w:w="0pt" w:type="dxa"/>
              <w:end w:w="0pt" w:type="dxa"/>
            </w:tcMar>
            <w:vAlign w:val="bottom"/>
          </w:tcPr>
          <w:p w14:paraId="0DAABC8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6A10642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single" w:sz="4" w:space="0" w:color="000000"/>
              <w:end w:val="nil"/>
            </w:tcBorders>
            <w:shd w:val="clear" w:color="auto" w:fill="FFFFFF"/>
            <w:tcMar>
              <w:top w:w="0pt" w:type="dxa"/>
              <w:end w:w="0pt" w:type="dxa"/>
            </w:tcMar>
            <w:vAlign w:val="bottom"/>
          </w:tcPr>
          <w:p w14:paraId="11DE504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FFFFFF"/>
            <w:tcMar>
              <w:top w:w="0pt" w:type="dxa"/>
              <w:end w:w="0pt" w:type="dxa"/>
            </w:tcMar>
            <w:vAlign w:val="bottom"/>
          </w:tcPr>
          <w:p w14:paraId="18BBA60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EE82207"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39FC2DE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 attributable to common shareholders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1A7AE69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77ED149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(2,969,595</w:t>
            </w:r>
          </w:p>
        </w:tc>
        <w:tc>
          <w:tcPr>
            <w:tcW w:w="1.0%" w:type="pct"/>
            <w:tcBorders>
              <w:top w:val="nil"/>
              <w:start w:val="nil"/>
              <w:bottom w:val="nil"/>
              <w:end w:val="nil"/>
            </w:tcBorders>
            <w:shd w:val="clear" w:color="auto" w:fill="CFF0FC"/>
            <w:tcMar>
              <w:top w:w="0pt" w:type="dxa"/>
              <w:end w:w="0pt" w:type="dxa"/>
            </w:tcMar>
            <w:vAlign w:val="bottom"/>
          </w:tcPr>
          <w:p w14:paraId="5D3C71C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72E58F5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1.0%" w:type="pct"/>
            <w:tcBorders>
              <w:top w:val="single" w:sz="4" w:space="0" w:color="000000"/>
              <w:start w:val="nil"/>
              <w:bottom w:val="double" w:sz="6" w:space="0" w:color="000000"/>
              <w:end w:val="nil"/>
            </w:tcBorders>
            <w:shd w:val="clear" w:color="auto" w:fill="CFF0FC"/>
            <w:tcMar>
              <w:top w:w="0pt" w:type="dxa"/>
              <w:end w:w="0pt" w:type="dxa"/>
            </w:tcMar>
            <w:vAlign w:val="bottom"/>
          </w:tcPr>
          <w:p w14:paraId="6BB8272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(1,828,902</w:t>
            </w:r>
          </w:p>
        </w:tc>
        <w:tc>
          <w:tcPr>
            <w:tcW w:w="1.0%" w:type="pct"/>
            <w:tcBorders>
              <w:top w:val="nil"/>
              <w:start w:val="nil"/>
              <w:bottom w:val="nil"/>
              <w:end w:val="nil"/>
            </w:tcBorders>
            <w:shd w:val="clear" w:color="auto" w:fill="CFF0FC"/>
            <w:tcMar>
              <w:top w:w="0pt" w:type="dxa"/>
              <w:end w:w="0pt" w:type="dxa"/>
            </w:tcMar>
            <w:vAlign w:val="bottom"/>
          </w:tcPr>
          <w:p w14:paraId="12C4339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double" w:sz="6" w:space="0" w:color="000000"/>
              <w:end w:val="nil"/>
            </w:tcBorders>
            <w:shd w:val="clear" w:color="auto" w:fill="CFF0FC"/>
            <w:tcMar>
              <w:top w:w="0pt" w:type="dxa"/>
              <w:end w:w="0pt" w:type="dxa"/>
            </w:tcMar>
            <w:vAlign w:val="bottom"/>
          </w:tcPr>
          <w:p w14:paraId="0BFB983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E0A916D"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679E59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0D693696"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(8,151,537</w:t>
            </w:r>
          </w:p>
        </w:tc>
        <w:tc>
          <w:tcPr>
            <w:tcW w:w="1.0%" w:type="pct"/>
            <w:tcBorders>
              <w:top w:val="nil"/>
              <w:start w:val="nil"/>
              <w:bottom w:val="nil"/>
              <w:end w:val="nil"/>
            </w:tcBorders>
            <w:shd w:val="clear" w:color="auto" w:fill="CFF0FC"/>
            <w:tcMar>
              <w:top w:w="0pt" w:type="dxa"/>
              <w:end w:w="0pt" w:type="dxa"/>
            </w:tcMar>
            <w:vAlign w:val="bottom"/>
          </w:tcPr>
          <w:p w14:paraId="185FC77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2D74428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2.0%" w:type="pct"/>
            <w:tcBorders>
              <w:top w:val="single" w:sz="4" w:space="0" w:color="000000"/>
              <w:start w:val="nil"/>
              <w:bottom w:val="double" w:sz="6" w:space="0" w:color="000000"/>
              <w:end w:val="nil"/>
            </w:tcBorders>
            <w:shd w:val="clear" w:color="auto" w:fill="CFF0FC"/>
            <w:tcMar>
              <w:top w:w="0pt" w:type="dxa"/>
              <w:end w:w="0pt" w:type="dxa"/>
            </w:tcMar>
            <w:vAlign w:val="bottom"/>
          </w:tcPr>
          <w:p w14:paraId="6028F927"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(4,027,931</w:t>
            </w:r>
          </w:p>
        </w:tc>
        <w:tc>
          <w:tcPr>
            <w:tcW w:w="1.0%" w:type="pct"/>
            <w:tcBorders>
              <w:top w:val="nil"/>
              <w:start w:val="nil"/>
              <w:bottom w:val="nil"/>
              <w:end w:val="nil"/>
            </w:tcBorders>
            <w:shd w:val="clear" w:color="auto" w:fill="CFF0FC"/>
            <w:tcMar>
              <w:top w:w="0pt" w:type="dxa"/>
              <w:end w:w="0pt" w:type="dxa"/>
            </w:tcMar>
            <w:vAlign w:val="bottom"/>
          </w:tcPr>
          <w:p w14:paraId="1EEB2B4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3308190F"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6A6E3B3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1E26A3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610E95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51D56F8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424404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7DC17F2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339272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42A017C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2BC020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51A5EEB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5C433E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7031573C"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58B61CC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Total Weighted Average Shares of Common Stock Outstanding – Basic &amp; Diluted</w:t>
            </w:r>
          </w:p>
        </w:tc>
        <w:tc>
          <w:tcPr>
            <w:tcW w:w="1.0%" w:type="pct"/>
            <w:tcBorders>
              <w:top w:val="nil"/>
              <w:start w:val="nil"/>
              <w:bottom w:val="nil"/>
              <w:end w:val="nil"/>
            </w:tcBorders>
            <w:shd w:val="clear" w:color="auto" w:fill="CFF0FC"/>
            <w:tcMar>
              <w:top w:w="0pt" w:type="dxa"/>
              <w:end w:w="0pt" w:type="dxa"/>
            </w:tcMar>
            <w:vAlign w:val="bottom"/>
          </w:tcPr>
          <w:p w14:paraId="5D79FCD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2BE4BC9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5,433,833</w:t>
            </w:r>
          </w:p>
        </w:tc>
        <w:tc>
          <w:tcPr>
            <w:tcW w:w="1.0%" w:type="pct"/>
            <w:tcBorders>
              <w:top w:val="nil"/>
              <w:start w:val="nil"/>
              <w:bottom w:val="nil"/>
              <w:end w:val="nil"/>
            </w:tcBorders>
            <w:shd w:val="clear" w:color="auto" w:fill="CFF0FC"/>
            <w:tcMar>
              <w:top w:w="0pt" w:type="dxa"/>
              <w:end w:w="0pt" w:type="dxa"/>
            </w:tcMar>
            <w:vAlign w:val="bottom"/>
          </w:tcPr>
          <w:p w14:paraId="0122A39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8EB02C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1.0%" w:type="pct"/>
            <w:tcBorders>
              <w:top w:val="nil"/>
              <w:start w:val="nil"/>
              <w:bottom w:val="nil"/>
              <w:end w:val="nil"/>
            </w:tcBorders>
            <w:shd w:val="clear" w:color="auto" w:fill="CFF0FC"/>
            <w:tcMar>
              <w:top w:w="0pt" w:type="dxa"/>
              <w:end w:w="0pt" w:type="dxa"/>
            </w:tcMar>
            <w:vAlign w:val="bottom"/>
          </w:tcPr>
          <w:p w14:paraId="5AD5FF6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2,615,471</w:t>
            </w:r>
          </w:p>
        </w:tc>
        <w:tc>
          <w:tcPr>
            <w:tcW w:w="1.0%" w:type="pct"/>
            <w:tcBorders>
              <w:top w:val="nil"/>
              <w:start w:val="nil"/>
              <w:bottom w:val="nil"/>
              <w:end w:val="nil"/>
            </w:tcBorders>
            <w:shd w:val="clear" w:color="auto" w:fill="CFF0FC"/>
            <w:tcMar>
              <w:top w:w="0pt" w:type="dxa"/>
              <w:end w:w="0pt" w:type="dxa"/>
            </w:tcMar>
            <w:vAlign w:val="bottom"/>
          </w:tcPr>
          <w:p w14:paraId="5EB414D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3D8FFBA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7B6326C"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3B943A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56474F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4,923,004</w:t>
            </w:r>
          </w:p>
        </w:tc>
        <w:tc>
          <w:tcPr>
            <w:tcW w:w="1.0%" w:type="pct"/>
            <w:tcBorders>
              <w:top w:val="nil"/>
              <w:start w:val="nil"/>
              <w:bottom w:val="nil"/>
              <w:end w:val="nil"/>
            </w:tcBorders>
            <w:shd w:val="clear" w:color="auto" w:fill="CFF0FC"/>
            <w:tcMar>
              <w:top w:w="0pt" w:type="dxa"/>
              <w:end w:w="0pt" w:type="dxa"/>
            </w:tcMar>
            <w:vAlign w:val="bottom"/>
          </w:tcPr>
          <w:p w14:paraId="29E917A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E3C4FC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2.0%" w:type="pct"/>
            <w:tcBorders>
              <w:top w:val="nil"/>
              <w:start w:val="nil"/>
              <w:bottom w:val="nil"/>
              <w:end w:val="nil"/>
            </w:tcBorders>
            <w:shd w:val="clear" w:color="auto" w:fill="CFF0FC"/>
            <w:tcMar>
              <w:top w:w="0pt" w:type="dxa"/>
              <w:end w:w="0pt" w:type="dxa"/>
            </w:tcMar>
            <w:vAlign w:val="bottom"/>
          </w:tcPr>
          <w:p w14:paraId="1ACD92C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2,578,678</w:t>
            </w:r>
          </w:p>
        </w:tc>
        <w:tc>
          <w:tcPr>
            <w:tcW w:w="1.0%" w:type="pct"/>
            <w:tcBorders>
              <w:top w:val="nil"/>
              <w:start w:val="nil"/>
              <w:bottom w:val="nil"/>
              <w:end w:val="nil"/>
            </w:tcBorders>
            <w:shd w:val="clear" w:color="auto" w:fill="CFF0FC"/>
            <w:tcMar>
              <w:top w:w="0pt" w:type="dxa"/>
              <w:end w:w="0pt" w:type="dxa"/>
            </w:tcMar>
            <w:vAlign w:val="bottom"/>
          </w:tcPr>
          <w:p w14:paraId="5B83F3E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1C0DA56C" w14:textId="77777777">
        <w:trPr>
          <w:jc w:val="center"/>
        </w:trPr>
        <w:tc>
          <w:tcPr>
            <w:tcW w:w="47.0%" w:type="pct"/>
            <w:tcBorders>
              <w:top w:val="nil"/>
              <w:start w:val="nil"/>
              <w:bottom w:val="nil"/>
              <w:end w:val="nil"/>
            </w:tcBorders>
            <w:shd w:val="clear" w:color="auto" w:fill="FFFFFF"/>
            <w:tcMar>
              <w:top w:w="0pt" w:type="dxa"/>
              <w:end w:w="0pt" w:type="dxa"/>
            </w:tcMar>
            <w:vAlign w:val="bottom"/>
          </w:tcPr>
          <w:p w14:paraId="2FEC82F9"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1F694CC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5B2F1E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CF686E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8A1316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AF19AE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1CF8ED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12A6C30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2952BA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FB982E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ADFF02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4FE66BA8" w14:textId="77777777">
        <w:trPr>
          <w:jc w:val="center"/>
        </w:trPr>
        <w:tc>
          <w:tcPr>
            <w:tcW w:w="47.0%" w:type="pct"/>
            <w:tcBorders>
              <w:top w:val="nil"/>
              <w:start w:val="nil"/>
              <w:bottom w:val="nil"/>
              <w:end w:val="nil"/>
            </w:tcBorders>
            <w:shd w:val="clear" w:color="auto" w:fill="CFF0FC"/>
            <w:tcMar>
              <w:top w:w="0pt" w:type="dxa"/>
              <w:end w:w="0pt" w:type="dxa"/>
            </w:tcMar>
            <w:vAlign w:val="bottom"/>
          </w:tcPr>
          <w:p w14:paraId="528FE71E"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Basic &amp; Diluted Loss Per Share Attributable to Common Stockholders</w:t>
            </w:r>
          </w:p>
        </w:tc>
        <w:tc>
          <w:tcPr>
            <w:tcW w:w="1.0%" w:type="pct"/>
            <w:tcBorders>
              <w:top w:val="nil"/>
              <w:start w:val="nil"/>
              <w:bottom w:val="nil"/>
              <w:end w:val="nil"/>
            </w:tcBorders>
            <w:shd w:val="clear" w:color="auto" w:fill="CFF0FC"/>
            <w:tcMar>
              <w:top w:w="0pt" w:type="dxa"/>
              <w:end w:w="0pt" w:type="dxa"/>
            </w:tcMar>
            <w:vAlign w:val="bottom"/>
          </w:tcPr>
          <w:p w14:paraId="75A23D4A"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6C164674" w14:textId="77777777" w:rsidR="0086099C" w:rsidRDefault="00000000">
            <w:pPr>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(0.55</w:t>
            </w:r>
          </w:p>
        </w:tc>
        <w:tc>
          <w:tcPr>
            <w:tcW w:w="1.0%" w:type="pct"/>
            <w:tcBorders>
              <w:top w:val="nil"/>
              <w:start w:val="nil"/>
              <w:bottom w:val="nil"/>
              <w:end w:val="nil"/>
            </w:tcBorders>
            <w:shd w:val="clear" w:color="auto" w:fill="CFF0FC"/>
            <w:tcMar>
              <w:top w:w="0pt" w:type="dxa"/>
              <w:end w:w="0pt" w:type="dxa"/>
            </w:tcMar>
            <w:vAlign w:val="bottom"/>
          </w:tcPr>
          <w:p w14:paraId="2D99B2AC"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7C6844ED"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1.0%" w:type="pct"/>
            <w:tcBorders>
              <w:top w:val="nil"/>
              <w:start w:val="nil"/>
              <w:bottom w:val="nil"/>
              <w:end w:val="nil"/>
            </w:tcBorders>
            <w:shd w:val="clear" w:color="auto" w:fill="CFF0FC"/>
            <w:tcMar>
              <w:top w:w="0pt" w:type="dxa"/>
              <w:end w:w="0pt" w:type="dxa"/>
            </w:tcMar>
            <w:vAlign w:val="bottom"/>
          </w:tcPr>
          <w:p w14:paraId="47292D23" w14:textId="77777777" w:rsidR="0086099C" w:rsidRDefault="00000000">
            <w:pPr>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(0.70</w:t>
            </w:r>
          </w:p>
        </w:tc>
        <w:tc>
          <w:tcPr>
            <w:tcW w:w="1.0%" w:type="pct"/>
            <w:tcBorders>
              <w:top w:val="nil"/>
              <w:start w:val="nil"/>
              <w:bottom w:val="nil"/>
              <w:end w:val="nil"/>
            </w:tcBorders>
            <w:shd w:val="clear" w:color="auto" w:fill="CFF0FC"/>
            <w:tcMar>
              <w:top w:w="0pt" w:type="dxa"/>
              <w:end w:w="0pt" w:type="dxa"/>
            </w:tcMar>
            <w:vAlign w:val="bottom"/>
          </w:tcPr>
          <w:p w14:paraId="11B566EB"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7739F89E"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603CEE5"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B24E6A8"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31B18F1A" w14:textId="77777777" w:rsidR="0086099C" w:rsidRDefault="00000000">
            <w:pPr>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(1.66</w:t>
            </w:r>
          </w:p>
        </w:tc>
        <w:tc>
          <w:tcPr>
            <w:tcW w:w="1.0%" w:type="pct"/>
            <w:tcBorders>
              <w:top w:val="nil"/>
              <w:start w:val="nil"/>
              <w:bottom w:val="nil"/>
              <w:end w:val="nil"/>
            </w:tcBorders>
            <w:shd w:val="clear" w:color="auto" w:fill="CFF0FC"/>
            <w:tcMar>
              <w:top w:w="0pt" w:type="dxa"/>
              <w:end w:w="0pt" w:type="dxa"/>
            </w:tcMar>
            <w:vAlign w:val="bottom"/>
          </w:tcPr>
          <w:p w14:paraId="03CBAAA5"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75E3962"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2.0%" w:type="pct"/>
            <w:tcBorders>
              <w:top w:val="nil"/>
              <w:start w:val="nil"/>
              <w:bottom w:val="nil"/>
              <w:end w:val="nil"/>
            </w:tcBorders>
            <w:shd w:val="clear" w:color="auto" w:fill="CFF0FC"/>
            <w:tcMar>
              <w:top w:w="0pt" w:type="dxa"/>
              <w:end w:w="0pt" w:type="dxa"/>
            </w:tcMar>
            <w:vAlign w:val="bottom"/>
          </w:tcPr>
          <w:p w14:paraId="34CC3C58" w14:textId="77777777" w:rsidR="0086099C" w:rsidRDefault="00000000">
            <w:pPr>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(1.56</w:t>
            </w:r>
          </w:p>
        </w:tc>
        <w:tc>
          <w:tcPr>
            <w:tcW w:w="1.0%" w:type="pct"/>
            <w:tcBorders>
              <w:top w:val="nil"/>
              <w:start w:val="nil"/>
              <w:bottom w:val="nil"/>
              <w:end w:val="nil"/>
            </w:tcBorders>
            <w:shd w:val="clear" w:color="auto" w:fill="CFF0FC"/>
            <w:tcMar>
              <w:top w:w="0pt" w:type="dxa"/>
              <w:end w:w="0pt" w:type="dxa"/>
            </w:tcMar>
            <w:vAlign w:val="bottom"/>
          </w:tcPr>
          <w:p w14:paraId="1A33CA59"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bl>
    <w:p w14:paraId="55BCF621" w14:textId="77777777" w:rsidR="0086099C" w:rsidRDefault="00000000">
      <w:pPr>
        <w:pBdr>
          <w:top w:val="nil"/>
          <w:left w:val="nil"/>
          <w:bottom w:val="nil"/>
          <w:right w:val="nil"/>
          <w:between w:val="nil"/>
          <w:bar w:val="nil"/>
        </w:pBdr>
        <w:jc w:val="center"/>
        <w:rPr>
          <w:sz w:val="2"/>
        </w:rPr>
      </w:pPr>
      <w:r>
        <w:cr/>
      </w:r>
      <w:r>
        <w:rPr>
          <w:sz w:val="2"/>
        </w:rPr>
        <w:br w:type="page"/>
      </w:r>
    </w:p>
    <w:p w14:paraId="4D3B319F"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lastRenderedPageBreak/>
        <w:t>Reconciliation of Non-GAAP Measures</w:t>
      </w:r>
    </w:p>
    <w:p w14:paraId="72EB6E3C"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 xml:space="preserve">(unaudited)   </w:t>
      </w:r>
    </w:p>
    <w:p w14:paraId="4CF0ECF5" w14:textId="77777777" w:rsidR="0086099C" w:rsidRDefault="0086099C">
      <w:pPr>
        <w:pBdr>
          <w:top w:val="nil"/>
          <w:left w:val="nil"/>
          <w:bottom w:val="nil"/>
          <w:right w:val="nil"/>
          <w:between w:val="nil"/>
          <w:bar w:val="nil"/>
        </w:pBdr>
        <w:jc w:val="center"/>
        <w:rPr>
          <w:rFonts w:ascii="Open Sans" w:eastAsia="Open Sans" w:hAnsi="Open Sans" w:cs="Open Sans"/>
          <w:b/>
          <w:color w:val="000000"/>
          <w:sz w:val="18"/>
        </w:rPr>
      </w:pPr>
    </w:p>
    <w:p w14:paraId="51BF41E7" w14:textId="77777777" w:rsidR="0086099C" w:rsidRDefault="00000000">
      <w:pPr>
        <w:pBdr>
          <w:top w:val="nil"/>
          <w:left w:val="nil"/>
          <w:bottom w:val="nil"/>
          <w:right w:val="nil"/>
          <w:between w:val="nil"/>
          <w:bar w:val="nil"/>
        </w:pBdr>
        <w:jc w:val="both"/>
        <w:rPr>
          <w:rFonts w:ascii="Open Sans" w:eastAsia="Open Sans" w:hAnsi="Open Sans" w:cs="Open Sans"/>
          <w:color w:val="000000"/>
          <w:sz w:val="18"/>
        </w:rPr>
      </w:pPr>
      <w:r>
        <w:rPr>
          <w:rFonts w:ascii="Open Sans" w:eastAsia="Open Sans" w:hAnsi="Open Sans" w:cs="Open Sans"/>
          <w:color w:val="000000"/>
          <w:sz w:val="18"/>
        </w:rPr>
        <w:t>The following tables reconcile net income (loss), which we believe is the most comparable GAAP measure, to Net Operating Income (“NOI”):</w:t>
      </w:r>
    </w:p>
    <w:p w14:paraId="31501F06" w14:textId="77777777" w:rsidR="0086099C" w:rsidRDefault="0086099C">
      <w:pPr>
        <w:pBdr>
          <w:top w:val="nil"/>
          <w:left w:val="nil"/>
          <w:bottom w:val="nil"/>
          <w:right w:val="nil"/>
          <w:between w:val="nil"/>
          <w:bar w:val="nil"/>
        </w:pBdr>
        <w:jc w:val="both"/>
        <w:rPr>
          <w:rFonts w:ascii="Open Sans" w:eastAsia="Open Sans" w:hAnsi="Open Sans" w:cs="Open Sans"/>
          <w:color w:val="000000"/>
          <w:sz w:val="18"/>
        </w:rPr>
      </w:pPr>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top w:w="0.70pt" w:type="dxa"/>
          <w:start w:w="0pt" w:type="dxa"/>
          <w:end w:w="0.70pt" w:type="dxa"/>
        </w:tblCellMar>
        <w:tblLook w:firstRow="1" w:lastRow="0" w:firstColumn="1" w:lastColumn="0" w:noHBand="0" w:noVBand="1"/>
      </w:tblPr>
      <w:tblGrid>
        <w:gridCol w:w="6223"/>
        <w:gridCol w:w="117"/>
        <w:gridCol w:w="117"/>
        <w:gridCol w:w="954"/>
        <w:gridCol w:w="117"/>
        <w:gridCol w:w="117"/>
        <w:gridCol w:w="885"/>
        <w:gridCol w:w="117"/>
        <w:gridCol w:w="117"/>
        <w:gridCol w:w="117"/>
        <w:gridCol w:w="117"/>
        <w:gridCol w:w="117"/>
        <w:gridCol w:w="954"/>
        <w:gridCol w:w="117"/>
        <w:gridCol w:w="117"/>
        <w:gridCol w:w="955"/>
        <w:gridCol w:w="118"/>
      </w:tblGrid>
      <w:tr w:rsidR="0086099C" w14:paraId="5DAEC154"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69C2F66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774BE3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54B21F2B"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Three Months ended September 30,</w:t>
            </w:r>
          </w:p>
        </w:tc>
        <w:tc>
          <w:tcPr>
            <w:tcW w:w="1.0%" w:type="pct"/>
            <w:tcBorders>
              <w:top w:val="nil"/>
              <w:start w:val="nil"/>
              <w:bottom w:val="nil"/>
              <w:end w:val="nil"/>
            </w:tcBorders>
            <w:shd w:val="clear" w:color="auto" w:fill="FFFFFF"/>
            <w:tcMar>
              <w:top w:w="0pt" w:type="dxa"/>
              <w:end w:w="0pt" w:type="dxa"/>
            </w:tcMar>
            <w:vAlign w:val="bottom"/>
          </w:tcPr>
          <w:p w14:paraId="506290B5"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705652A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AADEE3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3D999A10"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Nine Months ended September 30,</w:t>
            </w:r>
          </w:p>
        </w:tc>
        <w:tc>
          <w:tcPr>
            <w:tcW w:w="1.0%" w:type="pct"/>
            <w:tcBorders>
              <w:top w:val="nil"/>
              <w:start w:val="nil"/>
              <w:bottom w:val="nil"/>
              <w:end w:val="nil"/>
            </w:tcBorders>
            <w:shd w:val="clear" w:color="auto" w:fill="FFFFFF"/>
            <w:tcMar>
              <w:top w:w="0pt" w:type="dxa"/>
              <w:end w:w="0pt" w:type="dxa"/>
            </w:tcMar>
            <w:vAlign w:val="bottom"/>
          </w:tcPr>
          <w:p w14:paraId="48B833F9"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28F252E4"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143BA69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F736226"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vAlign w:val="bottom"/>
          </w:tcPr>
          <w:p w14:paraId="18891D7B"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vAlign w:val="bottom"/>
          </w:tcPr>
          <w:p w14:paraId="5F3CAAB5"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vAlign w:val="bottom"/>
          </w:tcPr>
          <w:p w14:paraId="356DD658"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vAlign w:val="bottom"/>
          </w:tcPr>
          <w:p w14:paraId="51C4B9B8"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0315BA30"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3947DF4"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vAlign w:val="bottom"/>
          </w:tcPr>
          <w:p w14:paraId="22B0F487"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vAlign w:val="bottom"/>
          </w:tcPr>
          <w:p w14:paraId="79A1A53F"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vAlign w:val="bottom"/>
          </w:tcPr>
          <w:p w14:paraId="494D69A8"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vAlign w:val="bottom"/>
          </w:tcPr>
          <w:p w14:paraId="39DB30F7"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2ED6EFED"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7362C28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ECD9CB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21030DD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D371C1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163D8B8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21E867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78198DE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76678E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01389AB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394612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1E600CF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5DEC92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1308BF4"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06BF110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 attributable to common shareholders</w:t>
            </w:r>
          </w:p>
        </w:tc>
        <w:tc>
          <w:tcPr>
            <w:tcW w:w="1.0%" w:type="pct"/>
            <w:tcBorders>
              <w:top w:val="nil"/>
              <w:start w:val="nil"/>
              <w:bottom w:val="nil"/>
              <w:end w:val="nil"/>
            </w:tcBorders>
            <w:shd w:val="clear" w:color="auto" w:fill="CFF0FC"/>
            <w:tcMar>
              <w:top w:w="0pt" w:type="dxa"/>
              <w:end w:w="0pt" w:type="dxa"/>
            </w:tcMar>
            <w:vAlign w:val="bottom"/>
          </w:tcPr>
          <w:p w14:paraId="6AFCAFF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AF6F3E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6EF739F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(2,969,595</w:t>
            </w:r>
          </w:p>
        </w:tc>
        <w:tc>
          <w:tcPr>
            <w:tcW w:w="1.0%" w:type="pct"/>
            <w:tcBorders>
              <w:top w:val="nil"/>
              <w:start w:val="nil"/>
              <w:bottom w:val="nil"/>
              <w:end w:val="nil"/>
            </w:tcBorders>
            <w:shd w:val="clear" w:color="auto" w:fill="CFF0FC"/>
            <w:tcMar>
              <w:top w:w="0pt" w:type="dxa"/>
              <w:end w:w="0pt" w:type="dxa"/>
            </w:tcMar>
            <w:vAlign w:val="bottom"/>
          </w:tcPr>
          <w:p w14:paraId="1D784F6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B8A76E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nil"/>
              <w:start w:val="nil"/>
              <w:bottom w:val="nil"/>
              <w:end w:val="nil"/>
            </w:tcBorders>
            <w:shd w:val="clear" w:color="auto" w:fill="CFF0FC"/>
            <w:tcMar>
              <w:top w:w="0pt" w:type="dxa"/>
              <w:end w:w="0pt" w:type="dxa"/>
            </w:tcMar>
            <w:vAlign w:val="bottom"/>
          </w:tcPr>
          <w:p w14:paraId="79FFA7D8"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(1,828,902</w:t>
            </w:r>
          </w:p>
        </w:tc>
        <w:tc>
          <w:tcPr>
            <w:tcW w:w="1.0%" w:type="pct"/>
            <w:tcBorders>
              <w:top w:val="nil"/>
              <w:start w:val="nil"/>
              <w:bottom w:val="nil"/>
              <w:end w:val="nil"/>
            </w:tcBorders>
            <w:shd w:val="clear" w:color="auto" w:fill="CFF0FC"/>
            <w:tcMar>
              <w:top w:w="0pt" w:type="dxa"/>
              <w:end w:w="0pt" w:type="dxa"/>
            </w:tcMar>
            <w:vAlign w:val="bottom"/>
          </w:tcPr>
          <w:p w14:paraId="5FD7115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58C0100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B3431A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C612A8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36A987F6"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(8,151,537</w:t>
            </w:r>
          </w:p>
        </w:tc>
        <w:tc>
          <w:tcPr>
            <w:tcW w:w="1.0%" w:type="pct"/>
            <w:tcBorders>
              <w:top w:val="nil"/>
              <w:start w:val="nil"/>
              <w:bottom w:val="nil"/>
              <w:end w:val="nil"/>
            </w:tcBorders>
            <w:shd w:val="clear" w:color="auto" w:fill="CFF0FC"/>
            <w:tcMar>
              <w:top w:w="0pt" w:type="dxa"/>
              <w:end w:w="0pt" w:type="dxa"/>
            </w:tcMar>
            <w:vAlign w:val="bottom"/>
          </w:tcPr>
          <w:p w14:paraId="20D1B91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8B58CB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57E3B2D3"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(4,027,931</w:t>
            </w:r>
          </w:p>
        </w:tc>
        <w:tc>
          <w:tcPr>
            <w:tcW w:w="1.0%" w:type="pct"/>
            <w:tcBorders>
              <w:top w:val="nil"/>
              <w:start w:val="nil"/>
              <w:bottom w:val="nil"/>
              <w:end w:val="nil"/>
            </w:tcBorders>
            <w:shd w:val="clear" w:color="auto" w:fill="CFF0FC"/>
            <w:tcMar>
              <w:top w:w="0pt" w:type="dxa"/>
              <w:end w:w="0pt" w:type="dxa"/>
            </w:tcMar>
            <w:vAlign w:val="bottom"/>
          </w:tcPr>
          <w:p w14:paraId="555035E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2952514B"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3E75C97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Plus: Net income attributable to non-controlling interest</w:t>
            </w:r>
          </w:p>
        </w:tc>
        <w:tc>
          <w:tcPr>
            <w:tcW w:w="1.0%" w:type="pct"/>
            <w:tcBorders>
              <w:top w:val="nil"/>
              <w:start w:val="nil"/>
              <w:bottom w:val="nil"/>
              <w:end w:val="nil"/>
            </w:tcBorders>
            <w:shd w:val="clear" w:color="auto" w:fill="FFFFFF"/>
            <w:tcMar>
              <w:top w:w="0pt" w:type="dxa"/>
              <w:end w:w="0pt" w:type="dxa"/>
            </w:tcMar>
            <w:vAlign w:val="bottom"/>
          </w:tcPr>
          <w:p w14:paraId="47BF7C9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81B199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62B1E8A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866,047</w:t>
            </w:r>
          </w:p>
        </w:tc>
        <w:tc>
          <w:tcPr>
            <w:tcW w:w="1.0%" w:type="pct"/>
            <w:tcBorders>
              <w:top w:val="nil"/>
              <w:start w:val="nil"/>
              <w:bottom w:val="nil"/>
              <w:end w:val="nil"/>
            </w:tcBorders>
            <w:shd w:val="clear" w:color="auto" w:fill="FFFFFF"/>
            <w:tcMar>
              <w:top w:w="0pt" w:type="dxa"/>
              <w:end w:w="0pt" w:type="dxa"/>
            </w:tcMar>
            <w:vAlign w:val="bottom"/>
          </w:tcPr>
          <w:p w14:paraId="5E3677D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A9FC5D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0E75FAC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425,637</w:t>
            </w:r>
          </w:p>
        </w:tc>
        <w:tc>
          <w:tcPr>
            <w:tcW w:w="1.0%" w:type="pct"/>
            <w:tcBorders>
              <w:top w:val="nil"/>
              <w:start w:val="nil"/>
              <w:bottom w:val="nil"/>
              <w:end w:val="nil"/>
            </w:tcBorders>
            <w:shd w:val="clear" w:color="auto" w:fill="FFFFFF"/>
            <w:tcMar>
              <w:top w:w="0pt" w:type="dxa"/>
              <w:end w:w="0pt" w:type="dxa"/>
            </w:tcMar>
            <w:vAlign w:val="bottom"/>
          </w:tcPr>
          <w:p w14:paraId="5F21D80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3068EEBD"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49BA7F8"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287B0B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4A93D56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2,612,405</w:t>
            </w:r>
          </w:p>
        </w:tc>
        <w:tc>
          <w:tcPr>
            <w:tcW w:w="1.0%" w:type="pct"/>
            <w:tcBorders>
              <w:top w:val="nil"/>
              <w:start w:val="nil"/>
              <w:bottom w:val="nil"/>
              <w:end w:val="nil"/>
            </w:tcBorders>
            <w:shd w:val="clear" w:color="auto" w:fill="FFFFFF"/>
            <w:tcMar>
              <w:top w:w="0pt" w:type="dxa"/>
              <w:end w:w="0pt" w:type="dxa"/>
            </w:tcMar>
            <w:vAlign w:val="bottom"/>
          </w:tcPr>
          <w:p w14:paraId="246E46E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5A2E32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44F079A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681,916</w:t>
            </w:r>
          </w:p>
        </w:tc>
        <w:tc>
          <w:tcPr>
            <w:tcW w:w="1.0%" w:type="pct"/>
            <w:tcBorders>
              <w:top w:val="nil"/>
              <w:start w:val="nil"/>
              <w:bottom w:val="nil"/>
              <w:end w:val="nil"/>
            </w:tcBorders>
            <w:shd w:val="clear" w:color="auto" w:fill="FFFFFF"/>
            <w:tcMar>
              <w:top w:w="0pt" w:type="dxa"/>
              <w:end w:w="0pt" w:type="dxa"/>
            </w:tcMar>
            <w:vAlign w:val="bottom"/>
          </w:tcPr>
          <w:p w14:paraId="5878B20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7C288DA"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56057E2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Plus: Net income attributable to preferred</w:t>
            </w:r>
          </w:p>
        </w:tc>
        <w:tc>
          <w:tcPr>
            <w:tcW w:w="1.0%" w:type="pct"/>
            <w:tcBorders>
              <w:top w:val="nil"/>
              <w:start w:val="nil"/>
              <w:bottom w:val="nil"/>
              <w:end w:val="nil"/>
            </w:tcBorders>
            <w:shd w:val="clear" w:color="auto" w:fill="CFF0FC"/>
            <w:tcMar>
              <w:top w:w="0pt" w:type="dxa"/>
              <w:end w:w="0pt" w:type="dxa"/>
            </w:tcMar>
            <w:vAlign w:val="bottom"/>
          </w:tcPr>
          <w:p w14:paraId="2BC5FBE2"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655CD2C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350F400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517888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12DCBFC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CFF0FC"/>
            <w:tcMar>
              <w:top w:w="0pt" w:type="dxa"/>
              <w:end w:w="0pt" w:type="dxa"/>
            </w:tcMar>
            <w:vAlign w:val="bottom"/>
          </w:tcPr>
          <w:p w14:paraId="39B5823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CFF0FC"/>
            <w:tcMar>
              <w:top w:w="0pt" w:type="dxa"/>
              <w:end w:w="0pt" w:type="dxa"/>
            </w:tcMar>
            <w:vAlign w:val="bottom"/>
          </w:tcPr>
          <w:p w14:paraId="0350704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3FF07C3B"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7DAC9DE"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6F7EF96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7531CCC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95,000</w:t>
            </w:r>
          </w:p>
        </w:tc>
        <w:tc>
          <w:tcPr>
            <w:tcW w:w="1.0%" w:type="pct"/>
            <w:tcBorders>
              <w:top w:val="nil"/>
              <w:start w:val="nil"/>
              <w:bottom w:val="nil"/>
              <w:end w:val="nil"/>
            </w:tcBorders>
            <w:shd w:val="clear" w:color="auto" w:fill="CFF0FC"/>
            <w:tcMar>
              <w:top w:w="0pt" w:type="dxa"/>
              <w:end w:w="0pt" w:type="dxa"/>
            </w:tcMar>
            <w:vAlign w:val="bottom"/>
          </w:tcPr>
          <w:p w14:paraId="12893C7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35E1832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2771A53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CFF0FC"/>
            <w:tcMar>
              <w:top w:w="0pt" w:type="dxa"/>
              <w:end w:w="0pt" w:type="dxa"/>
            </w:tcMar>
            <w:vAlign w:val="bottom"/>
          </w:tcPr>
          <w:p w14:paraId="4DDD243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7C308FC"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3D08E23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income (loss)</w:t>
            </w:r>
          </w:p>
        </w:tc>
        <w:tc>
          <w:tcPr>
            <w:tcW w:w="1.0%" w:type="pct"/>
            <w:tcBorders>
              <w:top w:val="nil"/>
              <w:start w:val="nil"/>
              <w:bottom w:val="nil"/>
              <w:end w:val="nil"/>
            </w:tcBorders>
            <w:shd w:val="clear" w:color="auto" w:fill="FFFFFF"/>
            <w:tcMar>
              <w:top w:w="0pt" w:type="dxa"/>
              <w:end w:w="0pt" w:type="dxa"/>
            </w:tcMar>
            <w:vAlign w:val="bottom"/>
          </w:tcPr>
          <w:p w14:paraId="18DC5691"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57F1BDAF"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8.0%" w:type="pct"/>
            <w:tcBorders>
              <w:top w:val="single" w:sz="4" w:space="0" w:color="000000"/>
              <w:start w:val="nil"/>
              <w:bottom w:val="nil"/>
              <w:end w:val="nil"/>
            </w:tcBorders>
            <w:shd w:val="clear" w:color="auto" w:fill="FFFFFF"/>
            <w:tcMar>
              <w:top w:w="0pt" w:type="dxa"/>
              <w:end w:w="0pt" w:type="dxa"/>
            </w:tcMar>
            <w:vAlign w:val="bottom"/>
          </w:tcPr>
          <w:p w14:paraId="7006C793"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(2,103,548</w:t>
            </w:r>
          </w:p>
        </w:tc>
        <w:tc>
          <w:tcPr>
            <w:tcW w:w="1.0%" w:type="pct"/>
            <w:tcBorders>
              <w:top w:val="nil"/>
              <w:start w:val="nil"/>
              <w:bottom w:val="nil"/>
              <w:end w:val="nil"/>
            </w:tcBorders>
            <w:shd w:val="clear" w:color="auto" w:fill="FFFFFF"/>
            <w:tcMar>
              <w:top w:w="0pt" w:type="dxa"/>
              <w:end w:w="0pt" w:type="dxa"/>
            </w:tcMar>
            <w:vAlign w:val="bottom"/>
          </w:tcPr>
          <w:p w14:paraId="4F234CE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FFFFFF"/>
            <w:tcMar>
              <w:top w:w="0pt" w:type="dxa"/>
              <w:end w:w="0pt" w:type="dxa"/>
            </w:tcMar>
            <w:vAlign w:val="bottom"/>
          </w:tcPr>
          <w:p w14:paraId="184A5FE3"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7.0%" w:type="pct"/>
            <w:tcBorders>
              <w:top w:val="single" w:sz="4" w:space="0" w:color="000000"/>
              <w:start w:val="nil"/>
              <w:bottom w:val="nil"/>
              <w:end w:val="nil"/>
            </w:tcBorders>
            <w:shd w:val="clear" w:color="auto" w:fill="FFFFFF"/>
            <w:tcMar>
              <w:top w:w="0pt" w:type="dxa"/>
              <w:end w:w="0pt" w:type="dxa"/>
            </w:tcMar>
            <w:vAlign w:val="bottom"/>
          </w:tcPr>
          <w:p w14:paraId="784D47C0"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(1,213,265</w:t>
            </w:r>
          </w:p>
        </w:tc>
        <w:tc>
          <w:tcPr>
            <w:tcW w:w="1.0%" w:type="pct"/>
            <w:tcBorders>
              <w:top w:val="nil"/>
              <w:start w:val="nil"/>
              <w:bottom w:val="nil"/>
              <w:end w:val="nil"/>
            </w:tcBorders>
            <w:shd w:val="clear" w:color="auto" w:fill="FFFFFF"/>
            <w:tcMar>
              <w:top w:w="0pt" w:type="dxa"/>
              <w:end w:w="0pt" w:type="dxa"/>
            </w:tcMar>
            <w:vAlign w:val="bottom"/>
          </w:tcPr>
          <w:p w14:paraId="47C68B1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26D37C7A"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A5B1CD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346EAA71"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nil"/>
              <w:end w:val="nil"/>
            </w:tcBorders>
            <w:shd w:val="clear" w:color="auto" w:fill="FFFFFF"/>
            <w:tcMar>
              <w:top w:w="0pt" w:type="dxa"/>
              <w:end w:w="0pt" w:type="dxa"/>
            </w:tcMar>
            <w:vAlign w:val="bottom"/>
          </w:tcPr>
          <w:p w14:paraId="148D8353"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8.0%" w:type="pct"/>
            <w:tcBorders>
              <w:top w:val="single" w:sz="4" w:space="0" w:color="000000"/>
              <w:start w:val="nil"/>
              <w:bottom w:val="nil"/>
              <w:end w:val="nil"/>
            </w:tcBorders>
            <w:shd w:val="clear" w:color="auto" w:fill="FFFFFF"/>
            <w:tcMar>
              <w:top w:w="0pt" w:type="dxa"/>
              <w:end w:w="0pt" w:type="dxa"/>
            </w:tcMar>
            <w:vAlign w:val="bottom"/>
          </w:tcPr>
          <w:p w14:paraId="13F3CB9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(5,444,132</w:t>
            </w:r>
          </w:p>
        </w:tc>
        <w:tc>
          <w:tcPr>
            <w:tcW w:w="1.0%" w:type="pct"/>
            <w:tcBorders>
              <w:top w:val="nil"/>
              <w:start w:val="nil"/>
              <w:bottom w:val="nil"/>
              <w:end w:val="nil"/>
            </w:tcBorders>
            <w:shd w:val="clear" w:color="auto" w:fill="FFFFFF"/>
            <w:tcMar>
              <w:top w:w="0pt" w:type="dxa"/>
              <w:end w:w="0pt" w:type="dxa"/>
            </w:tcMar>
            <w:vAlign w:val="bottom"/>
          </w:tcPr>
          <w:p w14:paraId="0AD526F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FFFFFF"/>
            <w:tcMar>
              <w:top w:w="0pt" w:type="dxa"/>
              <w:end w:w="0pt" w:type="dxa"/>
            </w:tcMar>
            <w:vAlign w:val="bottom"/>
          </w:tcPr>
          <w:p w14:paraId="2E436D93"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8.0%" w:type="pct"/>
            <w:tcBorders>
              <w:top w:val="single" w:sz="4" w:space="0" w:color="000000"/>
              <w:start w:val="nil"/>
              <w:bottom w:val="nil"/>
              <w:end w:val="nil"/>
            </w:tcBorders>
            <w:shd w:val="clear" w:color="auto" w:fill="FFFFFF"/>
            <w:tcMar>
              <w:top w:w="0pt" w:type="dxa"/>
              <w:end w:w="0pt" w:type="dxa"/>
            </w:tcMar>
            <w:vAlign w:val="bottom"/>
          </w:tcPr>
          <w:p w14:paraId="6BCF769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(3,156,015</w:t>
            </w:r>
          </w:p>
        </w:tc>
        <w:tc>
          <w:tcPr>
            <w:tcW w:w="1.0%" w:type="pct"/>
            <w:tcBorders>
              <w:top w:val="nil"/>
              <w:start w:val="nil"/>
              <w:bottom w:val="nil"/>
              <w:end w:val="nil"/>
            </w:tcBorders>
            <w:shd w:val="clear" w:color="auto" w:fill="FFFFFF"/>
            <w:tcMar>
              <w:top w:w="0pt" w:type="dxa"/>
              <w:end w:w="0pt" w:type="dxa"/>
            </w:tcMar>
            <w:vAlign w:val="bottom"/>
          </w:tcPr>
          <w:p w14:paraId="1104948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52012A8A"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103C94C0"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F233E1F"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6132A32"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846681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3014802B"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D85B97B"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2E295E9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41E24C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1375343E"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261FB7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53F93FB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0DA1B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r>
      <w:tr w:rsidR="0086099C" w14:paraId="47FFEAD9"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11C9DA2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Plus:</w:t>
            </w:r>
          </w:p>
        </w:tc>
        <w:tc>
          <w:tcPr>
            <w:tcW w:w="1.0%" w:type="pct"/>
            <w:tcBorders>
              <w:top w:val="nil"/>
              <w:start w:val="nil"/>
              <w:bottom w:val="nil"/>
              <w:end w:val="nil"/>
            </w:tcBorders>
            <w:shd w:val="clear" w:color="auto" w:fill="FFFFFF"/>
            <w:tcMar>
              <w:top w:w="0pt" w:type="dxa"/>
              <w:end w:w="0pt" w:type="dxa"/>
            </w:tcMar>
            <w:vAlign w:val="bottom"/>
          </w:tcPr>
          <w:p w14:paraId="07C30B3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60914EC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187614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01AB19B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C05405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108132E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78B943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0C23EA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6EA4E6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25CDC48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1F9D22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20DD6687"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3FE1680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General and administrative expense</w:t>
            </w:r>
          </w:p>
        </w:tc>
        <w:tc>
          <w:tcPr>
            <w:tcW w:w="1.0%" w:type="pct"/>
            <w:tcBorders>
              <w:top w:val="nil"/>
              <w:start w:val="nil"/>
              <w:bottom w:val="nil"/>
              <w:end w:val="nil"/>
            </w:tcBorders>
            <w:shd w:val="clear" w:color="auto" w:fill="CFF0FC"/>
            <w:tcMar>
              <w:top w:w="0pt" w:type="dxa"/>
              <w:end w:w="0pt" w:type="dxa"/>
            </w:tcMar>
            <w:vAlign w:val="bottom"/>
          </w:tcPr>
          <w:p w14:paraId="45602B7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570F93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2A1532D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577,565</w:t>
            </w:r>
          </w:p>
        </w:tc>
        <w:tc>
          <w:tcPr>
            <w:tcW w:w="1.0%" w:type="pct"/>
            <w:tcBorders>
              <w:top w:val="nil"/>
              <w:start w:val="nil"/>
              <w:bottom w:val="nil"/>
              <w:end w:val="nil"/>
            </w:tcBorders>
            <w:shd w:val="clear" w:color="auto" w:fill="CFF0FC"/>
            <w:tcMar>
              <w:top w:w="0pt" w:type="dxa"/>
              <w:end w:w="0pt" w:type="dxa"/>
            </w:tcMar>
            <w:vAlign w:val="bottom"/>
          </w:tcPr>
          <w:p w14:paraId="0A4BE14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0E611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7.0%" w:type="pct"/>
            <w:tcBorders>
              <w:top w:val="nil"/>
              <w:start w:val="nil"/>
              <w:bottom w:val="nil"/>
              <w:end w:val="nil"/>
            </w:tcBorders>
            <w:shd w:val="clear" w:color="auto" w:fill="CFF0FC"/>
            <w:tcMar>
              <w:top w:w="0pt" w:type="dxa"/>
              <w:end w:w="0pt" w:type="dxa"/>
            </w:tcMar>
            <w:vAlign w:val="bottom"/>
          </w:tcPr>
          <w:p w14:paraId="6EAEC82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530,538</w:t>
            </w:r>
          </w:p>
        </w:tc>
        <w:tc>
          <w:tcPr>
            <w:tcW w:w="1.0%" w:type="pct"/>
            <w:tcBorders>
              <w:top w:val="nil"/>
              <w:start w:val="nil"/>
              <w:bottom w:val="nil"/>
              <w:end w:val="nil"/>
            </w:tcBorders>
            <w:shd w:val="clear" w:color="auto" w:fill="CFF0FC"/>
            <w:tcMar>
              <w:top w:w="0pt" w:type="dxa"/>
              <w:end w:w="0pt" w:type="dxa"/>
            </w:tcMar>
            <w:vAlign w:val="bottom"/>
          </w:tcPr>
          <w:p w14:paraId="424261F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7B5A8C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F18EF4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A9F47F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2B99714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1,632,018</w:t>
            </w:r>
          </w:p>
        </w:tc>
        <w:tc>
          <w:tcPr>
            <w:tcW w:w="1.0%" w:type="pct"/>
            <w:tcBorders>
              <w:top w:val="nil"/>
              <w:start w:val="nil"/>
              <w:bottom w:val="nil"/>
              <w:end w:val="nil"/>
            </w:tcBorders>
            <w:shd w:val="clear" w:color="auto" w:fill="CFF0FC"/>
            <w:tcMar>
              <w:top w:w="0pt" w:type="dxa"/>
              <w:end w:w="0pt" w:type="dxa"/>
            </w:tcMar>
            <w:vAlign w:val="bottom"/>
          </w:tcPr>
          <w:p w14:paraId="389C803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6F0D29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8.0%" w:type="pct"/>
            <w:tcBorders>
              <w:top w:val="nil"/>
              <w:start w:val="nil"/>
              <w:bottom w:val="nil"/>
              <w:end w:val="nil"/>
            </w:tcBorders>
            <w:shd w:val="clear" w:color="auto" w:fill="CFF0FC"/>
            <w:tcMar>
              <w:top w:w="0pt" w:type="dxa"/>
              <w:end w:w="0pt" w:type="dxa"/>
            </w:tcMar>
            <w:vAlign w:val="bottom"/>
          </w:tcPr>
          <w:p w14:paraId="3FCBE5A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1,233,674</w:t>
            </w:r>
          </w:p>
        </w:tc>
        <w:tc>
          <w:tcPr>
            <w:tcW w:w="1.0%" w:type="pct"/>
            <w:tcBorders>
              <w:top w:val="nil"/>
              <w:start w:val="nil"/>
              <w:bottom w:val="nil"/>
              <w:end w:val="nil"/>
            </w:tcBorders>
            <w:shd w:val="clear" w:color="auto" w:fill="CFF0FC"/>
            <w:tcMar>
              <w:top w:w="0pt" w:type="dxa"/>
              <w:end w:w="0pt" w:type="dxa"/>
            </w:tcMar>
            <w:vAlign w:val="bottom"/>
          </w:tcPr>
          <w:p w14:paraId="0C36797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9B6E2BE"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68B2FC4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Depreciation and amortization</w:t>
            </w:r>
          </w:p>
        </w:tc>
        <w:tc>
          <w:tcPr>
            <w:tcW w:w="1.0%" w:type="pct"/>
            <w:tcBorders>
              <w:top w:val="nil"/>
              <w:start w:val="nil"/>
              <w:bottom w:val="nil"/>
              <w:end w:val="nil"/>
            </w:tcBorders>
            <w:shd w:val="clear" w:color="auto" w:fill="FFFFFF"/>
            <w:tcMar>
              <w:top w:w="0pt" w:type="dxa"/>
              <w:end w:w="0pt" w:type="dxa"/>
            </w:tcMar>
            <w:vAlign w:val="bottom"/>
          </w:tcPr>
          <w:p w14:paraId="3585AC6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432C4A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0AAE219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1,068,081</w:t>
            </w:r>
          </w:p>
        </w:tc>
        <w:tc>
          <w:tcPr>
            <w:tcW w:w="1.0%" w:type="pct"/>
            <w:tcBorders>
              <w:top w:val="nil"/>
              <w:start w:val="nil"/>
              <w:bottom w:val="nil"/>
              <w:end w:val="nil"/>
            </w:tcBorders>
            <w:shd w:val="clear" w:color="auto" w:fill="FFFFFF"/>
            <w:tcMar>
              <w:top w:w="0pt" w:type="dxa"/>
              <w:end w:w="0pt" w:type="dxa"/>
            </w:tcMar>
            <w:vAlign w:val="bottom"/>
          </w:tcPr>
          <w:p w14:paraId="554B742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AB49F6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0E5480C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981,419</w:t>
            </w:r>
          </w:p>
        </w:tc>
        <w:tc>
          <w:tcPr>
            <w:tcW w:w="1.0%" w:type="pct"/>
            <w:tcBorders>
              <w:top w:val="nil"/>
              <w:start w:val="nil"/>
              <w:bottom w:val="nil"/>
              <w:end w:val="nil"/>
            </w:tcBorders>
            <w:shd w:val="clear" w:color="auto" w:fill="FFFFFF"/>
            <w:tcMar>
              <w:top w:w="0pt" w:type="dxa"/>
              <w:end w:w="0pt" w:type="dxa"/>
            </w:tcMar>
            <w:vAlign w:val="bottom"/>
          </w:tcPr>
          <w:p w14:paraId="5ADCE88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67D21AAC"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256343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01D115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36302DA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3,474,918</w:t>
            </w:r>
          </w:p>
        </w:tc>
        <w:tc>
          <w:tcPr>
            <w:tcW w:w="1.0%" w:type="pct"/>
            <w:tcBorders>
              <w:top w:val="nil"/>
              <w:start w:val="nil"/>
              <w:bottom w:val="nil"/>
              <w:end w:val="nil"/>
            </w:tcBorders>
            <w:shd w:val="clear" w:color="auto" w:fill="FFFFFF"/>
            <w:tcMar>
              <w:top w:w="0pt" w:type="dxa"/>
              <w:end w:w="0pt" w:type="dxa"/>
            </w:tcMar>
            <w:vAlign w:val="bottom"/>
          </w:tcPr>
          <w:p w14:paraId="715321D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D47648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56E8FDF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2,096,970</w:t>
            </w:r>
          </w:p>
        </w:tc>
        <w:tc>
          <w:tcPr>
            <w:tcW w:w="1.0%" w:type="pct"/>
            <w:tcBorders>
              <w:top w:val="nil"/>
              <w:start w:val="nil"/>
              <w:bottom w:val="nil"/>
              <w:end w:val="nil"/>
            </w:tcBorders>
            <w:shd w:val="clear" w:color="auto" w:fill="FFFFFF"/>
            <w:tcMar>
              <w:top w:w="0pt" w:type="dxa"/>
              <w:end w:w="0pt" w:type="dxa"/>
            </w:tcMar>
            <w:vAlign w:val="bottom"/>
          </w:tcPr>
          <w:p w14:paraId="4364B66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18A1371D"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8254B8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Interest expense, net</w:t>
            </w:r>
          </w:p>
        </w:tc>
        <w:tc>
          <w:tcPr>
            <w:tcW w:w="1.0%" w:type="pct"/>
            <w:tcBorders>
              <w:top w:val="nil"/>
              <w:start w:val="nil"/>
              <w:bottom w:val="nil"/>
              <w:end w:val="nil"/>
            </w:tcBorders>
            <w:shd w:val="clear" w:color="auto" w:fill="CFF0FC"/>
            <w:tcMar>
              <w:top w:w="0pt" w:type="dxa"/>
              <w:end w:w="0pt" w:type="dxa"/>
            </w:tcMar>
            <w:vAlign w:val="bottom"/>
          </w:tcPr>
          <w:p w14:paraId="59CF058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6131E0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567499A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1,098,608</w:t>
            </w:r>
          </w:p>
        </w:tc>
        <w:tc>
          <w:tcPr>
            <w:tcW w:w="1.0%" w:type="pct"/>
            <w:tcBorders>
              <w:top w:val="nil"/>
              <w:start w:val="nil"/>
              <w:bottom w:val="nil"/>
              <w:end w:val="nil"/>
            </w:tcBorders>
            <w:shd w:val="clear" w:color="auto" w:fill="CFF0FC"/>
            <w:tcMar>
              <w:top w:w="0pt" w:type="dxa"/>
              <w:end w:w="0pt" w:type="dxa"/>
            </w:tcMar>
            <w:vAlign w:val="bottom"/>
          </w:tcPr>
          <w:p w14:paraId="5238BAF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56A9C1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45F39EF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770,624</w:t>
            </w:r>
          </w:p>
        </w:tc>
        <w:tc>
          <w:tcPr>
            <w:tcW w:w="1.0%" w:type="pct"/>
            <w:tcBorders>
              <w:top w:val="nil"/>
              <w:start w:val="nil"/>
              <w:bottom w:val="nil"/>
              <w:end w:val="nil"/>
            </w:tcBorders>
            <w:shd w:val="clear" w:color="auto" w:fill="CFF0FC"/>
            <w:tcMar>
              <w:top w:w="0pt" w:type="dxa"/>
              <w:end w:w="0pt" w:type="dxa"/>
            </w:tcMar>
            <w:vAlign w:val="bottom"/>
          </w:tcPr>
          <w:p w14:paraId="2E2707F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2A6916C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9A87F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F5DC0E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7ABE390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3,142,489</w:t>
            </w:r>
          </w:p>
        </w:tc>
        <w:tc>
          <w:tcPr>
            <w:tcW w:w="1.0%" w:type="pct"/>
            <w:tcBorders>
              <w:top w:val="nil"/>
              <w:start w:val="nil"/>
              <w:bottom w:val="nil"/>
              <w:end w:val="nil"/>
            </w:tcBorders>
            <w:shd w:val="clear" w:color="auto" w:fill="CFF0FC"/>
            <w:tcMar>
              <w:top w:w="0pt" w:type="dxa"/>
              <w:end w:w="0pt" w:type="dxa"/>
            </w:tcMar>
            <w:vAlign w:val="bottom"/>
          </w:tcPr>
          <w:p w14:paraId="6E9EBCF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AC3966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1C6E15C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1,706,585</w:t>
            </w:r>
          </w:p>
        </w:tc>
        <w:tc>
          <w:tcPr>
            <w:tcW w:w="1.0%" w:type="pct"/>
            <w:tcBorders>
              <w:top w:val="nil"/>
              <w:start w:val="nil"/>
              <w:bottom w:val="nil"/>
              <w:end w:val="nil"/>
            </w:tcBorders>
            <w:shd w:val="clear" w:color="auto" w:fill="CFF0FC"/>
            <w:tcMar>
              <w:top w:w="0pt" w:type="dxa"/>
              <w:end w:w="0pt" w:type="dxa"/>
            </w:tcMar>
            <w:vAlign w:val="bottom"/>
          </w:tcPr>
          <w:p w14:paraId="4646791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894AF3C"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7BCC046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Compensation costs</w:t>
            </w:r>
          </w:p>
        </w:tc>
        <w:tc>
          <w:tcPr>
            <w:tcW w:w="1.0%" w:type="pct"/>
            <w:tcBorders>
              <w:top w:val="nil"/>
              <w:start w:val="nil"/>
              <w:bottom w:val="nil"/>
              <w:end w:val="nil"/>
            </w:tcBorders>
            <w:shd w:val="clear" w:color="auto" w:fill="FFFFFF"/>
            <w:tcMar>
              <w:top w:w="0pt" w:type="dxa"/>
              <w:end w:w="0pt" w:type="dxa"/>
            </w:tcMar>
            <w:vAlign w:val="bottom"/>
          </w:tcPr>
          <w:p w14:paraId="5CD1344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0CFCB2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1EB09F6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296,398</w:t>
            </w:r>
          </w:p>
        </w:tc>
        <w:tc>
          <w:tcPr>
            <w:tcW w:w="1.0%" w:type="pct"/>
            <w:tcBorders>
              <w:top w:val="nil"/>
              <w:start w:val="nil"/>
              <w:bottom w:val="nil"/>
              <w:end w:val="nil"/>
            </w:tcBorders>
            <w:shd w:val="clear" w:color="auto" w:fill="FFFFFF"/>
            <w:tcMar>
              <w:top w:w="0pt" w:type="dxa"/>
              <w:end w:w="0pt" w:type="dxa"/>
            </w:tcMar>
            <w:vAlign w:val="bottom"/>
          </w:tcPr>
          <w:p w14:paraId="78E1351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2BFD14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43CBB98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346,196</w:t>
            </w:r>
          </w:p>
        </w:tc>
        <w:tc>
          <w:tcPr>
            <w:tcW w:w="1.0%" w:type="pct"/>
            <w:tcBorders>
              <w:top w:val="nil"/>
              <w:start w:val="nil"/>
              <w:bottom w:val="nil"/>
              <w:end w:val="nil"/>
            </w:tcBorders>
            <w:shd w:val="clear" w:color="auto" w:fill="FFFFFF"/>
            <w:tcMar>
              <w:top w:w="0pt" w:type="dxa"/>
              <w:end w:w="0pt" w:type="dxa"/>
            </w:tcMar>
            <w:vAlign w:val="bottom"/>
          </w:tcPr>
          <w:p w14:paraId="79984C5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62B4EA6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191AB5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C660ED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5254A58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816,604</w:t>
            </w:r>
          </w:p>
        </w:tc>
        <w:tc>
          <w:tcPr>
            <w:tcW w:w="1.0%" w:type="pct"/>
            <w:tcBorders>
              <w:top w:val="nil"/>
              <w:start w:val="nil"/>
              <w:bottom w:val="nil"/>
              <w:end w:val="nil"/>
            </w:tcBorders>
            <w:shd w:val="clear" w:color="auto" w:fill="FFFFFF"/>
            <w:tcMar>
              <w:top w:w="0pt" w:type="dxa"/>
              <w:end w:w="0pt" w:type="dxa"/>
            </w:tcMar>
            <w:vAlign w:val="bottom"/>
          </w:tcPr>
          <w:p w14:paraId="145EE7D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7F0D4A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0D1A272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980,202</w:t>
            </w:r>
          </w:p>
        </w:tc>
        <w:tc>
          <w:tcPr>
            <w:tcW w:w="1.0%" w:type="pct"/>
            <w:tcBorders>
              <w:top w:val="nil"/>
              <w:start w:val="nil"/>
              <w:bottom w:val="nil"/>
              <w:end w:val="nil"/>
            </w:tcBorders>
            <w:shd w:val="clear" w:color="auto" w:fill="FFFFFF"/>
            <w:tcMar>
              <w:top w:w="0pt" w:type="dxa"/>
              <w:end w:w="0pt" w:type="dxa"/>
            </w:tcMar>
            <w:vAlign w:val="bottom"/>
          </w:tcPr>
          <w:p w14:paraId="3F5D47B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030F0DC"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7B1391BF"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Other expense</w:t>
            </w:r>
          </w:p>
        </w:tc>
        <w:tc>
          <w:tcPr>
            <w:tcW w:w="1.0%" w:type="pct"/>
            <w:tcBorders>
              <w:top w:val="nil"/>
              <w:start w:val="nil"/>
              <w:bottom w:val="nil"/>
              <w:end w:val="nil"/>
            </w:tcBorders>
            <w:shd w:val="clear" w:color="auto" w:fill="CFF0FC"/>
            <w:tcMar>
              <w:top w:w="0pt" w:type="dxa"/>
              <w:end w:w="0pt" w:type="dxa"/>
            </w:tcMar>
            <w:vAlign w:val="bottom"/>
          </w:tcPr>
          <w:p w14:paraId="38CB3D7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80168B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191B7C6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4E7FD37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8E0F6A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0962CD1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639</w:t>
            </w:r>
          </w:p>
        </w:tc>
        <w:tc>
          <w:tcPr>
            <w:tcW w:w="1.0%" w:type="pct"/>
            <w:tcBorders>
              <w:top w:val="nil"/>
              <w:start w:val="nil"/>
              <w:bottom w:val="nil"/>
              <w:end w:val="nil"/>
            </w:tcBorders>
            <w:shd w:val="clear" w:color="auto" w:fill="CFF0FC"/>
            <w:tcMar>
              <w:top w:w="0pt" w:type="dxa"/>
              <w:end w:w="0pt" w:type="dxa"/>
            </w:tcMar>
            <w:vAlign w:val="bottom"/>
          </w:tcPr>
          <w:p w14:paraId="2E61D6B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7A765C7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9C6B127"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686F02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41B89B0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621F591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7A9BE7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75FDBA4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506,639</w:t>
            </w:r>
          </w:p>
        </w:tc>
        <w:tc>
          <w:tcPr>
            <w:tcW w:w="1.0%" w:type="pct"/>
            <w:tcBorders>
              <w:top w:val="nil"/>
              <w:start w:val="nil"/>
              <w:bottom w:val="nil"/>
              <w:end w:val="nil"/>
            </w:tcBorders>
            <w:shd w:val="clear" w:color="auto" w:fill="CFF0FC"/>
            <w:tcMar>
              <w:top w:w="0pt" w:type="dxa"/>
              <w:end w:w="0pt" w:type="dxa"/>
            </w:tcMar>
            <w:vAlign w:val="bottom"/>
          </w:tcPr>
          <w:p w14:paraId="21DFC26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59CF862D"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1094F7C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Gain on derivative valuation, net</w:t>
            </w:r>
          </w:p>
        </w:tc>
        <w:tc>
          <w:tcPr>
            <w:tcW w:w="1.0%" w:type="pct"/>
            <w:tcBorders>
              <w:top w:val="nil"/>
              <w:start w:val="nil"/>
              <w:bottom w:val="nil"/>
              <w:end w:val="nil"/>
            </w:tcBorders>
            <w:shd w:val="clear" w:color="auto" w:fill="FFFFFF"/>
            <w:tcMar>
              <w:top w:w="0pt" w:type="dxa"/>
              <w:end w:w="0pt" w:type="dxa"/>
            </w:tcMar>
            <w:vAlign w:val="bottom"/>
          </w:tcPr>
          <w:p w14:paraId="3DF318B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207E28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7389F17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734,116</w:t>
            </w:r>
          </w:p>
        </w:tc>
        <w:tc>
          <w:tcPr>
            <w:tcW w:w="1.0%" w:type="pct"/>
            <w:tcBorders>
              <w:top w:val="nil"/>
              <w:start w:val="nil"/>
              <w:bottom w:val="nil"/>
              <w:end w:val="nil"/>
            </w:tcBorders>
            <w:shd w:val="clear" w:color="auto" w:fill="FFFFFF"/>
            <w:tcMar>
              <w:top w:w="0pt" w:type="dxa"/>
              <w:end w:w="0pt" w:type="dxa"/>
            </w:tcMar>
            <w:vAlign w:val="bottom"/>
          </w:tcPr>
          <w:p w14:paraId="0E004FD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D0307F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3855CFB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F0FA8A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26C504F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F5BBDA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D87DF0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5082DE5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308,570</w:t>
            </w:r>
          </w:p>
        </w:tc>
        <w:tc>
          <w:tcPr>
            <w:tcW w:w="1.0%" w:type="pct"/>
            <w:tcBorders>
              <w:top w:val="nil"/>
              <w:start w:val="nil"/>
              <w:bottom w:val="nil"/>
              <w:end w:val="nil"/>
            </w:tcBorders>
            <w:shd w:val="clear" w:color="auto" w:fill="FFFFFF"/>
            <w:tcMar>
              <w:top w:w="0pt" w:type="dxa"/>
              <w:end w:w="0pt" w:type="dxa"/>
            </w:tcMar>
            <w:vAlign w:val="bottom"/>
          </w:tcPr>
          <w:p w14:paraId="4798733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E87F27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006EC7D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34F5EE9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C815669"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095B57D6"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Income on investment in tenancy-in-common</w:t>
            </w:r>
          </w:p>
        </w:tc>
        <w:tc>
          <w:tcPr>
            <w:tcW w:w="1.0%" w:type="pct"/>
            <w:tcBorders>
              <w:top w:val="nil"/>
              <w:start w:val="nil"/>
              <w:bottom w:val="nil"/>
              <w:end w:val="nil"/>
            </w:tcBorders>
            <w:shd w:val="clear" w:color="auto" w:fill="CFF0FC"/>
            <w:tcMar>
              <w:top w:w="0pt" w:type="dxa"/>
              <w:end w:w="0pt" w:type="dxa"/>
            </w:tcMar>
            <w:vAlign w:val="bottom"/>
          </w:tcPr>
          <w:p w14:paraId="104562B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0E7F1B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6D32173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5B2336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06A27A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5380A8A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(3,362</w:t>
            </w:r>
          </w:p>
        </w:tc>
        <w:tc>
          <w:tcPr>
            <w:tcW w:w="1.0%" w:type="pct"/>
            <w:tcBorders>
              <w:top w:val="nil"/>
              <w:start w:val="nil"/>
              <w:bottom w:val="nil"/>
              <w:end w:val="nil"/>
            </w:tcBorders>
            <w:shd w:val="clear" w:color="auto" w:fill="CFF0FC"/>
            <w:tcMar>
              <w:top w:w="0pt" w:type="dxa"/>
              <w:end w:w="0pt" w:type="dxa"/>
            </w:tcMar>
            <w:vAlign w:val="bottom"/>
          </w:tcPr>
          <w:p w14:paraId="09D21CB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5CA3F4A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8EDFE5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D432E9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1560232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431CBE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56898B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CFF0FC"/>
            <w:tcMar>
              <w:top w:w="0pt" w:type="dxa"/>
              <w:end w:w="0pt" w:type="dxa"/>
            </w:tcMar>
            <w:vAlign w:val="bottom"/>
          </w:tcPr>
          <w:p w14:paraId="38B6791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(32,773</w:t>
            </w:r>
          </w:p>
        </w:tc>
        <w:tc>
          <w:tcPr>
            <w:tcW w:w="1.0%" w:type="pct"/>
            <w:tcBorders>
              <w:top w:val="nil"/>
              <w:start w:val="nil"/>
              <w:bottom w:val="nil"/>
              <w:end w:val="nil"/>
            </w:tcBorders>
            <w:shd w:val="clear" w:color="auto" w:fill="CFF0FC"/>
            <w:tcMar>
              <w:top w:w="0pt" w:type="dxa"/>
              <w:end w:w="0pt" w:type="dxa"/>
            </w:tcMar>
            <w:vAlign w:val="bottom"/>
          </w:tcPr>
          <w:p w14:paraId="4B51644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r w:rsidR="0086099C" w14:paraId="50AF7FCC"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58DCA05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Dead deal expense</w:t>
            </w:r>
          </w:p>
        </w:tc>
        <w:tc>
          <w:tcPr>
            <w:tcW w:w="1.0%" w:type="pct"/>
            <w:tcBorders>
              <w:top w:val="nil"/>
              <w:start w:val="nil"/>
              <w:bottom w:val="nil"/>
              <w:end w:val="nil"/>
            </w:tcBorders>
            <w:shd w:val="clear" w:color="auto" w:fill="FFFFFF"/>
            <w:tcMar>
              <w:top w:w="0pt" w:type="dxa"/>
              <w:end w:w="0pt" w:type="dxa"/>
            </w:tcMar>
            <w:vAlign w:val="bottom"/>
          </w:tcPr>
          <w:p w14:paraId="2300B55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D390B1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406A63D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C841E4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38A12A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62F9BB5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21943D4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EFF129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A78661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7F0A41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15D4FC1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35,873</w:t>
            </w:r>
          </w:p>
        </w:tc>
        <w:tc>
          <w:tcPr>
            <w:tcW w:w="1.0%" w:type="pct"/>
            <w:tcBorders>
              <w:top w:val="nil"/>
              <w:start w:val="nil"/>
              <w:bottom w:val="nil"/>
              <w:end w:val="nil"/>
            </w:tcBorders>
            <w:shd w:val="clear" w:color="auto" w:fill="FFFFFF"/>
            <w:tcMar>
              <w:top w:w="0pt" w:type="dxa"/>
              <w:end w:w="0pt" w:type="dxa"/>
            </w:tcMar>
            <w:vAlign w:val="bottom"/>
          </w:tcPr>
          <w:p w14:paraId="26D825D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D2FC1D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nil"/>
              <w:end w:val="nil"/>
            </w:tcBorders>
            <w:shd w:val="clear" w:color="auto" w:fill="FFFFFF"/>
            <w:tcMar>
              <w:top w:w="0pt" w:type="dxa"/>
              <w:end w:w="0pt" w:type="dxa"/>
            </w:tcMar>
            <w:vAlign w:val="bottom"/>
          </w:tcPr>
          <w:p w14:paraId="3C2CBCD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109,569</w:t>
            </w:r>
          </w:p>
        </w:tc>
        <w:tc>
          <w:tcPr>
            <w:tcW w:w="1.0%" w:type="pct"/>
            <w:tcBorders>
              <w:top w:val="nil"/>
              <w:start w:val="nil"/>
              <w:bottom w:val="nil"/>
              <w:end w:val="nil"/>
            </w:tcBorders>
            <w:shd w:val="clear" w:color="auto" w:fill="FFFFFF"/>
            <w:tcMar>
              <w:top w:w="0pt" w:type="dxa"/>
              <w:end w:w="0pt" w:type="dxa"/>
            </w:tcMar>
            <w:vAlign w:val="bottom"/>
          </w:tcPr>
          <w:p w14:paraId="1B5616A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DE120D4"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77C6965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Loss on debt extinguishment</w:t>
            </w:r>
          </w:p>
        </w:tc>
        <w:tc>
          <w:tcPr>
            <w:tcW w:w="1.0%" w:type="pct"/>
            <w:tcBorders>
              <w:top w:val="nil"/>
              <w:start w:val="nil"/>
              <w:bottom w:val="nil"/>
              <w:end w:val="nil"/>
            </w:tcBorders>
            <w:shd w:val="clear" w:color="auto" w:fill="CFF0FC"/>
            <w:tcMar>
              <w:top w:w="0pt" w:type="dxa"/>
              <w:end w:w="0pt" w:type="dxa"/>
            </w:tcMar>
            <w:vAlign w:val="bottom"/>
          </w:tcPr>
          <w:p w14:paraId="1883652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03CC23E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498AC24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6B4C7B8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702AEFE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CFF0FC"/>
            <w:tcMar>
              <w:top w:w="0pt" w:type="dxa"/>
              <w:end w:w="0pt" w:type="dxa"/>
            </w:tcMar>
            <w:vAlign w:val="bottom"/>
          </w:tcPr>
          <w:p w14:paraId="3A4294A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74D06B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5107314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BF9933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5091371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6DFC2BB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1,058,994</w:t>
            </w:r>
          </w:p>
        </w:tc>
        <w:tc>
          <w:tcPr>
            <w:tcW w:w="1.0%" w:type="pct"/>
            <w:tcBorders>
              <w:top w:val="nil"/>
              <w:start w:val="nil"/>
              <w:bottom w:val="nil"/>
              <w:end w:val="nil"/>
            </w:tcBorders>
            <w:shd w:val="clear" w:color="auto" w:fill="CFF0FC"/>
            <w:tcMar>
              <w:top w:w="0pt" w:type="dxa"/>
              <w:end w:w="0pt" w:type="dxa"/>
            </w:tcMar>
            <w:vAlign w:val="bottom"/>
          </w:tcPr>
          <w:p w14:paraId="7E26506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1EE6F3A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8.0%" w:type="pct"/>
            <w:tcBorders>
              <w:top w:val="nil"/>
              <w:start w:val="nil"/>
              <w:bottom w:val="single" w:sz="4" w:space="0" w:color="000000"/>
              <w:end w:val="nil"/>
            </w:tcBorders>
            <w:shd w:val="clear" w:color="auto" w:fill="CFF0FC"/>
            <w:tcMar>
              <w:top w:w="0pt" w:type="dxa"/>
              <w:end w:w="0pt" w:type="dxa"/>
            </w:tcMar>
            <w:vAlign w:val="bottom"/>
          </w:tcPr>
          <w:p w14:paraId="1D1E3A1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BA757D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30198704"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50B5436D"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Operating Income</w:t>
            </w:r>
          </w:p>
        </w:tc>
        <w:tc>
          <w:tcPr>
            <w:tcW w:w="1.0%" w:type="pct"/>
            <w:tcBorders>
              <w:top w:val="nil"/>
              <w:start w:val="nil"/>
              <w:bottom w:val="nil"/>
              <w:end w:val="nil"/>
            </w:tcBorders>
            <w:shd w:val="clear" w:color="auto" w:fill="FFFFFF"/>
            <w:tcMar>
              <w:top w:w="0pt" w:type="dxa"/>
              <w:end w:w="0pt" w:type="dxa"/>
            </w:tcMar>
            <w:vAlign w:val="bottom"/>
          </w:tcPr>
          <w:p w14:paraId="54E88157" w14:textId="77777777" w:rsidR="0086099C" w:rsidRDefault="0086099C">
            <w:pPr>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76B6D127"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single" w:sz="4" w:space="0" w:color="000000"/>
              <w:start w:val="nil"/>
              <w:bottom w:val="double" w:sz="6" w:space="0" w:color="000000"/>
              <w:end w:val="nil"/>
            </w:tcBorders>
            <w:shd w:val="clear" w:color="auto" w:fill="FFFFFF"/>
            <w:tcMar>
              <w:top w:w="0pt" w:type="dxa"/>
              <w:end w:w="0pt" w:type="dxa"/>
            </w:tcMar>
            <w:vAlign w:val="bottom"/>
          </w:tcPr>
          <w:p w14:paraId="5E82AA3F"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1,671,220</w:t>
            </w:r>
          </w:p>
        </w:tc>
        <w:tc>
          <w:tcPr>
            <w:tcW w:w="1.0%" w:type="pct"/>
            <w:tcBorders>
              <w:top w:val="nil"/>
              <w:start w:val="nil"/>
              <w:bottom w:val="nil"/>
              <w:end w:val="nil"/>
            </w:tcBorders>
            <w:shd w:val="clear" w:color="auto" w:fill="FFFFFF"/>
            <w:tcMar>
              <w:top w:w="0pt" w:type="dxa"/>
              <w:end w:w="0pt" w:type="dxa"/>
            </w:tcMar>
            <w:vAlign w:val="bottom"/>
          </w:tcPr>
          <w:p w14:paraId="55CA0E13"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438ACAEA"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FFFFFF"/>
            <w:tcMar>
              <w:top w:w="0pt" w:type="dxa"/>
              <w:end w:w="0pt" w:type="dxa"/>
            </w:tcMar>
            <w:vAlign w:val="bottom"/>
          </w:tcPr>
          <w:p w14:paraId="3E974EF2"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1,412,789</w:t>
            </w:r>
          </w:p>
        </w:tc>
        <w:tc>
          <w:tcPr>
            <w:tcW w:w="1.0%" w:type="pct"/>
            <w:tcBorders>
              <w:top w:val="nil"/>
              <w:start w:val="nil"/>
              <w:bottom w:val="nil"/>
              <w:end w:val="nil"/>
            </w:tcBorders>
            <w:shd w:val="clear" w:color="auto" w:fill="FFFFFF"/>
            <w:tcMar>
              <w:top w:w="0pt" w:type="dxa"/>
              <w:end w:w="0pt" w:type="dxa"/>
            </w:tcMar>
            <w:vAlign w:val="bottom"/>
          </w:tcPr>
          <w:p w14:paraId="4DBC6EE2"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0F6AD31" w14:textId="77777777" w:rsidR="0086099C" w:rsidRDefault="0086099C">
            <w:pPr>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25F0985" w14:textId="77777777" w:rsidR="0086099C" w:rsidRDefault="0086099C">
            <w:pPr>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32FCE931"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single" w:sz="4" w:space="0" w:color="000000"/>
              <w:start w:val="nil"/>
              <w:bottom w:val="double" w:sz="6" w:space="0" w:color="000000"/>
              <w:end w:val="nil"/>
            </w:tcBorders>
            <w:shd w:val="clear" w:color="auto" w:fill="FFFFFF"/>
            <w:tcMar>
              <w:top w:w="0pt" w:type="dxa"/>
              <w:end w:w="0pt" w:type="dxa"/>
            </w:tcMar>
            <w:vAlign w:val="bottom"/>
          </w:tcPr>
          <w:p w14:paraId="2B8AC748"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5,025,334</w:t>
            </w:r>
          </w:p>
        </w:tc>
        <w:tc>
          <w:tcPr>
            <w:tcW w:w="1.0%" w:type="pct"/>
            <w:tcBorders>
              <w:top w:val="nil"/>
              <w:start w:val="nil"/>
              <w:bottom w:val="nil"/>
              <w:end w:val="nil"/>
            </w:tcBorders>
            <w:shd w:val="clear" w:color="auto" w:fill="FFFFFF"/>
            <w:tcMar>
              <w:top w:w="0pt" w:type="dxa"/>
              <w:end w:w="0pt" w:type="dxa"/>
            </w:tcMar>
            <w:vAlign w:val="bottom"/>
          </w:tcPr>
          <w:p w14:paraId="060BDDC4"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10475C0F" w14:textId="77777777" w:rsidR="0086099C" w:rsidRDefault="00000000">
            <w:pPr>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8.0%" w:type="pct"/>
            <w:tcBorders>
              <w:top w:val="single" w:sz="4" w:space="0" w:color="000000"/>
              <w:start w:val="nil"/>
              <w:bottom w:val="double" w:sz="6" w:space="0" w:color="000000"/>
              <w:end w:val="nil"/>
            </w:tcBorders>
            <w:shd w:val="clear" w:color="auto" w:fill="FFFFFF"/>
            <w:tcMar>
              <w:top w:w="0pt" w:type="dxa"/>
              <w:end w:w="0pt" w:type="dxa"/>
            </w:tcMar>
            <w:vAlign w:val="bottom"/>
          </w:tcPr>
          <w:p w14:paraId="1CA3533D" w14:textId="77777777" w:rsidR="0086099C" w:rsidRDefault="00000000">
            <w:pPr>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3,444,851</w:t>
            </w:r>
          </w:p>
        </w:tc>
        <w:tc>
          <w:tcPr>
            <w:tcW w:w="1.0%" w:type="pct"/>
            <w:tcBorders>
              <w:top w:val="nil"/>
              <w:start w:val="nil"/>
              <w:bottom w:val="nil"/>
              <w:end w:val="nil"/>
            </w:tcBorders>
            <w:shd w:val="clear" w:color="auto" w:fill="FFFFFF"/>
            <w:tcMar>
              <w:top w:w="0pt" w:type="dxa"/>
              <w:end w:w="0pt" w:type="dxa"/>
            </w:tcMar>
            <w:vAlign w:val="bottom"/>
          </w:tcPr>
          <w:p w14:paraId="40BD0FF2"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tc>
      </w:tr>
    </w:tbl>
    <w:p w14:paraId="5E5D5E99" w14:textId="77777777" w:rsidR="0086099C" w:rsidRDefault="00000000">
      <w:pPr>
        <w:pBdr>
          <w:top w:val="nil"/>
          <w:left w:val="nil"/>
          <w:bottom w:val="nil"/>
          <w:right w:val="nil"/>
          <w:between w:val="nil"/>
          <w:bar w:val="nil"/>
        </w:pBdr>
        <w:jc w:val="both"/>
        <w:rPr>
          <w:rFonts w:ascii="Open Sans" w:eastAsia="Open Sans" w:hAnsi="Open Sans" w:cs="Open Sans"/>
          <w:color w:val="000000"/>
          <w:sz w:val="2"/>
        </w:rPr>
      </w:pPr>
      <w:r>
        <w:rPr>
          <w:rFonts w:ascii="Open Sans" w:eastAsia="Open Sans" w:hAnsi="Open Sans" w:cs="Open Sans"/>
          <w:color w:val="000000"/>
          <w:sz w:val="18"/>
        </w:rPr>
        <w:cr/>
      </w:r>
      <w:r>
        <w:rPr>
          <w:sz w:val="2"/>
        </w:rPr>
        <w:br w:type="page"/>
      </w:r>
    </w:p>
    <w:p w14:paraId="3F02EBA0"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lastRenderedPageBreak/>
        <w:t>FFO and Related Measures</w:t>
      </w:r>
    </w:p>
    <w:p w14:paraId="6E161D02" w14:textId="77777777" w:rsidR="0086099C" w:rsidRDefault="00000000">
      <w:pPr>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 xml:space="preserve">(unaudited)   </w:t>
      </w:r>
    </w:p>
    <w:p w14:paraId="6163C54B" w14:textId="77777777" w:rsidR="0086099C" w:rsidRDefault="0086099C">
      <w:pPr>
        <w:pBdr>
          <w:top w:val="nil"/>
          <w:left w:val="nil"/>
          <w:bottom w:val="nil"/>
          <w:right w:val="nil"/>
          <w:between w:val="nil"/>
          <w:bar w:val="nil"/>
        </w:pBdr>
        <w:jc w:val="both"/>
        <w:rPr>
          <w:rFonts w:ascii="Open Sans" w:eastAsia="Open Sans" w:hAnsi="Open Sans" w:cs="Open Sans"/>
          <w:color w:val="000000"/>
          <w:sz w:val="18"/>
        </w:rPr>
      </w:pPr>
    </w:p>
    <w:p w14:paraId="4B94B9EB" w14:textId="77777777" w:rsidR="0086099C" w:rsidRDefault="00000000">
      <w:pPr>
        <w:pBdr>
          <w:top w:val="nil"/>
          <w:left w:val="nil"/>
          <w:bottom w:val="nil"/>
          <w:right w:val="nil"/>
          <w:between w:val="nil"/>
          <w:bar w:val="nil"/>
        </w:pBdr>
        <w:jc w:val="both"/>
        <w:rPr>
          <w:rFonts w:ascii="Open Sans" w:eastAsia="Open Sans" w:hAnsi="Open Sans" w:cs="Open Sans"/>
          <w:color w:val="000000"/>
          <w:sz w:val="18"/>
        </w:rPr>
      </w:pPr>
      <w:r>
        <w:rPr>
          <w:rFonts w:ascii="Open Sans" w:eastAsia="Open Sans" w:hAnsi="Open Sans" w:cs="Open Sans"/>
          <w:color w:val="000000"/>
          <w:sz w:val="18"/>
        </w:rPr>
        <w:t>The following tables reconcile net income (loss), which we believe is the most comparable GAAP measure, to FFO, Core FFO, AFFO, and Core AFFO:</w:t>
      </w:r>
    </w:p>
    <w:p w14:paraId="23AD46E3" w14:textId="77777777" w:rsidR="0086099C" w:rsidRDefault="0086099C">
      <w:pPr>
        <w:pBdr>
          <w:top w:val="nil"/>
          <w:left w:val="nil"/>
          <w:bottom w:val="nil"/>
          <w:right w:val="nil"/>
          <w:between w:val="nil"/>
          <w:bar w:val="nil"/>
        </w:pBdr>
        <w:jc w:val="both"/>
        <w:rPr>
          <w:rFonts w:ascii="Open Sans" w:eastAsia="Open Sans" w:hAnsi="Open Sans" w:cs="Open Sans"/>
          <w:color w:val="000000"/>
          <w:sz w:val="18"/>
        </w:rPr>
      </w:pPr>
    </w:p>
    <w:p w14:paraId="49853620" w14:textId="77777777" w:rsidR="0086099C" w:rsidRDefault="0086099C">
      <w:pPr>
        <w:pBdr>
          <w:top w:val="nil"/>
          <w:left w:val="nil"/>
          <w:bottom w:val="nil"/>
          <w:right w:val="nil"/>
          <w:between w:val="nil"/>
          <w:bar w:val="nil"/>
        </w:pBdr>
        <w:jc w:val="both"/>
        <w:rPr>
          <w:rFonts w:ascii="Open Sans" w:eastAsia="Open Sans" w:hAnsi="Open Sans" w:cs="Open Sans"/>
          <w:color w:val="000000"/>
          <w:sz w:val="18"/>
        </w:rPr>
      </w:pPr>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top w:w="0.70pt" w:type="dxa"/>
          <w:start w:w="0pt" w:type="dxa"/>
          <w:end w:w="0.70pt" w:type="dxa"/>
        </w:tblCellMar>
        <w:tblLook w:firstRow="1" w:lastRow="0" w:firstColumn="1" w:lastColumn="0" w:noHBand="0" w:noVBand="1"/>
      </w:tblPr>
      <w:tblGrid>
        <w:gridCol w:w="6093"/>
        <w:gridCol w:w="113"/>
        <w:gridCol w:w="1051"/>
        <w:gridCol w:w="113"/>
        <w:gridCol w:w="113"/>
        <w:gridCol w:w="885"/>
        <w:gridCol w:w="113"/>
        <w:gridCol w:w="113"/>
        <w:gridCol w:w="113"/>
        <w:gridCol w:w="113"/>
        <w:gridCol w:w="113"/>
        <w:gridCol w:w="1051"/>
        <w:gridCol w:w="113"/>
        <w:gridCol w:w="113"/>
        <w:gridCol w:w="1052"/>
        <w:gridCol w:w="114"/>
      </w:tblGrid>
      <w:tr w:rsidR="0086099C" w14:paraId="70F5DD52"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167A444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6B9A9C7A"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Three Months ended September 30,</w:t>
            </w:r>
          </w:p>
        </w:tc>
        <w:tc>
          <w:tcPr>
            <w:tcW w:w="1.0%" w:type="pct"/>
            <w:tcBorders>
              <w:top w:val="nil"/>
              <w:start w:val="nil"/>
              <w:bottom w:val="nil"/>
              <w:end w:val="nil"/>
            </w:tcBorders>
            <w:shd w:val="clear" w:color="auto" w:fill="FFFFFF"/>
            <w:tcMar>
              <w:top w:w="0pt" w:type="dxa"/>
              <w:end w:w="0pt" w:type="dxa"/>
            </w:tcMar>
            <w:vAlign w:val="bottom"/>
          </w:tcPr>
          <w:p w14:paraId="2571ED1B"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1EA1F72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69384E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5"/>
            <w:tcBorders>
              <w:top w:val="nil"/>
              <w:start w:val="nil"/>
              <w:bottom w:val="single" w:sz="4" w:space="0" w:color="000000"/>
              <w:end w:val="nil"/>
            </w:tcBorders>
            <w:shd w:val="clear" w:color="auto" w:fill="FFFFFF"/>
            <w:tcMar>
              <w:top w:w="0pt" w:type="dxa"/>
              <w:end w:w="0pt" w:type="dxa"/>
            </w:tcMar>
            <w:vAlign w:val="bottom"/>
          </w:tcPr>
          <w:p w14:paraId="245EAE25"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Nine Months ended September 30,</w:t>
            </w:r>
          </w:p>
        </w:tc>
        <w:tc>
          <w:tcPr>
            <w:tcW w:w="1.0%" w:type="pct"/>
            <w:tcBorders>
              <w:top w:val="nil"/>
              <w:start w:val="nil"/>
              <w:bottom w:val="nil"/>
              <w:end w:val="nil"/>
            </w:tcBorders>
            <w:shd w:val="clear" w:color="auto" w:fill="FFFFFF"/>
            <w:tcMar>
              <w:top w:w="0pt" w:type="dxa"/>
              <w:end w:w="0pt" w:type="dxa"/>
            </w:tcMar>
            <w:vAlign w:val="bottom"/>
          </w:tcPr>
          <w:p w14:paraId="5F4B9090"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22EB727E"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23387A0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48AEB703"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tcPr>
          <w:p w14:paraId="71AFBEB6"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7E343709"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tcPr>
          <w:p w14:paraId="34305C44"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tcPr>
          <w:p w14:paraId="3E506A41"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tcPr>
          <w:p w14:paraId="2E091961"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2E1F68F1"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2024</w:t>
            </w:r>
          </w:p>
        </w:tc>
        <w:tc>
          <w:tcPr>
            <w:tcW w:w="1.0%" w:type="pct"/>
            <w:tcBorders>
              <w:top w:val="nil"/>
              <w:start w:val="nil"/>
              <w:bottom w:val="nil"/>
              <w:end w:val="nil"/>
            </w:tcBorders>
            <w:shd w:val="clear" w:color="auto" w:fill="FFFFFF"/>
            <w:tcMar>
              <w:top w:w="0pt" w:type="dxa"/>
              <w:end w:w="0pt" w:type="dxa"/>
            </w:tcMar>
          </w:tcPr>
          <w:p w14:paraId="0609C311"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c>
          <w:tcPr>
            <w:tcW w:w="0pt" w:type="dxa"/>
            <w:gridSpan w:val="2"/>
            <w:tcBorders>
              <w:top w:val="single" w:sz="4" w:space="0" w:color="000000"/>
              <w:start w:val="nil"/>
              <w:bottom w:val="single" w:sz="4" w:space="0" w:color="000000"/>
              <w:end w:val="nil"/>
            </w:tcBorders>
            <w:shd w:val="clear" w:color="auto" w:fill="FFFFFF"/>
            <w:tcMar>
              <w:top w:w="0pt" w:type="dxa"/>
              <w:end w:w="0pt" w:type="dxa"/>
            </w:tcMar>
          </w:tcPr>
          <w:p w14:paraId="3F8D0AAA" w14:textId="77777777" w:rsidR="0086099C" w:rsidRDefault="00000000">
            <w:pPr>
              <w:keepNext/>
              <w:pBdr>
                <w:top w:val="nil"/>
                <w:left w:val="nil"/>
                <w:bottom w:val="nil"/>
                <w:right w:val="nil"/>
                <w:between w:val="nil"/>
                <w:bar w:val="nil"/>
              </w:pBdr>
              <w:jc w:val="center"/>
              <w:rPr>
                <w:rFonts w:ascii="Open Sans" w:eastAsia="Open Sans" w:hAnsi="Open Sans" w:cs="Open Sans"/>
                <w:b/>
                <w:color w:val="000000"/>
                <w:sz w:val="18"/>
              </w:rPr>
            </w:pPr>
            <w:r>
              <w:rPr>
                <w:rFonts w:ascii="Open Sans" w:eastAsia="Open Sans" w:hAnsi="Open Sans" w:cs="Open Sans"/>
                <w:b/>
                <w:color w:val="000000"/>
                <w:sz w:val="18"/>
              </w:rPr>
              <w:t>2023</w:t>
            </w:r>
          </w:p>
        </w:tc>
        <w:tc>
          <w:tcPr>
            <w:tcW w:w="1.0%" w:type="pct"/>
            <w:tcBorders>
              <w:top w:val="nil"/>
              <w:start w:val="nil"/>
              <w:bottom w:val="nil"/>
              <w:end w:val="nil"/>
            </w:tcBorders>
            <w:shd w:val="clear" w:color="auto" w:fill="FFFFFF"/>
            <w:tcMar>
              <w:top w:w="0pt" w:type="dxa"/>
              <w:end w:w="0pt" w:type="dxa"/>
            </w:tcMar>
          </w:tcPr>
          <w:p w14:paraId="20DEEB09" w14:textId="77777777" w:rsidR="0086099C" w:rsidRDefault="0086099C">
            <w:pPr>
              <w:keepNext/>
              <w:pBdr>
                <w:top w:val="nil"/>
                <w:left w:val="nil"/>
                <w:bottom w:val="nil"/>
                <w:right w:val="nil"/>
                <w:between w:val="nil"/>
                <w:bar w:val="nil"/>
              </w:pBdr>
              <w:jc w:val="center"/>
              <w:rPr>
                <w:rFonts w:ascii="Open Sans" w:eastAsia="Open Sans" w:hAnsi="Open Sans" w:cs="Open Sans"/>
                <w:b/>
                <w:color w:val="000000"/>
                <w:sz w:val="18"/>
              </w:rPr>
            </w:pPr>
          </w:p>
        </w:tc>
      </w:tr>
      <w:tr w:rsidR="0086099C" w14:paraId="2414A27F"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3D94046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727A62F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C34C09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6ECCD5D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3347E6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4FE24BC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782C02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2E12795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5C63BB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nil"/>
              <w:end w:val="nil"/>
            </w:tcBorders>
            <w:shd w:val="clear" w:color="auto" w:fill="FFFFFF"/>
            <w:tcMar>
              <w:top w:w="0pt" w:type="dxa"/>
              <w:end w:w="0pt" w:type="dxa"/>
            </w:tcMar>
            <w:vAlign w:val="bottom"/>
          </w:tcPr>
          <w:p w14:paraId="70EE13B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877B98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2173F58"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6AA95C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w:t>
            </w:r>
          </w:p>
        </w:tc>
        <w:tc>
          <w:tcPr>
            <w:tcW w:w="1.0%" w:type="pct"/>
            <w:tcBorders>
              <w:top w:val="nil"/>
              <w:start w:val="nil"/>
              <w:bottom w:val="nil"/>
              <w:end w:val="nil"/>
            </w:tcBorders>
            <w:shd w:val="clear" w:color="auto" w:fill="CFF0FC"/>
            <w:tcMar>
              <w:top w:w="0pt" w:type="dxa"/>
              <w:end w:w="0pt" w:type="dxa"/>
            </w:tcMar>
            <w:vAlign w:val="bottom"/>
          </w:tcPr>
          <w:p w14:paraId="1940397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4FE8C1E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(2,103,548</w:t>
            </w:r>
          </w:p>
        </w:tc>
        <w:tc>
          <w:tcPr>
            <w:tcW w:w="1.0%" w:type="pct"/>
            <w:tcBorders>
              <w:top w:val="nil"/>
              <w:start w:val="nil"/>
              <w:bottom w:val="nil"/>
              <w:end w:val="nil"/>
            </w:tcBorders>
            <w:shd w:val="clear" w:color="auto" w:fill="CFF0FC"/>
            <w:tcMar>
              <w:top w:w="0pt" w:type="dxa"/>
              <w:end w:w="0pt" w:type="dxa"/>
            </w:tcMar>
            <w:vAlign w:val="bottom"/>
          </w:tcPr>
          <w:p w14:paraId="2F64701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B2C4D9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nil"/>
              <w:start w:val="nil"/>
              <w:bottom w:val="nil"/>
              <w:end w:val="nil"/>
            </w:tcBorders>
            <w:shd w:val="clear" w:color="auto" w:fill="CFF0FC"/>
            <w:tcMar>
              <w:top w:w="0pt" w:type="dxa"/>
              <w:end w:w="0pt" w:type="dxa"/>
            </w:tcMar>
            <w:vAlign w:val="bottom"/>
          </w:tcPr>
          <w:p w14:paraId="2DAA492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(1,213,265</w:t>
            </w:r>
          </w:p>
        </w:tc>
        <w:tc>
          <w:tcPr>
            <w:tcW w:w="1.0%" w:type="pct"/>
            <w:tcBorders>
              <w:top w:val="nil"/>
              <w:start w:val="nil"/>
              <w:bottom w:val="nil"/>
              <w:end w:val="nil"/>
            </w:tcBorders>
            <w:shd w:val="clear" w:color="auto" w:fill="CFF0FC"/>
            <w:tcMar>
              <w:top w:w="0pt" w:type="dxa"/>
              <w:end w:w="0pt" w:type="dxa"/>
            </w:tcMar>
            <w:vAlign w:val="bottom"/>
          </w:tcPr>
          <w:p w14:paraId="78C5B4E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53B94021"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4DE1FC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875334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233D613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(5,444,132</w:t>
            </w:r>
          </w:p>
        </w:tc>
        <w:tc>
          <w:tcPr>
            <w:tcW w:w="1.0%" w:type="pct"/>
            <w:tcBorders>
              <w:top w:val="nil"/>
              <w:start w:val="nil"/>
              <w:bottom w:val="nil"/>
              <w:end w:val="nil"/>
            </w:tcBorders>
            <w:shd w:val="clear" w:color="auto" w:fill="CFF0FC"/>
            <w:tcMar>
              <w:top w:w="0pt" w:type="dxa"/>
              <w:end w:w="0pt" w:type="dxa"/>
            </w:tcMar>
            <w:vAlign w:val="bottom"/>
          </w:tcPr>
          <w:p w14:paraId="04C86CA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7FE0AE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07F61D63"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(3,156,015</w:t>
            </w:r>
          </w:p>
        </w:tc>
        <w:tc>
          <w:tcPr>
            <w:tcW w:w="1.0%" w:type="pct"/>
            <w:tcBorders>
              <w:top w:val="nil"/>
              <w:start w:val="nil"/>
              <w:bottom w:val="nil"/>
              <w:end w:val="nil"/>
            </w:tcBorders>
            <w:shd w:val="clear" w:color="auto" w:fill="CFF0FC"/>
            <w:tcMar>
              <w:top w:w="0pt" w:type="dxa"/>
              <w:end w:w="0pt" w:type="dxa"/>
            </w:tcMar>
            <w:vAlign w:val="bottom"/>
          </w:tcPr>
          <w:p w14:paraId="07D2190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010F53BE"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70E5DAF9"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Other expense</w:t>
            </w:r>
          </w:p>
        </w:tc>
        <w:tc>
          <w:tcPr>
            <w:tcW w:w="1.0%" w:type="pct"/>
            <w:tcBorders>
              <w:top w:val="nil"/>
              <w:start w:val="nil"/>
              <w:bottom w:val="nil"/>
              <w:end w:val="nil"/>
            </w:tcBorders>
            <w:shd w:val="clear" w:color="auto" w:fill="FFFFFF"/>
            <w:tcMar>
              <w:top w:w="0pt" w:type="dxa"/>
              <w:end w:w="0pt" w:type="dxa"/>
            </w:tcMar>
            <w:vAlign w:val="bottom"/>
          </w:tcPr>
          <w:p w14:paraId="3D0E71A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E2ADC6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7D57036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E29B2E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70C000F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639</w:t>
            </w:r>
          </w:p>
        </w:tc>
        <w:tc>
          <w:tcPr>
            <w:tcW w:w="1.0%" w:type="pct"/>
            <w:tcBorders>
              <w:top w:val="nil"/>
              <w:start w:val="nil"/>
              <w:bottom w:val="nil"/>
              <w:end w:val="nil"/>
            </w:tcBorders>
            <w:shd w:val="clear" w:color="auto" w:fill="FFFFFF"/>
            <w:tcMar>
              <w:top w:w="0pt" w:type="dxa"/>
              <w:end w:w="0pt" w:type="dxa"/>
            </w:tcMar>
            <w:vAlign w:val="bottom"/>
          </w:tcPr>
          <w:p w14:paraId="10F2939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514219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05906E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26B9BF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554B6C2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98220E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03582A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3FE3269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506,639</w:t>
            </w:r>
          </w:p>
        </w:tc>
        <w:tc>
          <w:tcPr>
            <w:tcW w:w="1.0%" w:type="pct"/>
            <w:tcBorders>
              <w:top w:val="nil"/>
              <w:start w:val="nil"/>
              <w:bottom w:val="nil"/>
              <w:end w:val="nil"/>
            </w:tcBorders>
            <w:shd w:val="clear" w:color="auto" w:fill="FFFFFF"/>
            <w:tcMar>
              <w:top w:w="0pt" w:type="dxa"/>
              <w:end w:w="0pt" w:type="dxa"/>
            </w:tcMar>
            <w:vAlign w:val="bottom"/>
          </w:tcPr>
          <w:p w14:paraId="084CB02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508B252D"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40C45A3"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Loss on derivative valuation, net</w:t>
            </w:r>
          </w:p>
        </w:tc>
        <w:tc>
          <w:tcPr>
            <w:tcW w:w="1.0%" w:type="pct"/>
            <w:tcBorders>
              <w:top w:val="nil"/>
              <w:start w:val="nil"/>
              <w:bottom w:val="nil"/>
              <w:end w:val="nil"/>
            </w:tcBorders>
            <w:shd w:val="clear" w:color="auto" w:fill="CFF0FC"/>
            <w:tcMar>
              <w:top w:w="0pt" w:type="dxa"/>
              <w:end w:w="0pt" w:type="dxa"/>
            </w:tcMar>
            <w:vAlign w:val="bottom"/>
          </w:tcPr>
          <w:p w14:paraId="25D85F1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8C5221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734,116</w:t>
            </w:r>
          </w:p>
        </w:tc>
        <w:tc>
          <w:tcPr>
            <w:tcW w:w="1.0%" w:type="pct"/>
            <w:tcBorders>
              <w:top w:val="nil"/>
              <w:start w:val="nil"/>
              <w:bottom w:val="nil"/>
              <w:end w:val="nil"/>
            </w:tcBorders>
            <w:shd w:val="clear" w:color="auto" w:fill="CFF0FC"/>
            <w:tcMar>
              <w:top w:w="0pt" w:type="dxa"/>
              <w:end w:w="0pt" w:type="dxa"/>
            </w:tcMar>
            <w:vAlign w:val="bottom"/>
          </w:tcPr>
          <w:p w14:paraId="3DB8B3C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1D6A03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51CCD7D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A810AA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3818CD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040EF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2BEAF7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485E0F4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308,570</w:t>
            </w:r>
          </w:p>
        </w:tc>
        <w:tc>
          <w:tcPr>
            <w:tcW w:w="1.0%" w:type="pct"/>
            <w:tcBorders>
              <w:top w:val="nil"/>
              <w:start w:val="nil"/>
              <w:bottom w:val="nil"/>
              <w:end w:val="nil"/>
            </w:tcBorders>
            <w:shd w:val="clear" w:color="auto" w:fill="CFF0FC"/>
            <w:tcMar>
              <w:top w:w="0pt" w:type="dxa"/>
              <w:end w:w="0pt" w:type="dxa"/>
            </w:tcMar>
            <w:vAlign w:val="bottom"/>
          </w:tcPr>
          <w:p w14:paraId="5B7C95E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558F452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45C2C7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401,782</w:t>
            </w:r>
          </w:p>
        </w:tc>
        <w:tc>
          <w:tcPr>
            <w:tcW w:w="1.0%" w:type="pct"/>
            <w:tcBorders>
              <w:top w:val="nil"/>
              <w:start w:val="nil"/>
              <w:bottom w:val="nil"/>
              <w:end w:val="nil"/>
            </w:tcBorders>
            <w:shd w:val="clear" w:color="auto" w:fill="CFF0FC"/>
            <w:tcMar>
              <w:top w:w="0pt" w:type="dxa"/>
              <w:end w:w="0pt" w:type="dxa"/>
            </w:tcMar>
            <w:vAlign w:val="bottom"/>
          </w:tcPr>
          <w:p w14:paraId="0F23193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7553137"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051E132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Depreciation and amortization</w:t>
            </w:r>
          </w:p>
        </w:tc>
        <w:tc>
          <w:tcPr>
            <w:tcW w:w="1.0%" w:type="pct"/>
            <w:tcBorders>
              <w:top w:val="nil"/>
              <w:start w:val="nil"/>
              <w:bottom w:val="single" w:sz="4" w:space="0" w:color="000000"/>
              <w:end w:val="nil"/>
            </w:tcBorders>
            <w:shd w:val="clear" w:color="auto" w:fill="FFFFFF"/>
            <w:tcMar>
              <w:top w:w="0pt" w:type="dxa"/>
              <w:end w:w="0pt" w:type="dxa"/>
            </w:tcMar>
            <w:vAlign w:val="bottom"/>
          </w:tcPr>
          <w:p w14:paraId="6DD196E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1C97370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1,068,081</w:t>
            </w:r>
          </w:p>
        </w:tc>
        <w:tc>
          <w:tcPr>
            <w:tcW w:w="1.0%" w:type="pct"/>
            <w:tcBorders>
              <w:top w:val="nil"/>
              <w:start w:val="nil"/>
              <w:bottom w:val="nil"/>
              <w:end w:val="nil"/>
            </w:tcBorders>
            <w:shd w:val="clear" w:color="auto" w:fill="FFFFFF"/>
            <w:tcMar>
              <w:top w:w="0pt" w:type="dxa"/>
              <w:end w:w="0pt" w:type="dxa"/>
            </w:tcMar>
            <w:vAlign w:val="bottom"/>
          </w:tcPr>
          <w:p w14:paraId="7026948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131C02F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FFFFFF"/>
            <w:tcMar>
              <w:top w:w="0pt" w:type="dxa"/>
              <w:end w:w="0pt" w:type="dxa"/>
            </w:tcMar>
            <w:vAlign w:val="bottom"/>
          </w:tcPr>
          <w:p w14:paraId="34AA790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981,419</w:t>
            </w:r>
          </w:p>
        </w:tc>
        <w:tc>
          <w:tcPr>
            <w:tcW w:w="1.0%" w:type="pct"/>
            <w:tcBorders>
              <w:top w:val="nil"/>
              <w:start w:val="nil"/>
              <w:bottom w:val="nil"/>
              <w:end w:val="nil"/>
            </w:tcBorders>
            <w:shd w:val="clear" w:color="auto" w:fill="FFFFFF"/>
            <w:tcMar>
              <w:top w:w="0pt" w:type="dxa"/>
              <w:end w:w="0pt" w:type="dxa"/>
            </w:tcMar>
            <w:vAlign w:val="bottom"/>
          </w:tcPr>
          <w:p w14:paraId="0AF0C27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5161951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7A26EB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1D7E8C5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1ADADD5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3,474,918</w:t>
            </w:r>
          </w:p>
        </w:tc>
        <w:tc>
          <w:tcPr>
            <w:tcW w:w="1.0%" w:type="pct"/>
            <w:tcBorders>
              <w:top w:val="nil"/>
              <w:start w:val="nil"/>
              <w:bottom w:val="nil"/>
              <w:end w:val="nil"/>
            </w:tcBorders>
            <w:shd w:val="clear" w:color="auto" w:fill="FFFFFF"/>
            <w:tcMar>
              <w:top w:w="0pt" w:type="dxa"/>
              <w:end w:w="0pt" w:type="dxa"/>
            </w:tcMar>
            <w:vAlign w:val="bottom"/>
          </w:tcPr>
          <w:p w14:paraId="596A367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5AB911C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08EB09B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2,096,970</w:t>
            </w:r>
          </w:p>
        </w:tc>
        <w:tc>
          <w:tcPr>
            <w:tcW w:w="1.0%" w:type="pct"/>
            <w:tcBorders>
              <w:top w:val="nil"/>
              <w:start w:val="nil"/>
              <w:bottom w:val="nil"/>
              <w:end w:val="nil"/>
            </w:tcBorders>
            <w:shd w:val="clear" w:color="auto" w:fill="FFFFFF"/>
            <w:tcMar>
              <w:top w:w="0pt" w:type="dxa"/>
              <w:end w:w="0pt" w:type="dxa"/>
            </w:tcMar>
            <w:vAlign w:val="bottom"/>
          </w:tcPr>
          <w:p w14:paraId="3BE124F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DFA1809"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2A4DD80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Funds From Operations</w:t>
            </w:r>
          </w:p>
        </w:tc>
        <w:tc>
          <w:tcPr>
            <w:tcW w:w="1.0%" w:type="pct"/>
            <w:tcBorders>
              <w:top w:val="single" w:sz="4" w:space="0" w:color="000000"/>
              <w:start w:val="nil"/>
              <w:bottom w:val="nil"/>
              <w:end w:val="nil"/>
            </w:tcBorders>
            <w:shd w:val="clear" w:color="auto" w:fill="CFF0FC"/>
            <w:tcMar>
              <w:top w:w="0pt" w:type="dxa"/>
              <w:end w:w="0pt" w:type="dxa"/>
            </w:tcMar>
            <w:vAlign w:val="bottom"/>
          </w:tcPr>
          <w:p w14:paraId="0764941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nil"/>
              <w:end w:val="nil"/>
            </w:tcBorders>
            <w:shd w:val="clear" w:color="auto" w:fill="CFF0FC"/>
            <w:tcMar>
              <w:top w:w="0pt" w:type="dxa"/>
              <w:end w:w="0pt" w:type="dxa"/>
            </w:tcMar>
            <w:vAlign w:val="bottom"/>
          </w:tcPr>
          <w:p w14:paraId="38918474"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(301,351</w:t>
            </w:r>
          </w:p>
        </w:tc>
        <w:tc>
          <w:tcPr>
            <w:tcW w:w="1.0%" w:type="pct"/>
            <w:tcBorders>
              <w:top w:val="nil"/>
              <w:start w:val="nil"/>
              <w:bottom w:val="nil"/>
              <w:end w:val="nil"/>
            </w:tcBorders>
            <w:shd w:val="clear" w:color="auto" w:fill="CFF0FC"/>
            <w:tcMar>
              <w:top w:w="0pt" w:type="dxa"/>
              <w:end w:w="0pt" w:type="dxa"/>
            </w:tcMar>
            <w:vAlign w:val="bottom"/>
          </w:tcPr>
          <w:p w14:paraId="4193310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46CCC00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nil"/>
              <w:end w:val="nil"/>
            </w:tcBorders>
            <w:shd w:val="clear" w:color="auto" w:fill="CFF0FC"/>
            <w:tcMar>
              <w:top w:w="0pt" w:type="dxa"/>
              <w:end w:w="0pt" w:type="dxa"/>
            </w:tcMar>
            <w:vAlign w:val="bottom"/>
          </w:tcPr>
          <w:p w14:paraId="37F0526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(231,207</w:t>
            </w:r>
          </w:p>
        </w:tc>
        <w:tc>
          <w:tcPr>
            <w:tcW w:w="1.0%" w:type="pct"/>
            <w:tcBorders>
              <w:top w:val="nil"/>
              <w:start w:val="nil"/>
              <w:bottom w:val="nil"/>
              <w:end w:val="nil"/>
            </w:tcBorders>
            <w:shd w:val="clear" w:color="auto" w:fill="CFF0FC"/>
            <w:tcMar>
              <w:top w:w="0pt" w:type="dxa"/>
              <w:end w:w="0pt" w:type="dxa"/>
            </w:tcMar>
            <w:vAlign w:val="bottom"/>
          </w:tcPr>
          <w:p w14:paraId="1996A65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nil"/>
              <w:end w:val="nil"/>
            </w:tcBorders>
            <w:shd w:val="clear" w:color="auto" w:fill="CFF0FC"/>
            <w:tcMar>
              <w:top w:w="0pt" w:type="dxa"/>
              <w:end w:w="0pt" w:type="dxa"/>
            </w:tcMar>
            <w:vAlign w:val="bottom"/>
          </w:tcPr>
          <w:p w14:paraId="43783EC8"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70D5D1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nil"/>
              <w:end w:val="nil"/>
            </w:tcBorders>
            <w:shd w:val="clear" w:color="auto" w:fill="CFF0FC"/>
            <w:tcMar>
              <w:top w:w="0pt" w:type="dxa"/>
              <w:end w:w="0pt" w:type="dxa"/>
            </w:tcMar>
            <w:vAlign w:val="bottom"/>
          </w:tcPr>
          <w:p w14:paraId="56B829E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nil"/>
              <w:end w:val="nil"/>
            </w:tcBorders>
            <w:shd w:val="clear" w:color="auto" w:fill="CFF0FC"/>
            <w:tcMar>
              <w:top w:w="0pt" w:type="dxa"/>
              <w:end w:w="0pt" w:type="dxa"/>
            </w:tcMar>
            <w:vAlign w:val="bottom"/>
          </w:tcPr>
          <w:p w14:paraId="722D06F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(1,660,644</w:t>
            </w:r>
          </w:p>
        </w:tc>
        <w:tc>
          <w:tcPr>
            <w:tcW w:w="1.0%" w:type="pct"/>
            <w:tcBorders>
              <w:top w:val="nil"/>
              <w:start w:val="nil"/>
              <w:bottom w:val="nil"/>
              <w:end w:val="nil"/>
            </w:tcBorders>
            <w:shd w:val="clear" w:color="auto" w:fill="CFF0FC"/>
            <w:tcMar>
              <w:top w:w="0pt" w:type="dxa"/>
              <w:end w:w="0pt" w:type="dxa"/>
            </w:tcMar>
            <w:vAlign w:val="bottom"/>
          </w:tcPr>
          <w:p w14:paraId="44722A5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nil"/>
              <w:end w:val="nil"/>
            </w:tcBorders>
            <w:shd w:val="clear" w:color="auto" w:fill="CFF0FC"/>
            <w:tcMar>
              <w:top w:w="0pt" w:type="dxa"/>
              <w:end w:w="0pt" w:type="dxa"/>
            </w:tcMar>
            <w:vAlign w:val="bottom"/>
          </w:tcPr>
          <w:p w14:paraId="6ACE62C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nil"/>
              <w:end w:val="nil"/>
            </w:tcBorders>
            <w:shd w:val="clear" w:color="auto" w:fill="CFF0FC"/>
            <w:tcMar>
              <w:top w:w="0pt" w:type="dxa"/>
              <w:end w:w="0pt" w:type="dxa"/>
            </w:tcMar>
            <w:vAlign w:val="bottom"/>
          </w:tcPr>
          <w:p w14:paraId="0AB06814"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(150,624</w:t>
            </w:r>
          </w:p>
        </w:tc>
        <w:tc>
          <w:tcPr>
            <w:tcW w:w="1.0%" w:type="pct"/>
            <w:tcBorders>
              <w:top w:val="nil"/>
              <w:start w:val="nil"/>
              <w:bottom w:val="nil"/>
              <w:end w:val="nil"/>
            </w:tcBorders>
            <w:shd w:val="clear" w:color="auto" w:fill="CFF0FC"/>
            <w:tcMar>
              <w:top w:w="0pt" w:type="dxa"/>
              <w:end w:w="0pt" w:type="dxa"/>
            </w:tcMar>
            <w:vAlign w:val="bottom"/>
          </w:tcPr>
          <w:p w14:paraId="2C957D7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689D5502"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7E79161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Amortization of debt issuance costs</w:t>
            </w:r>
          </w:p>
        </w:tc>
        <w:tc>
          <w:tcPr>
            <w:tcW w:w="1.0%" w:type="pct"/>
            <w:tcBorders>
              <w:top w:val="nil"/>
              <w:start w:val="nil"/>
              <w:bottom w:val="nil"/>
              <w:end w:val="nil"/>
            </w:tcBorders>
            <w:shd w:val="clear" w:color="auto" w:fill="FFFFFF"/>
            <w:tcMar>
              <w:top w:w="0pt" w:type="dxa"/>
              <w:end w:w="0pt" w:type="dxa"/>
            </w:tcMar>
            <w:vAlign w:val="bottom"/>
          </w:tcPr>
          <w:p w14:paraId="065258B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20211F0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60,531</w:t>
            </w:r>
          </w:p>
        </w:tc>
        <w:tc>
          <w:tcPr>
            <w:tcW w:w="1.0%" w:type="pct"/>
            <w:tcBorders>
              <w:top w:val="nil"/>
              <w:start w:val="nil"/>
              <w:bottom w:val="nil"/>
              <w:end w:val="nil"/>
            </w:tcBorders>
            <w:shd w:val="clear" w:color="auto" w:fill="FFFFFF"/>
            <w:tcMar>
              <w:top w:w="0pt" w:type="dxa"/>
              <w:end w:w="0pt" w:type="dxa"/>
            </w:tcMar>
            <w:vAlign w:val="bottom"/>
          </w:tcPr>
          <w:p w14:paraId="31B0D14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75A247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083559C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46,260</w:t>
            </w:r>
          </w:p>
        </w:tc>
        <w:tc>
          <w:tcPr>
            <w:tcW w:w="1.0%" w:type="pct"/>
            <w:tcBorders>
              <w:top w:val="nil"/>
              <w:start w:val="nil"/>
              <w:bottom w:val="nil"/>
              <w:end w:val="nil"/>
            </w:tcBorders>
            <w:shd w:val="clear" w:color="auto" w:fill="FFFFFF"/>
            <w:tcMar>
              <w:top w:w="0pt" w:type="dxa"/>
              <w:end w:w="0pt" w:type="dxa"/>
            </w:tcMar>
            <w:vAlign w:val="bottom"/>
          </w:tcPr>
          <w:p w14:paraId="01C2B0E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2509D7A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5A1EE1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036E3F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44D4096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156,091</w:t>
            </w:r>
          </w:p>
        </w:tc>
        <w:tc>
          <w:tcPr>
            <w:tcW w:w="1.0%" w:type="pct"/>
            <w:tcBorders>
              <w:top w:val="nil"/>
              <w:start w:val="nil"/>
              <w:bottom w:val="nil"/>
              <w:end w:val="nil"/>
            </w:tcBorders>
            <w:shd w:val="clear" w:color="auto" w:fill="FFFFFF"/>
            <w:tcMar>
              <w:top w:w="0pt" w:type="dxa"/>
              <w:end w:w="0pt" w:type="dxa"/>
            </w:tcMar>
            <w:vAlign w:val="bottom"/>
          </w:tcPr>
          <w:p w14:paraId="157A186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807DD2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30BCB71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103,990</w:t>
            </w:r>
          </w:p>
        </w:tc>
        <w:tc>
          <w:tcPr>
            <w:tcW w:w="1.0%" w:type="pct"/>
            <w:tcBorders>
              <w:top w:val="nil"/>
              <w:start w:val="nil"/>
              <w:bottom w:val="nil"/>
              <w:end w:val="nil"/>
            </w:tcBorders>
            <w:shd w:val="clear" w:color="auto" w:fill="FFFFFF"/>
            <w:tcMar>
              <w:top w:w="0pt" w:type="dxa"/>
              <w:end w:w="0pt" w:type="dxa"/>
            </w:tcMar>
            <w:vAlign w:val="bottom"/>
          </w:tcPr>
          <w:p w14:paraId="52C848C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639C8435"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76D30F9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Non-cash stock compensation</w:t>
            </w:r>
          </w:p>
        </w:tc>
        <w:tc>
          <w:tcPr>
            <w:tcW w:w="1.0%" w:type="pct"/>
            <w:tcBorders>
              <w:top w:val="nil"/>
              <w:start w:val="nil"/>
              <w:bottom w:val="nil"/>
              <w:end w:val="nil"/>
            </w:tcBorders>
            <w:shd w:val="clear" w:color="auto" w:fill="CFF0FC"/>
            <w:tcMar>
              <w:top w:w="0pt" w:type="dxa"/>
              <w:end w:w="0pt" w:type="dxa"/>
            </w:tcMar>
            <w:vAlign w:val="bottom"/>
          </w:tcPr>
          <w:p w14:paraId="1A09A98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FB8CD1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94,935</w:t>
            </w:r>
          </w:p>
        </w:tc>
        <w:tc>
          <w:tcPr>
            <w:tcW w:w="1.0%" w:type="pct"/>
            <w:tcBorders>
              <w:top w:val="nil"/>
              <w:start w:val="nil"/>
              <w:bottom w:val="nil"/>
              <w:end w:val="nil"/>
            </w:tcBorders>
            <w:shd w:val="clear" w:color="auto" w:fill="CFF0FC"/>
            <w:tcMar>
              <w:top w:w="0pt" w:type="dxa"/>
              <w:end w:w="0pt" w:type="dxa"/>
            </w:tcMar>
            <w:vAlign w:val="bottom"/>
          </w:tcPr>
          <w:p w14:paraId="6FA10EF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0C9417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13E0B98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119,380</w:t>
            </w:r>
          </w:p>
        </w:tc>
        <w:tc>
          <w:tcPr>
            <w:tcW w:w="1.0%" w:type="pct"/>
            <w:tcBorders>
              <w:top w:val="nil"/>
              <w:start w:val="nil"/>
              <w:bottom w:val="nil"/>
              <w:end w:val="nil"/>
            </w:tcBorders>
            <w:shd w:val="clear" w:color="auto" w:fill="CFF0FC"/>
            <w:tcMar>
              <w:top w:w="0pt" w:type="dxa"/>
              <w:end w:w="0pt" w:type="dxa"/>
            </w:tcMar>
            <w:vAlign w:val="bottom"/>
          </w:tcPr>
          <w:p w14:paraId="2F399D2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504F7ED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4C2FB5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73119A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51B164A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284,805</w:t>
            </w:r>
          </w:p>
        </w:tc>
        <w:tc>
          <w:tcPr>
            <w:tcW w:w="1.0%" w:type="pct"/>
            <w:tcBorders>
              <w:top w:val="nil"/>
              <w:start w:val="nil"/>
              <w:bottom w:val="nil"/>
              <w:end w:val="nil"/>
            </w:tcBorders>
            <w:shd w:val="clear" w:color="auto" w:fill="CFF0FC"/>
            <w:tcMar>
              <w:top w:w="0pt" w:type="dxa"/>
              <w:end w:w="0pt" w:type="dxa"/>
            </w:tcMar>
            <w:vAlign w:val="bottom"/>
          </w:tcPr>
          <w:p w14:paraId="1D6FE7E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91FBB4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160FF3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287,067</w:t>
            </w:r>
          </w:p>
        </w:tc>
        <w:tc>
          <w:tcPr>
            <w:tcW w:w="1.0%" w:type="pct"/>
            <w:tcBorders>
              <w:top w:val="nil"/>
              <w:start w:val="nil"/>
              <w:bottom w:val="nil"/>
              <w:end w:val="nil"/>
            </w:tcBorders>
            <w:shd w:val="clear" w:color="auto" w:fill="CFF0FC"/>
            <w:tcMar>
              <w:top w:w="0pt" w:type="dxa"/>
              <w:end w:w="0pt" w:type="dxa"/>
            </w:tcMar>
            <w:vAlign w:val="bottom"/>
          </w:tcPr>
          <w:p w14:paraId="012AD79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1DD79632"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0688C2E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Adjustments to Funds From Operations</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47A8DFE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34A229D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155,466</w:t>
            </w:r>
          </w:p>
        </w:tc>
        <w:tc>
          <w:tcPr>
            <w:tcW w:w="1.0%" w:type="pct"/>
            <w:tcBorders>
              <w:top w:val="nil"/>
              <w:start w:val="nil"/>
              <w:bottom w:val="nil"/>
              <w:end w:val="nil"/>
            </w:tcBorders>
            <w:shd w:val="clear" w:color="auto" w:fill="FFFFFF"/>
            <w:tcMar>
              <w:top w:w="0pt" w:type="dxa"/>
              <w:end w:w="0pt" w:type="dxa"/>
            </w:tcMar>
            <w:vAlign w:val="bottom"/>
          </w:tcPr>
          <w:p w14:paraId="4C2BC1D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45B76F4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7.0%" w:type="pct"/>
            <w:tcBorders>
              <w:top w:val="single" w:sz="4" w:space="0" w:color="000000"/>
              <w:start w:val="nil"/>
              <w:bottom w:val="single" w:sz="4" w:space="0" w:color="000000"/>
              <w:end w:val="nil"/>
            </w:tcBorders>
            <w:shd w:val="clear" w:color="auto" w:fill="FFFFFF"/>
            <w:tcMar>
              <w:top w:w="0pt" w:type="dxa"/>
              <w:end w:w="0pt" w:type="dxa"/>
            </w:tcMar>
            <w:vAlign w:val="bottom"/>
          </w:tcPr>
          <w:p w14:paraId="2934D66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165,640</w:t>
            </w:r>
          </w:p>
        </w:tc>
        <w:tc>
          <w:tcPr>
            <w:tcW w:w="1.0%" w:type="pct"/>
            <w:tcBorders>
              <w:top w:val="nil"/>
              <w:start w:val="nil"/>
              <w:bottom w:val="nil"/>
              <w:end w:val="nil"/>
            </w:tcBorders>
            <w:shd w:val="clear" w:color="auto" w:fill="FFFFFF"/>
            <w:tcMar>
              <w:top w:w="0pt" w:type="dxa"/>
              <w:end w:w="0pt" w:type="dxa"/>
            </w:tcMar>
            <w:vAlign w:val="bottom"/>
          </w:tcPr>
          <w:p w14:paraId="6B11FE9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2C5FCFA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72ADFE6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1804985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035632C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1CE6D3F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440,896</w:t>
            </w:r>
          </w:p>
        </w:tc>
        <w:tc>
          <w:tcPr>
            <w:tcW w:w="1.0%" w:type="pct"/>
            <w:tcBorders>
              <w:top w:val="nil"/>
              <w:start w:val="nil"/>
              <w:bottom w:val="nil"/>
              <w:end w:val="nil"/>
            </w:tcBorders>
            <w:shd w:val="clear" w:color="auto" w:fill="FFFFFF"/>
            <w:tcMar>
              <w:top w:w="0pt" w:type="dxa"/>
              <w:end w:w="0pt" w:type="dxa"/>
            </w:tcMar>
            <w:vAlign w:val="bottom"/>
          </w:tcPr>
          <w:p w14:paraId="5E5E4BC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28DC8B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745AE46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391,057</w:t>
            </w:r>
          </w:p>
        </w:tc>
        <w:tc>
          <w:tcPr>
            <w:tcW w:w="1.0%" w:type="pct"/>
            <w:tcBorders>
              <w:top w:val="nil"/>
              <w:start w:val="nil"/>
              <w:bottom w:val="nil"/>
              <w:end w:val="nil"/>
            </w:tcBorders>
            <w:shd w:val="clear" w:color="auto" w:fill="FFFFFF"/>
            <w:tcMar>
              <w:top w:w="0pt" w:type="dxa"/>
              <w:end w:w="0pt" w:type="dxa"/>
            </w:tcMar>
            <w:vAlign w:val="bottom"/>
          </w:tcPr>
          <w:p w14:paraId="5DF868C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55A55E6"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72A9CD1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Core Funds From Operations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772DA56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2D3017B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(145,885</w:t>
            </w:r>
          </w:p>
        </w:tc>
        <w:tc>
          <w:tcPr>
            <w:tcW w:w="1.0%" w:type="pct"/>
            <w:tcBorders>
              <w:top w:val="nil"/>
              <w:start w:val="nil"/>
              <w:bottom w:val="nil"/>
              <w:end w:val="nil"/>
            </w:tcBorders>
            <w:shd w:val="clear" w:color="auto" w:fill="CFF0FC"/>
            <w:tcMar>
              <w:top w:w="0pt" w:type="dxa"/>
              <w:end w:w="0pt" w:type="dxa"/>
            </w:tcMar>
            <w:vAlign w:val="bottom"/>
          </w:tcPr>
          <w:p w14:paraId="290BC97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43B995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CFF0FC"/>
            <w:tcMar>
              <w:top w:w="0pt" w:type="dxa"/>
              <w:end w:w="0pt" w:type="dxa"/>
            </w:tcMar>
            <w:vAlign w:val="bottom"/>
          </w:tcPr>
          <w:p w14:paraId="3D777028"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(65,567</w:t>
            </w:r>
          </w:p>
        </w:tc>
        <w:tc>
          <w:tcPr>
            <w:tcW w:w="1.0%" w:type="pct"/>
            <w:tcBorders>
              <w:top w:val="nil"/>
              <w:start w:val="nil"/>
              <w:bottom w:val="nil"/>
              <w:end w:val="nil"/>
            </w:tcBorders>
            <w:shd w:val="clear" w:color="auto" w:fill="CFF0FC"/>
            <w:tcMar>
              <w:top w:w="0pt" w:type="dxa"/>
              <w:end w:w="0pt" w:type="dxa"/>
            </w:tcMar>
            <w:vAlign w:val="bottom"/>
          </w:tcPr>
          <w:p w14:paraId="2A16938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double" w:sz="6" w:space="0" w:color="000000"/>
              <w:end w:val="nil"/>
            </w:tcBorders>
            <w:shd w:val="clear" w:color="auto" w:fill="CFF0FC"/>
            <w:tcMar>
              <w:top w:w="0pt" w:type="dxa"/>
              <w:end w:w="0pt" w:type="dxa"/>
            </w:tcMar>
            <w:vAlign w:val="bottom"/>
          </w:tcPr>
          <w:p w14:paraId="3F26C2E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D10642C"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8DFCBA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0C95373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(1,219,748</w:t>
            </w:r>
          </w:p>
        </w:tc>
        <w:tc>
          <w:tcPr>
            <w:tcW w:w="1.0%" w:type="pct"/>
            <w:tcBorders>
              <w:top w:val="nil"/>
              <w:start w:val="nil"/>
              <w:bottom w:val="nil"/>
              <w:end w:val="nil"/>
            </w:tcBorders>
            <w:shd w:val="clear" w:color="auto" w:fill="CFF0FC"/>
            <w:tcMar>
              <w:top w:w="0pt" w:type="dxa"/>
              <w:end w:w="0pt" w:type="dxa"/>
            </w:tcMar>
            <w:vAlign w:val="bottom"/>
          </w:tcPr>
          <w:p w14:paraId="5374EA0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742608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587E53B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240,433</w:t>
            </w:r>
          </w:p>
        </w:tc>
        <w:tc>
          <w:tcPr>
            <w:tcW w:w="1.0%" w:type="pct"/>
            <w:tcBorders>
              <w:top w:val="nil"/>
              <w:start w:val="nil"/>
              <w:bottom w:val="nil"/>
              <w:end w:val="nil"/>
            </w:tcBorders>
            <w:shd w:val="clear" w:color="auto" w:fill="CFF0FC"/>
            <w:tcMar>
              <w:top w:w="0pt" w:type="dxa"/>
              <w:end w:w="0pt" w:type="dxa"/>
            </w:tcMar>
            <w:vAlign w:val="bottom"/>
          </w:tcPr>
          <w:p w14:paraId="015F700D"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r>
      <w:tr w:rsidR="0086099C" w14:paraId="0EAE15BA"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359E34B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115945D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8D84E0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0D351F2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9F8199E"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4DFB9A10"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852459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174442F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0C8DAE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48301C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0E8D13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4076049D"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7843AA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w:t>
            </w:r>
          </w:p>
        </w:tc>
        <w:tc>
          <w:tcPr>
            <w:tcW w:w="1.0%" w:type="pct"/>
            <w:tcBorders>
              <w:top w:val="nil"/>
              <w:start w:val="nil"/>
              <w:bottom w:val="nil"/>
              <w:end w:val="nil"/>
            </w:tcBorders>
            <w:shd w:val="clear" w:color="auto" w:fill="CFF0FC"/>
            <w:tcMar>
              <w:top w:w="0pt" w:type="dxa"/>
              <w:end w:w="0pt" w:type="dxa"/>
            </w:tcMar>
            <w:vAlign w:val="bottom"/>
          </w:tcPr>
          <w:p w14:paraId="36CA76A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1036ACA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(2,103,548</w:t>
            </w:r>
          </w:p>
        </w:tc>
        <w:tc>
          <w:tcPr>
            <w:tcW w:w="1.0%" w:type="pct"/>
            <w:tcBorders>
              <w:top w:val="nil"/>
              <w:start w:val="nil"/>
              <w:bottom w:val="nil"/>
              <w:end w:val="nil"/>
            </w:tcBorders>
            <w:shd w:val="clear" w:color="auto" w:fill="CFF0FC"/>
            <w:tcMar>
              <w:top w:w="0pt" w:type="dxa"/>
              <w:end w:w="0pt" w:type="dxa"/>
            </w:tcMar>
            <w:vAlign w:val="bottom"/>
          </w:tcPr>
          <w:p w14:paraId="1C8B31A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22FDA8F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nil"/>
              <w:start w:val="nil"/>
              <w:bottom w:val="nil"/>
              <w:end w:val="nil"/>
            </w:tcBorders>
            <w:shd w:val="clear" w:color="auto" w:fill="CFF0FC"/>
            <w:tcMar>
              <w:top w:w="0pt" w:type="dxa"/>
              <w:end w:w="0pt" w:type="dxa"/>
            </w:tcMar>
            <w:vAlign w:val="bottom"/>
          </w:tcPr>
          <w:p w14:paraId="7847F3E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(1,213,265</w:t>
            </w:r>
          </w:p>
        </w:tc>
        <w:tc>
          <w:tcPr>
            <w:tcW w:w="1.0%" w:type="pct"/>
            <w:tcBorders>
              <w:top w:val="nil"/>
              <w:start w:val="nil"/>
              <w:bottom w:val="nil"/>
              <w:end w:val="nil"/>
            </w:tcBorders>
            <w:shd w:val="clear" w:color="auto" w:fill="CFF0FC"/>
            <w:tcMar>
              <w:top w:w="0pt" w:type="dxa"/>
              <w:end w:w="0pt" w:type="dxa"/>
            </w:tcMar>
            <w:vAlign w:val="bottom"/>
          </w:tcPr>
          <w:p w14:paraId="7B63EB0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433B97B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0377E2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BEE722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159D5A65"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(5,444,132</w:t>
            </w:r>
          </w:p>
        </w:tc>
        <w:tc>
          <w:tcPr>
            <w:tcW w:w="1.0%" w:type="pct"/>
            <w:tcBorders>
              <w:top w:val="nil"/>
              <w:start w:val="nil"/>
              <w:bottom w:val="nil"/>
              <w:end w:val="nil"/>
            </w:tcBorders>
            <w:shd w:val="clear" w:color="auto" w:fill="CFF0FC"/>
            <w:tcMar>
              <w:top w:w="0pt" w:type="dxa"/>
              <w:end w:w="0pt" w:type="dxa"/>
            </w:tcMar>
            <w:vAlign w:val="bottom"/>
          </w:tcPr>
          <w:p w14:paraId="50A19893"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62672EF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2B81CBB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(3,156,015</w:t>
            </w:r>
          </w:p>
        </w:tc>
        <w:tc>
          <w:tcPr>
            <w:tcW w:w="1.0%" w:type="pct"/>
            <w:tcBorders>
              <w:top w:val="nil"/>
              <w:start w:val="nil"/>
              <w:bottom w:val="nil"/>
              <w:end w:val="nil"/>
            </w:tcBorders>
            <w:shd w:val="clear" w:color="auto" w:fill="CFF0FC"/>
            <w:tcMar>
              <w:top w:w="0pt" w:type="dxa"/>
              <w:end w:w="0pt" w:type="dxa"/>
            </w:tcMar>
            <w:vAlign w:val="bottom"/>
          </w:tcPr>
          <w:p w14:paraId="2D7018D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41863861"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0A9BD55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Other expense</w:t>
            </w:r>
          </w:p>
        </w:tc>
        <w:tc>
          <w:tcPr>
            <w:tcW w:w="1.0%" w:type="pct"/>
            <w:tcBorders>
              <w:top w:val="nil"/>
              <w:start w:val="nil"/>
              <w:bottom w:val="nil"/>
              <w:end w:val="nil"/>
            </w:tcBorders>
            <w:shd w:val="clear" w:color="auto" w:fill="FFFFFF"/>
            <w:tcMar>
              <w:top w:w="0pt" w:type="dxa"/>
              <w:end w:w="0pt" w:type="dxa"/>
            </w:tcMar>
            <w:vAlign w:val="bottom"/>
          </w:tcPr>
          <w:p w14:paraId="1753A64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7F1E8C1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51F1453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FF845C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629A19D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639</w:t>
            </w:r>
          </w:p>
        </w:tc>
        <w:tc>
          <w:tcPr>
            <w:tcW w:w="1.0%" w:type="pct"/>
            <w:tcBorders>
              <w:top w:val="nil"/>
              <w:start w:val="nil"/>
              <w:bottom w:val="nil"/>
              <w:end w:val="nil"/>
            </w:tcBorders>
            <w:shd w:val="clear" w:color="auto" w:fill="FFFFFF"/>
            <w:tcMar>
              <w:top w:w="0pt" w:type="dxa"/>
              <w:end w:w="0pt" w:type="dxa"/>
            </w:tcMar>
            <w:vAlign w:val="bottom"/>
          </w:tcPr>
          <w:p w14:paraId="4CDD530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61C7D15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9B6081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76110E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11D250C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C709FA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7A8C11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4003CAB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506,639</w:t>
            </w:r>
          </w:p>
        </w:tc>
        <w:tc>
          <w:tcPr>
            <w:tcW w:w="1.0%" w:type="pct"/>
            <w:tcBorders>
              <w:top w:val="nil"/>
              <w:start w:val="nil"/>
              <w:bottom w:val="nil"/>
              <w:end w:val="nil"/>
            </w:tcBorders>
            <w:shd w:val="clear" w:color="auto" w:fill="FFFFFF"/>
            <w:tcMar>
              <w:top w:w="0pt" w:type="dxa"/>
              <w:end w:w="0pt" w:type="dxa"/>
            </w:tcMar>
            <w:vAlign w:val="bottom"/>
          </w:tcPr>
          <w:p w14:paraId="6C84E65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21481D0"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552DBCB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Loss on derivative valuation, net</w:t>
            </w:r>
          </w:p>
        </w:tc>
        <w:tc>
          <w:tcPr>
            <w:tcW w:w="1.0%" w:type="pct"/>
            <w:tcBorders>
              <w:top w:val="nil"/>
              <w:start w:val="nil"/>
              <w:bottom w:val="nil"/>
              <w:end w:val="nil"/>
            </w:tcBorders>
            <w:shd w:val="clear" w:color="auto" w:fill="CFF0FC"/>
            <w:tcMar>
              <w:top w:w="0pt" w:type="dxa"/>
              <w:end w:w="0pt" w:type="dxa"/>
            </w:tcMar>
            <w:vAlign w:val="bottom"/>
          </w:tcPr>
          <w:p w14:paraId="56ADFD1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6BD34D2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734,116</w:t>
            </w:r>
          </w:p>
        </w:tc>
        <w:tc>
          <w:tcPr>
            <w:tcW w:w="1.0%" w:type="pct"/>
            <w:tcBorders>
              <w:top w:val="nil"/>
              <w:start w:val="nil"/>
              <w:bottom w:val="nil"/>
              <w:end w:val="nil"/>
            </w:tcBorders>
            <w:shd w:val="clear" w:color="auto" w:fill="CFF0FC"/>
            <w:tcMar>
              <w:top w:w="0pt" w:type="dxa"/>
              <w:end w:w="0pt" w:type="dxa"/>
            </w:tcMar>
            <w:vAlign w:val="bottom"/>
          </w:tcPr>
          <w:p w14:paraId="2444677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F41982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4276967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5A77109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24C48E5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23960B8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E461FE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7342A82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308,570</w:t>
            </w:r>
          </w:p>
        </w:tc>
        <w:tc>
          <w:tcPr>
            <w:tcW w:w="1.0%" w:type="pct"/>
            <w:tcBorders>
              <w:top w:val="nil"/>
              <w:start w:val="nil"/>
              <w:bottom w:val="nil"/>
              <w:end w:val="nil"/>
            </w:tcBorders>
            <w:shd w:val="clear" w:color="auto" w:fill="CFF0FC"/>
            <w:tcMar>
              <w:top w:w="0pt" w:type="dxa"/>
              <w:end w:w="0pt" w:type="dxa"/>
            </w:tcMar>
            <w:vAlign w:val="bottom"/>
          </w:tcPr>
          <w:p w14:paraId="5F3A963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5A1D44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C5ABF1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401,782</w:t>
            </w:r>
          </w:p>
        </w:tc>
        <w:tc>
          <w:tcPr>
            <w:tcW w:w="1.0%" w:type="pct"/>
            <w:tcBorders>
              <w:top w:val="nil"/>
              <w:start w:val="nil"/>
              <w:bottom w:val="nil"/>
              <w:end w:val="nil"/>
            </w:tcBorders>
            <w:shd w:val="clear" w:color="auto" w:fill="CFF0FC"/>
            <w:tcMar>
              <w:top w:w="0pt" w:type="dxa"/>
              <w:end w:w="0pt" w:type="dxa"/>
            </w:tcMar>
            <w:vAlign w:val="bottom"/>
          </w:tcPr>
          <w:p w14:paraId="1062319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8976C79"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07C4BEE4"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Depreciation and amortization</w:t>
            </w:r>
          </w:p>
        </w:tc>
        <w:tc>
          <w:tcPr>
            <w:tcW w:w="1.0%" w:type="pct"/>
            <w:tcBorders>
              <w:top w:val="nil"/>
              <w:start w:val="nil"/>
              <w:bottom w:val="nil"/>
              <w:end w:val="nil"/>
            </w:tcBorders>
            <w:shd w:val="clear" w:color="auto" w:fill="FFFFFF"/>
            <w:tcMar>
              <w:top w:w="0pt" w:type="dxa"/>
              <w:end w:w="0pt" w:type="dxa"/>
            </w:tcMar>
            <w:vAlign w:val="bottom"/>
          </w:tcPr>
          <w:p w14:paraId="21DBD86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0A094A9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1,068,081</w:t>
            </w:r>
          </w:p>
        </w:tc>
        <w:tc>
          <w:tcPr>
            <w:tcW w:w="1.0%" w:type="pct"/>
            <w:tcBorders>
              <w:top w:val="nil"/>
              <w:start w:val="nil"/>
              <w:bottom w:val="nil"/>
              <w:end w:val="nil"/>
            </w:tcBorders>
            <w:shd w:val="clear" w:color="auto" w:fill="FFFFFF"/>
            <w:tcMar>
              <w:top w:w="0pt" w:type="dxa"/>
              <w:end w:w="0pt" w:type="dxa"/>
            </w:tcMar>
            <w:vAlign w:val="bottom"/>
          </w:tcPr>
          <w:p w14:paraId="217E9F8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1B9D0E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208F50B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981,419</w:t>
            </w:r>
          </w:p>
        </w:tc>
        <w:tc>
          <w:tcPr>
            <w:tcW w:w="1.0%" w:type="pct"/>
            <w:tcBorders>
              <w:top w:val="nil"/>
              <w:start w:val="nil"/>
              <w:bottom w:val="nil"/>
              <w:end w:val="nil"/>
            </w:tcBorders>
            <w:shd w:val="clear" w:color="auto" w:fill="FFFFFF"/>
            <w:tcMar>
              <w:top w:w="0pt" w:type="dxa"/>
              <w:end w:w="0pt" w:type="dxa"/>
            </w:tcMar>
            <w:vAlign w:val="bottom"/>
          </w:tcPr>
          <w:p w14:paraId="35180B1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766E5B4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2B1930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1626FB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6863FF0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3,474,918</w:t>
            </w:r>
          </w:p>
        </w:tc>
        <w:tc>
          <w:tcPr>
            <w:tcW w:w="1.0%" w:type="pct"/>
            <w:tcBorders>
              <w:top w:val="nil"/>
              <w:start w:val="nil"/>
              <w:bottom w:val="nil"/>
              <w:end w:val="nil"/>
            </w:tcBorders>
            <w:shd w:val="clear" w:color="auto" w:fill="FFFFFF"/>
            <w:tcMar>
              <w:top w:w="0pt" w:type="dxa"/>
              <w:end w:w="0pt" w:type="dxa"/>
            </w:tcMar>
            <w:vAlign w:val="bottom"/>
          </w:tcPr>
          <w:p w14:paraId="5F3C31A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34A63C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77E3CB3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2,096,970</w:t>
            </w:r>
          </w:p>
        </w:tc>
        <w:tc>
          <w:tcPr>
            <w:tcW w:w="1.0%" w:type="pct"/>
            <w:tcBorders>
              <w:top w:val="nil"/>
              <w:start w:val="nil"/>
              <w:bottom w:val="nil"/>
              <w:end w:val="nil"/>
            </w:tcBorders>
            <w:shd w:val="clear" w:color="auto" w:fill="FFFFFF"/>
            <w:tcMar>
              <w:top w:w="0pt" w:type="dxa"/>
              <w:end w:w="0pt" w:type="dxa"/>
            </w:tcMar>
            <w:vAlign w:val="bottom"/>
          </w:tcPr>
          <w:p w14:paraId="78F921E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8064972"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34291CA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Loss on held for sale asset valuation</w:t>
            </w:r>
          </w:p>
        </w:tc>
        <w:tc>
          <w:tcPr>
            <w:tcW w:w="1.0%" w:type="pct"/>
            <w:tcBorders>
              <w:top w:val="nil"/>
              <w:start w:val="nil"/>
              <w:bottom w:val="nil"/>
              <w:end w:val="nil"/>
            </w:tcBorders>
            <w:shd w:val="clear" w:color="auto" w:fill="CFF0FC"/>
            <w:tcMar>
              <w:top w:w="0pt" w:type="dxa"/>
              <w:end w:w="0pt" w:type="dxa"/>
            </w:tcMar>
            <w:vAlign w:val="bottom"/>
          </w:tcPr>
          <w:p w14:paraId="283DCD9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66053BA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71CD492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B7D64A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448BD0C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42D6633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35A878B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B2CC30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F41B6C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370D0F9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156,091</w:t>
            </w:r>
          </w:p>
        </w:tc>
        <w:tc>
          <w:tcPr>
            <w:tcW w:w="1.0%" w:type="pct"/>
            <w:tcBorders>
              <w:top w:val="nil"/>
              <w:start w:val="nil"/>
              <w:bottom w:val="nil"/>
              <w:end w:val="nil"/>
            </w:tcBorders>
            <w:shd w:val="clear" w:color="auto" w:fill="CFF0FC"/>
            <w:tcMar>
              <w:top w:w="0pt" w:type="dxa"/>
              <w:end w:w="0pt" w:type="dxa"/>
            </w:tcMar>
            <w:vAlign w:val="bottom"/>
          </w:tcPr>
          <w:p w14:paraId="0B1ACE0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E5F67D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4D1EA56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103,990</w:t>
            </w:r>
          </w:p>
        </w:tc>
        <w:tc>
          <w:tcPr>
            <w:tcW w:w="1.0%" w:type="pct"/>
            <w:tcBorders>
              <w:top w:val="nil"/>
              <w:start w:val="nil"/>
              <w:bottom w:val="nil"/>
              <w:end w:val="nil"/>
            </w:tcBorders>
            <w:shd w:val="clear" w:color="auto" w:fill="CFF0FC"/>
            <w:tcMar>
              <w:top w:w="0pt" w:type="dxa"/>
              <w:end w:w="0pt" w:type="dxa"/>
            </w:tcMar>
            <w:vAlign w:val="bottom"/>
          </w:tcPr>
          <w:p w14:paraId="2BBB35A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93098E8"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343C64F8"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Amortization of debt issuance costs</w:t>
            </w:r>
          </w:p>
        </w:tc>
        <w:tc>
          <w:tcPr>
            <w:tcW w:w="1.0%" w:type="pct"/>
            <w:tcBorders>
              <w:top w:val="nil"/>
              <w:start w:val="nil"/>
              <w:bottom w:val="nil"/>
              <w:end w:val="nil"/>
            </w:tcBorders>
            <w:shd w:val="clear" w:color="auto" w:fill="FFFFFF"/>
            <w:tcMar>
              <w:top w:w="0pt" w:type="dxa"/>
              <w:end w:w="0pt" w:type="dxa"/>
            </w:tcMar>
            <w:vAlign w:val="bottom"/>
          </w:tcPr>
          <w:p w14:paraId="0BFA4DA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1C826F3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60,531</w:t>
            </w:r>
          </w:p>
        </w:tc>
        <w:tc>
          <w:tcPr>
            <w:tcW w:w="1.0%" w:type="pct"/>
            <w:tcBorders>
              <w:top w:val="nil"/>
              <w:start w:val="nil"/>
              <w:bottom w:val="nil"/>
              <w:end w:val="nil"/>
            </w:tcBorders>
            <w:shd w:val="clear" w:color="auto" w:fill="FFFFFF"/>
            <w:tcMar>
              <w:top w:w="0pt" w:type="dxa"/>
              <w:end w:w="0pt" w:type="dxa"/>
            </w:tcMar>
            <w:vAlign w:val="bottom"/>
          </w:tcPr>
          <w:p w14:paraId="52F15F8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0E9BF7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7264004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46,260</w:t>
            </w:r>
          </w:p>
        </w:tc>
        <w:tc>
          <w:tcPr>
            <w:tcW w:w="1.0%" w:type="pct"/>
            <w:tcBorders>
              <w:top w:val="nil"/>
              <w:start w:val="nil"/>
              <w:bottom w:val="nil"/>
              <w:end w:val="nil"/>
            </w:tcBorders>
            <w:shd w:val="clear" w:color="auto" w:fill="FFFFFF"/>
            <w:tcMar>
              <w:top w:w="0pt" w:type="dxa"/>
              <w:end w:w="0pt" w:type="dxa"/>
            </w:tcMar>
            <w:vAlign w:val="bottom"/>
          </w:tcPr>
          <w:p w14:paraId="016B131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03C7F98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9BB7A6B"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85434D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717B4B9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220FEC9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57F4EB6C"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9F8646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2728D2DA"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58670626"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Above and below-market lease amortization, net</w:t>
            </w:r>
          </w:p>
        </w:tc>
        <w:tc>
          <w:tcPr>
            <w:tcW w:w="1.0%" w:type="pct"/>
            <w:tcBorders>
              <w:top w:val="nil"/>
              <w:start w:val="nil"/>
              <w:bottom w:val="nil"/>
              <w:end w:val="nil"/>
            </w:tcBorders>
            <w:shd w:val="clear" w:color="auto" w:fill="CFF0FC"/>
            <w:tcMar>
              <w:top w:w="0pt" w:type="dxa"/>
              <w:end w:w="0pt" w:type="dxa"/>
            </w:tcMar>
            <w:vAlign w:val="bottom"/>
          </w:tcPr>
          <w:p w14:paraId="0363C20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2517B22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203,357</w:t>
            </w:r>
          </w:p>
        </w:tc>
        <w:tc>
          <w:tcPr>
            <w:tcW w:w="1.0%" w:type="pct"/>
            <w:tcBorders>
              <w:top w:val="nil"/>
              <w:start w:val="nil"/>
              <w:bottom w:val="nil"/>
              <w:end w:val="nil"/>
            </w:tcBorders>
            <w:shd w:val="clear" w:color="auto" w:fill="CFF0FC"/>
            <w:tcMar>
              <w:top w:w="0pt" w:type="dxa"/>
              <w:end w:w="0pt" w:type="dxa"/>
            </w:tcMar>
            <w:vAlign w:val="bottom"/>
          </w:tcPr>
          <w:p w14:paraId="1919742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08ADA8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69EE7AB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20,398</w:t>
            </w:r>
          </w:p>
        </w:tc>
        <w:tc>
          <w:tcPr>
            <w:tcW w:w="1.0%" w:type="pct"/>
            <w:tcBorders>
              <w:top w:val="nil"/>
              <w:start w:val="nil"/>
              <w:bottom w:val="nil"/>
              <w:end w:val="nil"/>
            </w:tcBorders>
            <w:shd w:val="clear" w:color="auto" w:fill="CFF0FC"/>
            <w:tcMar>
              <w:top w:w="0pt" w:type="dxa"/>
              <w:end w:w="0pt" w:type="dxa"/>
            </w:tcMar>
            <w:vAlign w:val="bottom"/>
          </w:tcPr>
          <w:p w14:paraId="7CE7444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4F33561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F7BC68A"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A7C8FD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27A6568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203,357</w:t>
            </w:r>
          </w:p>
        </w:tc>
        <w:tc>
          <w:tcPr>
            <w:tcW w:w="1.0%" w:type="pct"/>
            <w:tcBorders>
              <w:top w:val="nil"/>
              <w:start w:val="nil"/>
              <w:bottom w:val="nil"/>
              <w:end w:val="nil"/>
            </w:tcBorders>
            <w:shd w:val="clear" w:color="auto" w:fill="CFF0FC"/>
            <w:tcMar>
              <w:top w:w="0pt" w:type="dxa"/>
              <w:end w:w="0pt" w:type="dxa"/>
            </w:tcMar>
            <w:vAlign w:val="bottom"/>
          </w:tcPr>
          <w:p w14:paraId="3351B6A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0D9276B"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5CA0C4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(81,957</w:t>
            </w:r>
          </w:p>
        </w:tc>
        <w:tc>
          <w:tcPr>
            <w:tcW w:w="1.0%" w:type="pct"/>
            <w:tcBorders>
              <w:top w:val="nil"/>
              <w:start w:val="nil"/>
              <w:bottom w:val="nil"/>
              <w:end w:val="nil"/>
            </w:tcBorders>
            <w:shd w:val="clear" w:color="auto" w:fill="CFF0FC"/>
            <w:tcMar>
              <w:top w:w="0pt" w:type="dxa"/>
              <w:end w:w="0pt" w:type="dxa"/>
            </w:tcMar>
            <w:vAlign w:val="bottom"/>
          </w:tcPr>
          <w:p w14:paraId="3346333F"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r>
      <w:tr w:rsidR="0086099C" w14:paraId="6923E53F"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642DBC4D"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Straight line rent, net</w:t>
            </w:r>
          </w:p>
        </w:tc>
        <w:tc>
          <w:tcPr>
            <w:tcW w:w="1.0%" w:type="pct"/>
            <w:tcBorders>
              <w:top w:val="nil"/>
              <w:start w:val="nil"/>
              <w:bottom w:val="single" w:sz="4" w:space="0" w:color="000000"/>
              <w:end w:val="nil"/>
            </w:tcBorders>
            <w:shd w:val="clear" w:color="auto" w:fill="FFFFFF"/>
            <w:tcMar>
              <w:top w:w="0pt" w:type="dxa"/>
              <w:end w:w="0pt" w:type="dxa"/>
            </w:tcMar>
            <w:vAlign w:val="bottom"/>
          </w:tcPr>
          <w:p w14:paraId="499DBE4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4399574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74,253</w:t>
            </w:r>
          </w:p>
        </w:tc>
        <w:tc>
          <w:tcPr>
            <w:tcW w:w="1.0%" w:type="pct"/>
            <w:tcBorders>
              <w:top w:val="nil"/>
              <w:start w:val="nil"/>
              <w:bottom w:val="nil"/>
              <w:end w:val="nil"/>
            </w:tcBorders>
            <w:shd w:val="clear" w:color="auto" w:fill="FFFFFF"/>
            <w:tcMar>
              <w:top w:w="0pt" w:type="dxa"/>
              <w:end w:w="0pt" w:type="dxa"/>
            </w:tcMar>
            <w:vAlign w:val="bottom"/>
          </w:tcPr>
          <w:p w14:paraId="6CB5FC1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1C94A1C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FFFFFF"/>
            <w:tcMar>
              <w:top w:w="0pt" w:type="dxa"/>
              <w:end w:w="0pt" w:type="dxa"/>
            </w:tcMar>
            <w:vAlign w:val="bottom"/>
          </w:tcPr>
          <w:p w14:paraId="0D0FE5C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20,942</w:t>
            </w:r>
          </w:p>
        </w:tc>
        <w:tc>
          <w:tcPr>
            <w:tcW w:w="1.0%" w:type="pct"/>
            <w:tcBorders>
              <w:top w:val="nil"/>
              <w:start w:val="nil"/>
              <w:bottom w:val="nil"/>
              <w:end w:val="nil"/>
            </w:tcBorders>
            <w:shd w:val="clear" w:color="auto" w:fill="FFFFFF"/>
            <w:tcMar>
              <w:top w:w="0pt" w:type="dxa"/>
              <w:end w:w="0pt" w:type="dxa"/>
            </w:tcMar>
            <w:vAlign w:val="bottom"/>
          </w:tcPr>
          <w:p w14:paraId="35EFC96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4B0D7B42"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F3E77D4"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7A87EC9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4B8C17E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74,253</w:t>
            </w:r>
          </w:p>
        </w:tc>
        <w:tc>
          <w:tcPr>
            <w:tcW w:w="1.0%" w:type="pct"/>
            <w:tcBorders>
              <w:top w:val="nil"/>
              <w:start w:val="nil"/>
              <w:bottom w:val="nil"/>
              <w:end w:val="nil"/>
            </w:tcBorders>
            <w:shd w:val="clear" w:color="auto" w:fill="FFFFFF"/>
            <w:tcMar>
              <w:top w:w="0pt" w:type="dxa"/>
              <w:end w:w="0pt" w:type="dxa"/>
            </w:tcMar>
            <w:vAlign w:val="bottom"/>
          </w:tcPr>
          <w:p w14:paraId="587DB17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690EE79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7BD699B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61,383</w:t>
            </w:r>
          </w:p>
        </w:tc>
        <w:tc>
          <w:tcPr>
            <w:tcW w:w="1.0%" w:type="pct"/>
            <w:tcBorders>
              <w:top w:val="nil"/>
              <w:start w:val="nil"/>
              <w:bottom w:val="nil"/>
              <w:end w:val="nil"/>
            </w:tcBorders>
            <w:shd w:val="clear" w:color="auto" w:fill="FFFFFF"/>
            <w:tcMar>
              <w:top w:w="0pt" w:type="dxa"/>
              <w:end w:w="0pt" w:type="dxa"/>
            </w:tcMar>
            <w:vAlign w:val="bottom"/>
          </w:tcPr>
          <w:p w14:paraId="72D4CF5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1EDB83C2"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211E8039"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Adjustments to net loss</w:t>
            </w:r>
          </w:p>
        </w:tc>
        <w:tc>
          <w:tcPr>
            <w:tcW w:w="1.0%" w:type="pct"/>
            <w:tcBorders>
              <w:top w:val="single" w:sz="4" w:space="0" w:color="000000"/>
              <w:start w:val="nil"/>
              <w:bottom w:val="single" w:sz="4" w:space="0" w:color="000000"/>
              <w:end w:val="nil"/>
            </w:tcBorders>
            <w:shd w:val="clear" w:color="auto" w:fill="CFF0FC"/>
            <w:tcMar>
              <w:top w:w="0pt" w:type="dxa"/>
              <w:end w:w="0pt" w:type="dxa"/>
            </w:tcMar>
            <w:vAlign w:val="bottom"/>
          </w:tcPr>
          <w:p w14:paraId="2A29D87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CFF0FC"/>
            <w:tcMar>
              <w:top w:w="0pt" w:type="dxa"/>
              <w:end w:w="0pt" w:type="dxa"/>
            </w:tcMar>
            <w:vAlign w:val="bottom"/>
          </w:tcPr>
          <w:p w14:paraId="2262D55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2,140,338</w:t>
            </w:r>
          </w:p>
        </w:tc>
        <w:tc>
          <w:tcPr>
            <w:tcW w:w="1.0%" w:type="pct"/>
            <w:tcBorders>
              <w:top w:val="nil"/>
              <w:start w:val="nil"/>
              <w:bottom w:val="nil"/>
              <w:end w:val="nil"/>
            </w:tcBorders>
            <w:shd w:val="clear" w:color="auto" w:fill="CFF0FC"/>
            <w:tcMar>
              <w:top w:w="0pt" w:type="dxa"/>
              <w:end w:w="0pt" w:type="dxa"/>
            </w:tcMar>
            <w:vAlign w:val="bottom"/>
          </w:tcPr>
          <w:p w14:paraId="449FC26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CFF0FC"/>
            <w:tcMar>
              <w:top w:w="0pt" w:type="dxa"/>
              <w:end w:w="0pt" w:type="dxa"/>
            </w:tcMar>
            <w:vAlign w:val="bottom"/>
          </w:tcPr>
          <w:p w14:paraId="3FF1A1B0"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7.0%" w:type="pct"/>
            <w:tcBorders>
              <w:top w:val="single" w:sz="4" w:space="0" w:color="000000"/>
              <w:start w:val="nil"/>
              <w:bottom w:val="single" w:sz="4" w:space="0" w:color="000000"/>
              <w:end w:val="nil"/>
            </w:tcBorders>
            <w:shd w:val="clear" w:color="auto" w:fill="CFF0FC"/>
            <w:tcMar>
              <w:top w:w="0pt" w:type="dxa"/>
              <w:end w:w="0pt" w:type="dxa"/>
            </w:tcMar>
            <w:vAlign w:val="bottom"/>
          </w:tcPr>
          <w:p w14:paraId="33D4C696"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1,069,658</w:t>
            </w:r>
          </w:p>
        </w:tc>
        <w:tc>
          <w:tcPr>
            <w:tcW w:w="1.0%" w:type="pct"/>
            <w:tcBorders>
              <w:top w:val="nil"/>
              <w:start w:val="nil"/>
              <w:bottom w:val="nil"/>
              <w:end w:val="nil"/>
            </w:tcBorders>
            <w:shd w:val="clear" w:color="auto" w:fill="CFF0FC"/>
            <w:tcMar>
              <w:top w:w="0pt" w:type="dxa"/>
              <w:end w:w="0pt" w:type="dxa"/>
            </w:tcMar>
            <w:vAlign w:val="bottom"/>
          </w:tcPr>
          <w:p w14:paraId="04D346A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single" w:sz="4" w:space="0" w:color="000000"/>
              <w:start w:val="nil"/>
              <w:bottom w:val="single" w:sz="4" w:space="0" w:color="000000"/>
              <w:end w:val="nil"/>
            </w:tcBorders>
            <w:shd w:val="clear" w:color="auto" w:fill="CFF0FC"/>
            <w:tcMar>
              <w:top w:w="0pt" w:type="dxa"/>
              <w:end w:w="0pt" w:type="dxa"/>
            </w:tcMar>
            <w:vAlign w:val="bottom"/>
          </w:tcPr>
          <w:p w14:paraId="384B410D"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3A0B604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CFF0FC"/>
            <w:tcMar>
              <w:top w:w="0pt" w:type="dxa"/>
              <w:end w:w="0pt" w:type="dxa"/>
            </w:tcMar>
            <w:vAlign w:val="bottom"/>
          </w:tcPr>
          <w:p w14:paraId="61791B0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CFF0FC"/>
            <w:tcMar>
              <w:top w:w="0pt" w:type="dxa"/>
              <w:end w:w="0pt" w:type="dxa"/>
            </w:tcMar>
            <w:vAlign w:val="bottom"/>
          </w:tcPr>
          <w:p w14:paraId="7E0E747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5,276,183</w:t>
            </w:r>
          </w:p>
        </w:tc>
        <w:tc>
          <w:tcPr>
            <w:tcW w:w="1.0%" w:type="pct"/>
            <w:tcBorders>
              <w:top w:val="nil"/>
              <w:start w:val="nil"/>
              <w:bottom w:val="nil"/>
              <w:end w:val="nil"/>
            </w:tcBorders>
            <w:shd w:val="clear" w:color="auto" w:fill="CFF0FC"/>
            <w:tcMar>
              <w:top w:w="0pt" w:type="dxa"/>
              <w:end w:w="0pt" w:type="dxa"/>
            </w:tcMar>
            <w:vAlign w:val="bottom"/>
          </w:tcPr>
          <w:p w14:paraId="0B97F24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CFF0FC"/>
            <w:tcMar>
              <w:top w:w="0pt" w:type="dxa"/>
              <w:end w:w="0pt" w:type="dxa"/>
            </w:tcMar>
            <w:vAlign w:val="bottom"/>
          </w:tcPr>
          <w:p w14:paraId="5F361B8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CFF0FC"/>
            <w:tcMar>
              <w:top w:w="0pt" w:type="dxa"/>
              <w:end w:w="0pt" w:type="dxa"/>
            </w:tcMar>
            <w:vAlign w:val="bottom"/>
          </w:tcPr>
          <w:p w14:paraId="39CA06E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3,088,807</w:t>
            </w:r>
          </w:p>
        </w:tc>
        <w:tc>
          <w:tcPr>
            <w:tcW w:w="1.0%" w:type="pct"/>
            <w:tcBorders>
              <w:top w:val="nil"/>
              <w:start w:val="nil"/>
              <w:bottom w:val="nil"/>
              <w:end w:val="nil"/>
            </w:tcBorders>
            <w:shd w:val="clear" w:color="auto" w:fill="CFF0FC"/>
            <w:tcMar>
              <w:top w:w="0pt" w:type="dxa"/>
              <w:end w:w="0pt" w:type="dxa"/>
            </w:tcMar>
            <w:vAlign w:val="bottom"/>
          </w:tcPr>
          <w:p w14:paraId="1678442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22D3FB2D"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665A590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Adjusted Funds From Operations</w:t>
            </w: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3317550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FFFFFF"/>
            <w:tcMar>
              <w:top w:w="0pt" w:type="dxa"/>
              <w:end w:w="0pt" w:type="dxa"/>
            </w:tcMar>
            <w:vAlign w:val="bottom"/>
          </w:tcPr>
          <w:p w14:paraId="21262A24"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36,790</w:t>
            </w:r>
          </w:p>
        </w:tc>
        <w:tc>
          <w:tcPr>
            <w:tcW w:w="1.0%" w:type="pct"/>
            <w:tcBorders>
              <w:top w:val="nil"/>
              <w:start w:val="nil"/>
              <w:bottom w:val="nil"/>
              <w:end w:val="nil"/>
            </w:tcBorders>
            <w:shd w:val="clear" w:color="auto" w:fill="FFFFFF"/>
            <w:tcMar>
              <w:top w:w="0pt" w:type="dxa"/>
              <w:end w:w="0pt" w:type="dxa"/>
            </w:tcMar>
            <w:vAlign w:val="bottom"/>
          </w:tcPr>
          <w:p w14:paraId="502B61D2"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2B549EB7"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FFFFFF"/>
            <w:tcMar>
              <w:top w:w="0pt" w:type="dxa"/>
              <w:end w:w="0pt" w:type="dxa"/>
            </w:tcMar>
            <w:vAlign w:val="bottom"/>
          </w:tcPr>
          <w:p w14:paraId="68599BC2"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(143,607</w:t>
            </w:r>
          </w:p>
        </w:tc>
        <w:tc>
          <w:tcPr>
            <w:tcW w:w="1.0%" w:type="pct"/>
            <w:tcBorders>
              <w:top w:val="nil"/>
              <w:start w:val="nil"/>
              <w:bottom w:val="nil"/>
              <w:end w:val="nil"/>
            </w:tcBorders>
            <w:shd w:val="clear" w:color="auto" w:fill="FFFFFF"/>
            <w:tcMar>
              <w:top w:w="0pt" w:type="dxa"/>
              <w:end w:w="0pt" w:type="dxa"/>
            </w:tcMar>
            <w:vAlign w:val="bottom"/>
          </w:tcPr>
          <w:p w14:paraId="50B9540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double" w:sz="6" w:space="0" w:color="000000"/>
              <w:end w:val="nil"/>
            </w:tcBorders>
            <w:shd w:val="clear" w:color="auto" w:fill="FFFFFF"/>
            <w:tcMar>
              <w:top w:w="0pt" w:type="dxa"/>
              <w:end w:w="0pt" w:type="dxa"/>
            </w:tcMar>
            <w:vAlign w:val="bottom"/>
          </w:tcPr>
          <w:p w14:paraId="70D9F96B"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75426C6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10450F2C"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FFFFFF"/>
            <w:tcMar>
              <w:top w:w="0pt" w:type="dxa"/>
              <w:end w:w="0pt" w:type="dxa"/>
            </w:tcMar>
            <w:vAlign w:val="bottom"/>
          </w:tcPr>
          <w:p w14:paraId="4463D28A"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(1,226,943</w:t>
            </w:r>
          </w:p>
        </w:tc>
        <w:tc>
          <w:tcPr>
            <w:tcW w:w="1.0%" w:type="pct"/>
            <w:tcBorders>
              <w:top w:val="nil"/>
              <w:start w:val="nil"/>
              <w:bottom w:val="nil"/>
              <w:end w:val="nil"/>
            </w:tcBorders>
            <w:shd w:val="clear" w:color="auto" w:fill="FFFFFF"/>
            <w:tcMar>
              <w:top w:w="0pt" w:type="dxa"/>
              <w:end w:w="0pt" w:type="dxa"/>
            </w:tcMar>
            <w:vAlign w:val="bottom"/>
          </w:tcPr>
          <w:p w14:paraId="4490E3E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FFFFFF"/>
            <w:tcMar>
              <w:top w:w="0pt" w:type="dxa"/>
              <w:end w:w="0pt" w:type="dxa"/>
            </w:tcMar>
            <w:vAlign w:val="bottom"/>
          </w:tcPr>
          <w:p w14:paraId="0583103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FFFFFF"/>
            <w:tcMar>
              <w:top w:w="0pt" w:type="dxa"/>
              <w:end w:w="0pt" w:type="dxa"/>
            </w:tcMar>
            <w:vAlign w:val="bottom"/>
          </w:tcPr>
          <w:p w14:paraId="10121A40"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(67,208</w:t>
            </w:r>
          </w:p>
        </w:tc>
        <w:tc>
          <w:tcPr>
            <w:tcW w:w="1.0%" w:type="pct"/>
            <w:tcBorders>
              <w:top w:val="nil"/>
              <w:start w:val="nil"/>
              <w:bottom w:val="nil"/>
              <w:end w:val="nil"/>
            </w:tcBorders>
            <w:shd w:val="clear" w:color="auto" w:fill="FFFFFF"/>
            <w:tcMar>
              <w:top w:w="0pt" w:type="dxa"/>
              <w:end w:w="0pt" w:type="dxa"/>
            </w:tcMar>
            <w:vAlign w:val="bottom"/>
          </w:tcPr>
          <w:p w14:paraId="2185BDE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5C8AC66D"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3957AB2A"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CFF0FC"/>
            <w:tcMar>
              <w:top w:w="0pt" w:type="dxa"/>
              <w:end w:w="0pt" w:type="dxa"/>
            </w:tcMar>
            <w:vAlign w:val="bottom"/>
          </w:tcPr>
          <w:p w14:paraId="734E3E7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BBFAE75"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CFF0FC"/>
            <w:tcMar>
              <w:top w:w="0pt" w:type="dxa"/>
              <w:end w:w="0pt" w:type="dxa"/>
            </w:tcMar>
            <w:vAlign w:val="bottom"/>
          </w:tcPr>
          <w:p w14:paraId="239473C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12A78C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CFF0FC"/>
            <w:tcMar>
              <w:top w:w="0pt" w:type="dxa"/>
              <w:end w:w="0pt" w:type="dxa"/>
            </w:tcMar>
            <w:vAlign w:val="bottom"/>
          </w:tcPr>
          <w:p w14:paraId="2567475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628125F"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CFF0FC"/>
            <w:tcMar>
              <w:top w:w="0pt" w:type="dxa"/>
              <w:end w:w="0pt" w:type="dxa"/>
            </w:tcMar>
            <w:vAlign w:val="bottom"/>
          </w:tcPr>
          <w:p w14:paraId="4A558A79"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EAE142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double" w:sz="6" w:space="0" w:color="000000"/>
              <w:start w:val="nil"/>
              <w:bottom w:val="nil"/>
              <w:end w:val="nil"/>
            </w:tcBorders>
            <w:shd w:val="clear" w:color="auto" w:fill="CFF0FC"/>
            <w:tcMar>
              <w:top w:w="0pt" w:type="dxa"/>
              <w:end w:w="0pt" w:type="dxa"/>
            </w:tcMar>
            <w:vAlign w:val="bottom"/>
          </w:tcPr>
          <w:p w14:paraId="07471D78"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E42322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r>
      <w:tr w:rsidR="0086099C" w14:paraId="148A1F96"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52EB2FA5"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Dead deal expense</w:t>
            </w:r>
          </w:p>
        </w:tc>
        <w:tc>
          <w:tcPr>
            <w:tcW w:w="1.0%" w:type="pct"/>
            <w:tcBorders>
              <w:top w:val="nil"/>
              <w:start w:val="nil"/>
              <w:bottom w:val="nil"/>
              <w:end w:val="nil"/>
            </w:tcBorders>
            <w:shd w:val="clear" w:color="auto" w:fill="FFFFFF"/>
            <w:tcMar>
              <w:top w:w="0pt" w:type="dxa"/>
              <w:end w:w="0pt" w:type="dxa"/>
            </w:tcMar>
            <w:vAlign w:val="bottom"/>
          </w:tcPr>
          <w:p w14:paraId="238FA3E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5890DD3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4884700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BCBD5C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nil"/>
              <w:end w:val="nil"/>
            </w:tcBorders>
            <w:shd w:val="clear" w:color="auto" w:fill="FFFFFF"/>
            <w:tcMar>
              <w:top w:w="0pt" w:type="dxa"/>
              <w:end w:w="0pt" w:type="dxa"/>
            </w:tcMar>
            <w:vAlign w:val="bottom"/>
          </w:tcPr>
          <w:p w14:paraId="75D5F7F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2C964DB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D304BE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0DCE8BC"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15D94BE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C412A4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7AFF54A2"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35,873</w:t>
            </w:r>
          </w:p>
        </w:tc>
        <w:tc>
          <w:tcPr>
            <w:tcW w:w="1.0%" w:type="pct"/>
            <w:tcBorders>
              <w:top w:val="nil"/>
              <w:start w:val="nil"/>
              <w:bottom w:val="nil"/>
              <w:end w:val="nil"/>
            </w:tcBorders>
            <w:shd w:val="clear" w:color="auto" w:fill="FFFFFF"/>
            <w:tcMar>
              <w:top w:w="0pt" w:type="dxa"/>
              <w:end w:w="0pt" w:type="dxa"/>
            </w:tcMar>
            <w:vAlign w:val="bottom"/>
          </w:tcPr>
          <w:p w14:paraId="305EB43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C33F13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nil"/>
              <w:end w:val="nil"/>
            </w:tcBorders>
            <w:shd w:val="clear" w:color="auto" w:fill="FFFFFF"/>
            <w:tcMar>
              <w:top w:w="0pt" w:type="dxa"/>
              <w:end w:w="0pt" w:type="dxa"/>
            </w:tcMar>
            <w:vAlign w:val="bottom"/>
          </w:tcPr>
          <w:p w14:paraId="2FB92837"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109,569</w:t>
            </w:r>
          </w:p>
        </w:tc>
        <w:tc>
          <w:tcPr>
            <w:tcW w:w="1.0%" w:type="pct"/>
            <w:tcBorders>
              <w:top w:val="nil"/>
              <w:start w:val="nil"/>
              <w:bottom w:val="nil"/>
              <w:end w:val="nil"/>
            </w:tcBorders>
            <w:shd w:val="clear" w:color="auto" w:fill="FFFFFF"/>
            <w:tcMar>
              <w:top w:w="0pt" w:type="dxa"/>
              <w:end w:w="0pt" w:type="dxa"/>
            </w:tcMar>
            <w:vAlign w:val="bottom"/>
          </w:tcPr>
          <w:p w14:paraId="6D48950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75F00825"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11EA8281"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Non-cash stock compensation</w:t>
            </w:r>
          </w:p>
        </w:tc>
        <w:tc>
          <w:tcPr>
            <w:tcW w:w="1.0%" w:type="pct"/>
            <w:tcBorders>
              <w:top w:val="nil"/>
              <w:start w:val="nil"/>
              <w:bottom w:val="single" w:sz="4" w:space="0" w:color="000000"/>
              <w:end w:val="nil"/>
            </w:tcBorders>
            <w:shd w:val="clear" w:color="auto" w:fill="CFF0FC"/>
            <w:tcMar>
              <w:top w:w="0pt" w:type="dxa"/>
              <w:end w:w="0pt" w:type="dxa"/>
            </w:tcMar>
            <w:vAlign w:val="bottom"/>
          </w:tcPr>
          <w:p w14:paraId="6C9D4D8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69B32201"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94,935</w:t>
            </w:r>
          </w:p>
        </w:tc>
        <w:tc>
          <w:tcPr>
            <w:tcW w:w="1.0%" w:type="pct"/>
            <w:tcBorders>
              <w:top w:val="nil"/>
              <w:start w:val="nil"/>
              <w:bottom w:val="nil"/>
              <w:end w:val="nil"/>
            </w:tcBorders>
            <w:shd w:val="clear" w:color="auto" w:fill="CFF0FC"/>
            <w:tcMar>
              <w:top w:w="0pt" w:type="dxa"/>
              <w:end w:w="0pt" w:type="dxa"/>
            </w:tcMar>
            <w:vAlign w:val="bottom"/>
          </w:tcPr>
          <w:p w14:paraId="182C7FF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7E360D61"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CFF0FC"/>
            <w:tcMar>
              <w:top w:w="0pt" w:type="dxa"/>
              <w:end w:w="0pt" w:type="dxa"/>
            </w:tcMar>
            <w:vAlign w:val="bottom"/>
          </w:tcPr>
          <w:p w14:paraId="7AAC3C9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119,380</w:t>
            </w:r>
          </w:p>
        </w:tc>
        <w:tc>
          <w:tcPr>
            <w:tcW w:w="1.0%" w:type="pct"/>
            <w:tcBorders>
              <w:top w:val="nil"/>
              <w:start w:val="nil"/>
              <w:bottom w:val="nil"/>
              <w:end w:val="nil"/>
            </w:tcBorders>
            <w:shd w:val="clear" w:color="auto" w:fill="CFF0FC"/>
            <w:tcMar>
              <w:top w:w="0pt" w:type="dxa"/>
              <w:end w:w="0pt" w:type="dxa"/>
            </w:tcMar>
            <w:vAlign w:val="bottom"/>
          </w:tcPr>
          <w:p w14:paraId="3C9D84E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CFF0FC"/>
            <w:tcMar>
              <w:top w:w="0pt" w:type="dxa"/>
              <w:end w:w="0pt" w:type="dxa"/>
            </w:tcMar>
            <w:vAlign w:val="bottom"/>
          </w:tcPr>
          <w:p w14:paraId="01FFC113"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B9EA9C1"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20E31F4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44334F7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284,805</w:t>
            </w:r>
          </w:p>
        </w:tc>
        <w:tc>
          <w:tcPr>
            <w:tcW w:w="1.0%" w:type="pct"/>
            <w:tcBorders>
              <w:top w:val="nil"/>
              <w:start w:val="nil"/>
              <w:bottom w:val="nil"/>
              <w:end w:val="nil"/>
            </w:tcBorders>
            <w:shd w:val="clear" w:color="auto" w:fill="CFF0FC"/>
            <w:tcMar>
              <w:top w:w="0pt" w:type="dxa"/>
              <w:end w:w="0pt" w:type="dxa"/>
            </w:tcMar>
            <w:vAlign w:val="bottom"/>
          </w:tcPr>
          <w:p w14:paraId="7F7D5BCD"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CFF0FC"/>
            <w:tcMar>
              <w:top w:w="0pt" w:type="dxa"/>
              <w:end w:w="0pt" w:type="dxa"/>
            </w:tcMar>
            <w:vAlign w:val="bottom"/>
          </w:tcPr>
          <w:p w14:paraId="0737CF2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CFF0FC"/>
            <w:tcMar>
              <w:top w:w="0pt" w:type="dxa"/>
              <w:end w:w="0pt" w:type="dxa"/>
            </w:tcMar>
            <w:vAlign w:val="bottom"/>
          </w:tcPr>
          <w:p w14:paraId="03137CA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287,067</w:t>
            </w:r>
          </w:p>
        </w:tc>
        <w:tc>
          <w:tcPr>
            <w:tcW w:w="1.0%" w:type="pct"/>
            <w:tcBorders>
              <w:top w:val="nil"/>
              <w:start w:val="nil"/>
              <w:bottom w:val="nil"/>
              <w:end w:val="nil"/>
            </w:tcBorders>
            <w:shd w:val="clear" w:color="auto" w:fill="CFF0FC"/>
            <w:tcMar>
              <w:top w:w="0pt" w:type="dxa"/>
              <w:end w:w="0pt" w:type="dxa"/>
            </w:tcMar>
            <w:vAlign w:val="bottom"/>
          </w:tcPr>
          <w:p w14:paraId="1DA249A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4B8EF3A7"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1475760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Adjustments to Adjusted Funds From Operations</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793E4E8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665846C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94,935</w:t>
            </w:r>
          </w:p>
        </w:tc>
        <w:tc>
          <w:tcPr>
            <w:tcW w:w="1.0%" w:type="pct"/>
            <w:tcBorders>
              <w:top w:val="nil"/>
              <w:start w:val="nil"/>
              <w:bottom w:val="nil"/>
              <w:end w:val="nil"/>
            </w:tcBorders>
            <w:shd w:val="clear" w:color="auto" w:fill="FFFFFF"/>
            <w:tcMar>
              <w:top w:w="0pt" w:type="dxa"/>
              <w:end w:w="0pt" w:type="dxa"/>
            </w:tcMar>
            <w:vAlign w:val="bottom"/>
          </w:tcPr>
          <w:p w14:paraId="63A0D633"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2C46576B"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7.0%" w:type="pct"/>
            <w:tcBorders>
              <w:top w:val="single" w:sz="4" w:space="0" w:color="000000"/>
              <w:start w:val="nil"/>
              <w:bottom w:val="single" w:sz="4" w:space="0" w:color="000000"/>
              <w:end w:val="nil"/>
            </w:tcBorders>
            <w:shd w:val="clear" w:color="auto" w:fill="FFFFFF"/>
            <w:tcMar>
              <w:top w:w="0pt" w:type="dxa"/>
              <w:end w:w="0pt" w:type="dxa"/>
            </w:tcMar>
            <w:vAlign w:val="bottom"/>
          </w:tcPr>
          <w:p w14:paraId="21946523"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119,380</w:t>
            </w:r>
          </w:p>
        </w:tc>
        <w:tc>
          <w:tcPr>
            <w:tcW w:w="1.0%" w:type="pct"/>
            <w:tcBorders>
              <w:top w:val="nil"/>
              <w:start w:val="nil"/>
              <w:bottom w:val="nil"/>
              <w:end w:val="nil"/>
            </w:tcBorders>
            <w:shd w:val="clear" w:color="auto" w:fill="FFFFFF"/>
            <w:tcMar>
              <w:top w:w="0pt" w:type="dxa"/>
              <w:end w:w="0pt" w:type="dxa"/>
            </w:tcMar>
            <w:vAlign w:val="bottom"/>
          </w:tcPr>
          <w:p w14:paraId="54F8AB35"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2CCF2A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B851DA5"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6CCF3940"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64D4454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3E71DC4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320,678</w:t>
            </w:r>
          </w:p>
        </w:tc>
        <w:tc>
          <w:tcPr>
            <w:tcW w:w="1.0%" w:type="pct"/>
            <w:tcBorders>
              <w:top w:val="nil"/>
              <w:start w:val="nil"/>
              <w:bottom w:val="nil"/>
              <w:end w:val="nil"/>
            </w:tcBorders>
            <w:shd w:val="clear" w:color="auto" w:fill="FFFFFF"/>
            <w:tcMar>
              <w:top w:w="0pt" w:type="dxa"/>
              <w:end w:w="0pt" w:type="dxa"/>
            </w:tcMar>
            <w:vAlign w:val="bottom"/>
          </w:tcPr>
          <w:p w14:paraId="311D6252"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single" w:sz="4" w:space="0" w:color="000000"/>
              <w:start w:val="nil"/>
              <w:bottom w:val="single" w:sz="4" w:space="0" w:color="000000"/>
              <w:end w:val="nil"/>
            </w:tcBorders>
            <w:shd w:val="clear" w:color="auto" w:fill="FFFFFF"/>
            <w:tcMar>
              <w:top w:w="0pt" w:type="dxa"/>
              <w:end w:w="0pt" w:type="dxa"/>
            </w:tcMar>
            <w:vAlign w:val="bottom"/>
          </w:tcPr>
          <w:p w14:paraId="4F51B04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single" w:sz="4" w:space="0" w:color="000000"/>
              <w:start w:val="nil"/>
              <w:bottom w:val="single" w:sz="4" w:space="0" w:color="000000"/>
              <w:end w:val="nil"/>
            </w:tcBorders>
            <w:shd w:val="clear" w:color="auto" w:fill="FFFFFF"/>
            <w:tcMar>
              <w:top w:w="0pt" w:type="dxa"/>
              <w:end w:w="0pt" w:type="dxa"/>
            </w:tcMar>
            <w:vAlign w:val="bottom"/>
          </w:tcPr>
          <w:p w14:paraId="0BE4F22F"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396,636</w:t>
            </w:r>
          </w:p>
        </w:tc>
        <w:tc>
          <w:tcPr>
            <w:tcW w:w="1.0%" w:type="pct"/>
            <w:tcBorders>
              <w:top w:val="nil"/>
              <w:start w:val="nil"/>
              <w:bottom w:val="nil"/>
              <w:end w:val="nil"/>
            </w:tcBorders>
            <w:shd w:val="clear" w:color="auto" w:fill="FFFFFF"/>
            <w:tcMar>
              <w:top w:w="0pt" w:type="dxa"/>
              <w:end w:w="0pt" w:type="dxa"/>
            </w:tcMar>
            <w:vAlign w:val="bottom"/>
          </w:tcPr>
          <w:p w14:paraId="692BACB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06E98B90"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626267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Core Adjusted Funds From Operations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09E39B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1118C17A"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131,725</w:t>
            </w:r>
          </w:p>
        </w:tc>
        <w:tc>
          <w:tcPr>
            <w:tcW w:w="1.0%" w:type="pct"/>
            <w:tcBorders>
              <w:top w:val="nil"/>
              <w:start w:val="nil"/>
              <w:bottom w:val="nil"/>
              <w:end w:val="nil"/>
            </w:tcBorders>
            <w:shd w:val="clear" w:color="auto" w:fill="CFF0FC"/>
            <w:tcMar>
              <w:top w:w="0pt" w:type="dxa"/>
              <w:end w:w="0pt" w:type="dxa"/>
            </w:tcMar>
            <w:vAlign w:val="bottom"/>
          </w:tcPr>
          <w:p w14:paraId="7DC32E4C"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3D416A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CFF0FC"/>
            <w:tcMar>
              <w:top w:w="0pt" w:type="dxa"/>
              <w:end w:w="0pt" w:type="dxa"/>
            </w:tcMar>
            <w:vAlign w:val="bottom"/>
          </w:tcPr>
          <w:p w14:paraId="3A7657B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(24,227</w:t>
            </w:r>
          </w:p>
        </w:tc>
        <w:tc>
          <w:tcPr>
            <w:tcW w:w="1.0%" w:type="pct"/>
            <w:tcBorders>
              <w:top w:val="nil"/>
              <w:start w:val="nil"/>
              <w:bottom w:val="nil"/>
              <w:end w:val="nil"/>
            </w:tcBorders>
            <w:shd w:val="clear" w:color="auto" w:fill="CFF0FC"/>
            <w:tcMar>
              <w:top w:w="0pt" w:type="dxa"/>
              <w:end w:w="0pt" w:type="dxa"/>
            </w:tcMar>
            <w:vAlign w:val="bottom"/>
          </w:tcPr>
          <w:p w14:paraId="6910E1A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double" w:sz="6" w:space="0" w:color="000000"/>
              <w:end w:val="nil"/>
            </w:tcBorders>
            <w:shd w:val="clear" w:color="auto" w:fill="CFF0FC"/>
            <w:tcMar>
              <w:top w:w="0pt" w:type="dxa"/>
              <w:end w:w="0pt" w:type="dxa"/>
            </w:tcMar>
            <w:vAlign w:val="bottom"/>
          </w:tcPr>
          <w:p w14:paraId="47AD7E09"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5C90C37"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6CE677D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609149FA"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152,729</w:t>
            </w:r>
          </w:p>
        </w:tc>
        <w:tc>
          <w:tcPr>
            <w:tcW w:w="1.0%" w:type="pct"/>
            <w:tcBorders>
              <w:top w:val="nil"/>
              <w:start w:val="nil"/>
              <w:bottom w:val="nil"/>
              <w:end w:val="nil"/>
            </w:tcBorders>
            <w:shd w:val="clear" w:color="auto" w:fill="CFF0FC"/>
            <w:tcMar>
              <w:top w:w="0pt" w:type="dxa"/>
              <w:end w:w="0pt" w:type="dxa"/>
            </w:tcMar>
            <w:vAlign w:val="bottom"/>
          </w:tcPr>
          <w:p w14:paraId="40CFDCDA"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15879A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3A3FC912"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329,428</w:t>
            </w:r>
          </w:p>
        </w:tc>
        <w:tc>
          <w:tcPr>
            <w:tcW w:w="1.0%" w:type="pct"/>
            <w:tcBorders>
              <w:top w:val="nil"/>
              <w:start w:val="nil"/>
              <w:bottom w:val="nil"/>
              <w:end w:val="nil"/>
            </w:tcBorders>
            <w:shd w:val="clear" w:color="auto" w:fill="CFF0FC"/>
            <w:tcMar>
              <w:top w:w="0pt" w:type="dxa"/>
              <w:end w:w="0pt" w:type="dxa"/>
            </w:tcMar>
            <w:vAlign w:val="bottom"/>
          </w:tcPr>
          <w:p w14:paraId="3C11835E"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r>
      <w:tr w:rsidR="0086099C" w14:paraId="637DB2A7"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489BC1B1"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1A628DD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1E8A2E9"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64BE9FC1"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0003AA86"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7B1906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1FC8778"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FE5F108"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35C876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FC2C5BF"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E28EFA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r>
      <w:tr w:rsidR="0086099C" w14:paraId="0E9E667E"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683B8F3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w:t>
            </w:r>
          </w:p>
        </w:tc>
        <w:tc>
          <w:tcPr>
            <w:tcW w:w="1.0%" w:type="pct"/>
            <w:tcBorders>
              <w:top w:val="nil"/>
              <w:start w:val="nil"/>
              <w:bottom w:val="nil"/>
              <w:end w:val="nil"/>
            </w:tcBorders>
            <w:shd w:val="clear" w:color="auto" w:fill="CFF0FC"/>
            <w:tcMar>
              <w:top w:w="0pt" w:type="dxa"/>
              <w:end w:w="0pt" w:type="dxa"/>
            </w:tcMar>
            <w:vAlign w:val="bottom"/>
          </w:tcPr>
          <w:p w14:paraId="4FF286C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2628560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(2,103,548</w:t>
            </w:r>
          </w:p>
        </w:tc>
        <w:tc>
          <w:tcPr>
            <w:tcW w:w="1.0%" w:type="pct"/>
            <w:tcBorders>
              <w:top w:val="nil"/>
              <w:start w:val="nil"/>
              <w:bottom w:val="nil"/>
              <w:end w:val="nil"/>
            </w:tcBorders>
            <w:shd w:val="clear" w:color="auto" w:fill="CFF0FC"/>
            <w:tcMar>
              <w:top w:w="0pt" w:type="dxa"/>
              <w:end w:w="0pt" w:type="dxa"/>
            </w:tcMar>
            <w:vAlign w:val="bottom"/>
          </w:tcPr>
          <w:p w14:paraId="747A3CE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07FB11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nil"/>
              <w:start w:val="nil"/>
              <w:bottom w:val="nil"/>
              <w:end w:val="nil"/>
            </w:tcBorders>
            <w:shd w:val="clear" w:color="auto" w:fill="CFF0FC"/>
            <w:tcMar>
              <w:top w:w="0pt" w:type="dxa"/>
              <w:end w:w="0pt" w:type="dxa"/>
            </w:tcMar>
            <w:vAlign w:val="bottom"/>
          </w:tcPr>
          <w:p w14:paraId="0DB91E77"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(1,213,265</w:t>
            </w:r>
          </w:p>
        </w:tc>
        <w:tc>
          <w:tcPr>
            <w:tcW w:w="1.0%" w:type="pct"/>
            <w:tcBorders>
              <w:top w:val="nil"/>
              <w:start w:val="nil"/>
              <w:bottom w:val="nil"/>
              <w:end w:val="nil"/>
            </w:tcBorders>
            <w:shd w:val="clear" w:color="auto" w:fill="CFF0FC"/>
            <w:tcMar>
              <w:top w:w="0pt" w:type="dxa"/>
              <w:end w:w="0pt" w:type="dxa"/>
            </w:tcMar>
            <w:vAlign w:val="bottom"/>
          </w:tcPr>
          <w:p w14:paraId="11D278A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nil"/>
              <w:start w:val="nil"/>
              <w:bottom w:val="nil"/>
              <w:end w:val="nil"/>
            </w:tcBorders>
            <w:shd w:val="clear" w:color="auto" w:fill="CFF0FC"/>
            <w:tcMar>
              <w:top w:w="0pt" w:type="dxa"/>
              <w:end w:w="0pt" w:type="dxa"/>
            </w:tcMar>
            <w:vAlign w:val="bottom"/>
          </w:tcPr>
          <w:p w14:paraId="526C3639"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C691D7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79B781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725B678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(5,444,132</w:t>
            </w:r>
          </w:p>
        </w:tc>
        <w:tc>
          <w:tcPr>
            <w:tcW w:w="1.0%" w:type="pct"/>
            <w:tcBorders>
              <w:top w:val="nil"/>
              <w:start w:val="nil"/>
              <w:bottom w:val="nil"/>
              <w:end w:val="nil"/>
            </w:tcBorders>
            <w:shd w:val="clear" w:color="auto" w:fill="CFF0FC"/>
            <w:tcMar>
              <w:top w:w="0pt" w:type="dxa"/>
              <w:end w:w="0pt" w:type="dxa"/>
            </w:tcMar>
            <w:vAlign w:val="bottom"/>
          </w:tcPr>
          <w:p w14:paraId="37A0212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1523BC8B"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nil"/>
              <w:start w:val="nil"/>
              <w:bottom w:val="nil"/>
              <w:end w:val="nil"/>
            </w:tcBorders>
            <w:shd w:val="clear" w:color="auto" w:fill="CFF0FC"/>
            <w:tcMar>
              <w:top w:w="0pt" w:type="dxa"/>
              <w:end w:w="0pt" w:type="dxa"/>
            </w:tcMar>
            <w:vAlign w:val="bottom"/>
          </w:tcPr>
          <w:p w14:paraId="1704D3E6"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(3,156,015</w:t>
            </w:r>
          </w:p>
        </w:tc>
        <w:tc>
          <w:tcPr>
            <w:tcW w:w="1.0%" w:type="pct"/>
            <w:tcBorders>
              <w:top w:val="nil"/>
              <w:start w:val="nil"/>
              <w:bottom w:val="nil"/>
              <w:end w:val="nil"/>
            </w:tcBorders>
            <w:shd w:val="clear" w:color="auto" w:fill="CFF0FC"/>
            <w:tcMar>
              <w:top w:w="0pt" w:type="dxa"/>
              <w:end w:w="0pt" w:type="dxa"/>
            </w:tcMar>
            <w:vAlign w:val="bottom"/>
          </w:tcPr>
          <w:p w14:paraId="2F41E942"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78EA055C"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6DCE974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Net income attributable to non-controlling interests</w:t>
            </w:r>
          </w:p>
        </w:tc>
        <w:tc>
          <w:tcPr>
            <w:tcW w:w="1.0%" w:type="pct"/>
            <w:tcBorders>
              <w:top w:val="nil"/>
              <w:start w:val="nil"/>
              <w:bottom w:val="single" w:sz="4" w:space="0" w:color="000000"/>
              <w:end w:val="nil"/>
            </w:tcBorders>
            <w:shd w:val="clear" w:color="auto" w:fill="FFFFFF"/>
            <w:tcMar>
              <w:top w:w="0pt" w:type="dxa"/>
              <w:end w:w="0pt" w:type="dxa"/>
            </w:tcMar>
            <w:vAlign w:val="bottom"/>
          </w:tcPr>
          <w:p w14:paraId="298DB49E"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3C56CB9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866,047</w:t>
            </w:r>
          </w:p>
        </w:tc>
        <w:tc>
          <w:tcPr>
            <w:tcW w:w="1.0%" w:type="pct"/>
            <w:tcBorders>
              <w:top w:val="nil"/>
              <w:start w:val="nil"/>
              <w:bottom w:val="nil"/>
              <w:end w:val="nil"/>
            </w:tcBorders>
            <w:shd w:val="clear" w:color="auto" w:fill="FFFFFF"/>
            <w:tcMar>
              <w:top w:w="0pt" w:type="dxa"/>
              <w:end w:w="0pt" w:type="dxa"/>
            </w:tcMar>
            <w:vAlign w:val="bottom"/>
          </w:tcPr>
          <w:p w14:paraId="68CE4B6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4D2FBAE8"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7.0%" w:type="pct"/>
            <w:tcBorders>
              <w:top w:val="nil"/>
              <w:start w:val="nil"/>
              <w:bottom w:val="single" w:sz="4" w:space="0" w:color="000000"/>
              <w:end w:val="nil"/>
            </w:tcBorders>
            <w:shd w:val="clear" w:color="auto" w:fill="FFFFFF"/>
            <w:tcMar>
              <w:top w:w="0pt" w:type="dxa"/>
              <w:end w:w="0pt" w:type="dxa"/>
            </w:tcMar>
            <w:vAlign w:val="bottom"/>
          </w:tcPr>
          <w:p w14:paraId="3B22463A"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425,637</w:t>
            </w:r>
          </w:p>
        </w:tc>
        <w:tc>
          <w:tcPr>
            <w:tcW w:w="1.0%" w:type="pct"/>
            <w:tcBorders>
              <w:top w:val="nil"/>
              <w:start w:val="nil"/>
              <w:bottom w:val="nil"/>
              <w:end w:val="nil"/>
            </w:tcBorders>
            <w:shd w:val="clear" w:color="auto" w:fill="FFFFFF"/>
            <w:tcMar>
              <w:top w:w="0pt" w:type="dxa"/>
              <w:end w:w="0pt" w:type="dxa"/>
            </w:tcMar>
            <w:vAlign w:val="bottom"/>
          </w:tcPr>
          <w:p w14:paraId="2CECE0C9"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0pt" w:type="dxa"/>
            <w:gridSpan w:val="2"/>
            <w:tcBorders>
              <w:top w:val="nil"/>
              <w:start w:val="nil"/>
              <w:bottom w:val="single" w:sz="4" w:space="0" w:color="000000"/>
              <w:end w:val="nil"/>
            </w:tcBorders>
            <w:shd w:val="clear" w:color="auto" w:fill="FFFFFF"/>
            <w:tcMar>
              <w:top w:w="0pt" w:type="dxa"/>
              <w:end w:w="0pt" w:type="dxa"/>
            </w:tcMar>
            <w:vAlign w:val="bottom"/>
          </w:tcPr>
          <w:p w14:paraId="16783DF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1DEDD006" w14:textId="77777777" w:rsidR="0086099C" w:rsidRDefault="0086099C">
            <w:pPr>
              <w:keepNext/>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47523ED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39425F1B"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2,612,405</w:t>
            </w:r>
          </w:p>
        </w:tc>
        <w:tc>
          <w:tcPr>
            <w:tcW w:w="1.0%" w:type="pct"/>
            <w:tcBorders>
              <w:top w:val="nil"/>
              <w:start w:val="nil"/>
              <w:bottom w:val="nil"/>
              <w:end w:val="nil"/>
            </w:tcBorders>
            <w:shd w:val="clear" w:color="auto" w:fill="FFFFFF"/>
            <w:tcMar>
              <w:top w:w="0pt" w:type="dxa"/>
              <w:end w:w="0pt" w:type="dxa"/>
            </w:tcMar>
            <w:vAlign w:val="bottom"/>
          </w:tcPr>
          <w:p w14:paraId="424758D7"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nil"/>
              <w:start w:val="nil"/>
              <w:bottom w:val="single" w:sz="4" w:space="0" w:color="000000"/>
              <w:end w:val="nil"/>
            </w:tcBorders>
            <w:shd w:val="clear" w:color="auto" w:fill="FFFFFF"/>
            <w:tcMar>
              <w:top w:w="0pt" w:type="dxa"/>
              <w:end w:w="0pt" w:type="dxa"/>
            </w:tcMar>
            <w:vAlign w:val="bottom"/>
          </w:tcPr>
          <w:p w14:paraId="4627F54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9.0%" w:type="pct"/>
            <w:tcBorders>
              <w:top w:val="nil"/>
              <w:start w:val="nil"/>
              <w:bottom w:val="single" w:sz="4" w:space="0" w:color="000000"/>
              <w:end w:val="nil"/>
            </w:tcBorders>
            <w:shd w:val="clear" w:color="auto" w:fill="FFFFFF"/>
            <w:tcMar>
              <w:top w:w="0pt" w:type="dxa"/>
              <w:end w:w="0pt" w:type="dxa"/>
            </w:tcMar>
            <w:vAlign w:val="bottom"/>
          </w:tcPr>
          <w:p w14:paraId="05F8FE49"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681,916</w:t>
            </w:r>
          </w:p>
        </w:tc>
        <w:tc>
          <w:tcPr>
            <w:tcW w:w="1.0%" w:type="pct"/>
            <w:tcBorders>
              <w:top w:val="nil"/>
              <w:start w:val="nil"/>
              <w:bottom w:val="nil"/>
              <w:end w:val="nil"/>
            </w:tcBorders>
            <w:shd w:val="clear" w:color="auto" w:fill="FFFFFF"/>
            <w:tcMar>
              <w:top w:w="0pt" w:type="dxa"/>
              <w:end w:w="0pt" w:type="dxa"/>
            </w:tcMar>
            <w:vAlign w:val="bottom"/>
          </w:tcPr>
          <w:p w14:paraId="3C3FDC0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58932E71"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4DC996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 attributable to Generation Income Properties, Inc.</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5DF6BFF1"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5E2E561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(2,969,595</w:t>
            </w:r>
          </w:p>
        </w:tc>
        <w:tc>
          <w:tcPr>
            <w:tcW w:w="1.0%" w:type="pct"/>
            <w:tcBorders>
              <w:top w:val="nil"/>
              <w:start w:val="nil"/>
              <w:bottom w:val="nil"/>
              <w:end w:val="nil"/>
            </w:tcBorders>
            <w:shd w:val="clear" w:color="auto" w:fill="CFF0FC"/>
            <w:tcMar>
              <w:top w:w="0pt" w:type="dxa"/>
              <w:end w:w="0pt" w:type="dxa"/>
            </w:tcMar>
            <w:vAlign w:val="bottom"/>
          </w:tcPr>
          <w:p w14:paraId="32AAA75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57E3C59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CFF0FC"/>
            <w:tcMar>
              <w:top w:w="0pt" w:type="dxa"/>
              <w:end w:w="0pt" w:type="dxa"/>
            </w:tcMar>
            <w:vAlign w:val="bottom"/>
          </w:tcPr>
          <w:p w14:paraId="582143FF"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(1,638,902</w:t>
            </w:r>
          </w:p>
        </w:tc>
        <w:tc>
          <w:tcPr>
            <w:tcW w:w="1.0%" w:type="pct"/>
            <w:tcBorders>
              <w:top w:val="nil"/>
              <w:start w:val="nil"/>
              <w:bottom w:val="nil"/>
              <w:end w:val="nil"/>
            </w:tcBorders>
            <w:shd w:val="clear" w:color="auto" w:fill="CFF0FC"/>
            <w:tcMar>
              <w:top w:w="0pt" w:type="dxa"/>
              <w:end w:w="0pt" w:type="dxa"/>
            </w:tcMar>
            <w:vAlign w:val="bottom"/>
          </w:tcPr>
          <w:p w14:paraId="0F3A624F"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0pt" w:type="dxa"/>
            <w:gridSpan w:val="2"/>
            <w:tcBorders>
              <w:top w:val="single" w:sz="4" w:space="0" w:color="000000"/>
              <w:start w:val="nil"/>
              <w:bottom w:val="double" w:sz="6" w:space="0" w:color="000000"/>
              <w:end w:val="nil"/>
            </w:tcBorders>
            <w:shd w:val="clear" w:color="auto" w:fill="CFF0FC"/>
            <w:tcMar>
              <w:top w:w="0pt" w:type="dxa"/>
              <w:end w:w="0pt" w:type="dxa"/>
            </w:tcMar>
            <w:vAlign w:val="bottom"/>
          </w:tcPr>
          <w:p w14:paraId="4DDA2DE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46205335"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6124F2FE"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618AD2D6"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(8,056,537</w:t>
            </w:r>
          </w:p>
        </w:tc>
        <w:tc>
          <w:tcPr>
            <w:tcW w:w="1.0%" w:type="pct"/>
            <w:tcBorders>
              <w:top w:val="nil"/>
              <w:start w:val="nil"/>
              <w:bottom w:val="nil"/>
              <w:end w:val="nil"/>
            </w:tcBorders>
            <w:shd w:val="clear" w:color="auto" w:fill="CFF0FC"/>
            <w:tcMar>
              <w:top w:w="0pt" w:type="dxa"/>
              <w:end w:w="0pt" w:type="dxa"/>
            </w:tcMar>
            <w:vAlign w:val="bottom"/>
          </w:tcPr>
          <w:p w14:paraId="25C7506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6A64788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2B6FB4B9"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(3,837,931</w:t>
            </w:r>
          </w:p>
        </w:tc>
        <w:tc>
          <w:tcPr>
            <w:tcW w:w="1.0%" w:type="pct"/>
            <w:tcBorders>
              <w:top w:val="nil"/>
              <w:start w:val="nil"/>
              <w:bottom w:val="nil"/>
              <w:end w:val="nil"/>
            </w:tcBorders>
            <w:shd w:val="clear" w:color="auto" w:fill="CFF0FC"/>
            <w:tcMar>
              <w:top w:w="0pt" w:type="dxa"/>
              <w:end w:w="0pt" w:type="dxa"/>
            </w:tcMar>
            <w:vAlign w:val="bottom"/>
          </w:tcPr>
          <w:p w14:paraId="7774D81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5D35279F"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21698C87"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Less: Preferred stock dividends</w:t>
            </w: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6940EAF6"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double" w:sz="6" w:space="0" w:color="000000"/>
              <w:start w:val="nil"/>
              <w:bottom w:val="single" w:sz="4" w:space="0" w:color="000000"/>
              <w:end w:val="nil"/>
            </w:tcBorders>
            <w:shd w:val="clear" w:color="auto" w:fill="FFFFFF"/>
            <w:tcMar>
              <w:top w:w="0pt" w:type="dxa"/>
              <w:end w:w="0pt" w:type="dxa"/>
            </w:tcMar>
            <w:vAlign w:val="bottom"/>
          </w:tcPr>
          <w:p w14:paraId="7A82C9FD"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068BDAF6"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3E5BBFFF"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7.0%" w:type="pct"/>
            <w:tcBorders>
              <w:top w:val="double" w:sz="6" w:space="0" w:color="000000"/>
              <w:start w:val="nil"/>
              <w:bottom w:val="single" w:sz="4" w:space="0" w:color="000000"/>
              <w:end w:val="nil"/>
            </w:tcBorders>
            <w:shd w:val="clear" w:color="auto" w:fill="FFFFFF"/>
            <w:tcMar>
              <w:top w:w="0pt" w:type="dxa"/>
              <w:end w:w="0pt" w:type="dxa"/>
            </w:tcMar>
            <w:vAlign w:val="bottom"/>
          </w:tcPr>
          <w:p w14:paraId="60E16F0E"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FFFFFF"/>
            <w:tcMar>
              <w:top w:w="0pt" w:type="dxa"/>
              <w:end w:w="0pt" w:type="dxa"/>
            </w:tcMar>
            <w:vAlign w:val="bottom"/>
          </w:tcPr>
          <w:p w14:paraId="436E489F"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78E4E21C"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7FC35104"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w:t>
            </w:r>
          </w:p>
        </w:tc>
        <w:tc>
          <w:tcPr>
            <w:tcW w:w="1.0%" w:type="pct"/>
            <w:tcBorders>
              <w:top w:val="nil"/>
              <w:start w:val="nil"/>
              <w:bottom w:val="nil"/>
              <w:end w:val="nil"/>
            </w:tcBorders>
            <w:shd w:val="clear" w:color="auto" w:fill="FFFFFF"/>
            <w:tcMar>
              <w:top w:w="0pt" w:type="dxa"/>
              <w:end w:w="0pt" w:type="dxa"/>
            </w:tcMar>
            <w:vAlign w:val="bottom"/>
          </w:tcPr>
          <w:p w14:paraId="0308089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663EE96A"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double" w:sz="6" w:space="0" w:color="000000"/>
              <w:start w:val="nil"/>
              <w:bottom w:val="single" w:sz="4" w:space="0" w:color="000000"/>
              <w:end w:val="nil"/>
            </w:tcBorders>
            <w:shd w:val="clear" w:color="auto" w:fill="FFFFFF"/>
            <w:tcMar>
              <w:top w:w="0pt" w:type="dxa"/>
              <w:end w:w="0pt" w:type="dxa"/>
            </w:tcMar>
            <w:vAlign w:val="bottom"/>
          </w:tcPr>
          <w:p w14:paraId="168D6FD0"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95,000</w:t>
            </w:r>
          </w:p>
        </w:tc>
        <w:tc>
          <w:tcPr>
            <w:tcW w:w="1.0%" w:type="pct"/>
            <w:tcBorders>
              <w:top w:val="nil"/>
              <w:start w:val="nil"/>
              <w:bottom w:val="nil"/>
              <w:end w:val="nil"/>
            </w:tcBorders>
            <w:shd w:val="clear" w:color="auto" w:fill="FFFFFF"/>
            <w:tcMar>
              <w:top w:w="0pt" w:type="dxa"/>
              <w:end w:w="0pt" w:type="dxa"/>
            </w:tcMar>
            <w:vAlign w:val="bottom"/>
          </w:tcPr>
          <w:p w14:paraId="4B07430C"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c>
          <w:tcPr>
            <w:tcW w:w="1.0%" w:type="pct"/>
            <w:tcBorders>
              <w:top w:val="double" w:sz="6" w:space="0" w:color="000000"/>
              <w:start w:val="nil"/>
              <w:bottom w:val="single" w:sz="4" w:space="0" w:color="000000"/>
              <w:end w:val="nil"/>
            </w:tcBorders>
            <w:shd w:val="clear" w:color="auto" w:fill="FFFFFF"/>
            <w:tcMar>
              <w:top w:w="0pt" w:type="dxa"/>
              <w:end w:w="0pt" w:type="dxa"/>
            </w:tcMar>
            <w:vAlign w:val="bottom"/>
          </w:tcPr>
          <w:p w14:paraId="70A3FDF2" w14:textId="77777777" w:rsidR="0086099C" w:rsidRDefault="00000000">
            <w:pPr>
              <w:keepNext/>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w:t>
            </w:r>
          </w:p>
        </w:tc>
        <w:tc>
          <w:tcPr>
            <w:tcW w:w="9.0%" w:type="pct"/>
            <w:tcBorders>
              <w:top w:val="double" w:sz="6" w:space="0" w:color="000000"/>
              <w:start w:val="nil"/>
              <w:bottom w:val="single" w:sz="4" w:space="0" w:color="000000"/>
              <w:end w:val="nil"/>
            </w:tcBorders>
            <w:shd w:val="clear" w:color="auto" w:fill="FFFFFF"/>
            <w:tcMar>
              <w:top w:w="0pt" w:type="dxa"/>
              <w:end w:w="0pt" w:type="dxa"/>
            </w:tcMar>
            <w:vAlign w:val="bottom"/>
          </w:tcPr>
          <w:p w14:paraId="5E521DE8" w14:textId="77777777" w:rsidR="0086099C" w:rsidRDefault="00000000">
            <w:pPr>
              <w:keepNext/>
              <w:pBdr>
                <w:top w:val="nil"/>
                <w:left w:val="nil"/>
                <w:bottom w:val="nil"/>
                <w:right w:val="nil"/>
                <w:between w:val="nil"/>
                <w:bar w:val="nil"/>
              </w:pBdr>
              <w:jc w:val="end"/>
              <w:rPr>
                <w:rFonts w:ascii="Open Sans" w:eastAsia="Open Sans" w:hAnsi="Open Sans" w:cs="Open Sans"/>
                <w:color w:val="000000"/>
                <w:sz w:val="18"/>
              </w:rPr>
            </w:pPr>
            <w:r>
              <w:rPr>
                <w:rFonts w:ascii="Open Sans" w:eastAsia="Open Sans" w:hAnsi="Open Sans" w:cs="Open Sans"/>
                <w:color w:val="000000"/>
                <w:sz w:val="18"/>
              </w:rPr>
              <w:t>190,000</w:t>
            </w:r>
          </w:p>
        </w:tc>
        <w:tc>
          <w:tcPr>
            <w:tcW w:w="1.0%" w:type="pct"/>
            <w:tcBorders>
              <w:top w:val="nil"/>
              <w:start w:val="nil"/>
              <w:bottom w:val="nil"/>
              <w:end w:val="nil"/>
            </w:tcBorders>
            <w:shd w:val="clear" w:color="auto" w:fill="FFFFFF"/>
            <w:tcMar>
              <w:top w:w="0pt" w:type="dxa"/>
              <w:end w:w="0pt" w:type="dxa"/>
            </w:tcMar>
            <w:vAlign w:val="bottom"/>
          </w:tcPr>
          <w:p w14:paraId="0F5223D4" w14:textId="77777777" w:rsidR="0086099C" w:rsidRDefault="0086099C">
            <w:pPr>
              <w:keepNext/>
              <w:pBdr>
                <w:top w:val="nil"/>
                <w:left w:val="nil"/>
                <w:bottom w:val="nil"/>
                <w:right w:val="nil"/>
                <w:between w:val="nil"/>
                <w:bar w:val="nil"/>
              </w:pBdr>
              <w:rPr>
                <w:rFonts w:ascii="Open Sans" w:eastAsia="Open Sans" w:hAnsi="Open Sans" w:cs="Open Sans"/>
                <w:color w:val="000000"/>
                <w:sz w:val="18"/>
              </w:rPr>
            </w:pPr>
          </w:p>
        </w:tc>
      </w:tr>
      <w:tr w:rsidR="0086099C" w14:paraId="6143BE76"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5B3DF40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Net loss attributable to common shareholders</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72C76E48"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67DEB3C5"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(2,969,595</w:t>
            </w:r>
          </w:p>
        </w:tc>
        <w:tc>
          <w:tcPr>
            <w:tcW w:w="1.0%" w:type="pct"/>
            <w:tcBorders>
              <w:top w:val="nil"/>
              <w:start w:val="nil"/>
              <w:bottom w:val="nil"/>
              <w:end w:val="nil"/>
            </w:tcBorders>
            <w:shd w:val="clear" w:color="auto" w:fill="CFF0FC"/>
            <w:tcMar>
              <w:top w:w="0pt" w:type="dxa"/>
              <w:end w:w="0pt" w:type="dxa"/>
            </w:tcMar>
            <w:vAlign w:val="bottom"/>
          </w:tcPr>
          <w:p w14:paraId="65A370E5"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4A2EE359"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7.0%" w:type="pct"/>
            <w:tcBorders>
              <w:top w:val="single" w:sz="4" w:space="0" w:color="000000"/>
              <w:start w:val="nil"/>
              <w:bottom w:val="double" w:sz="6" w:space="0" w:color="000000"/>
              <w:end w:val="nil"/>
            </w:tcBorders>
            <w:shd w:val="clear" w:color="auto" w:fill="CFF0FC"/>
            <w:tcMar>
              <w:top w:w="0pt" w:type="dxa"/>
              <w:end w:w="0pt" w:type="dxa"/>
            </w:tcMar>
            <w:vAlign w:val="bottom"/>
          </w:tcPr>
          <w:p w14:paraId="03D4A53A"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(1,828,902</w:t>
            </w:r>
          </w:p>
        </w:tc>
        <w:tc>
          <w:tcPr>
            <w:tcW w:w="1.0%" w:type="pct"/>
            <w:tcBorders>
              <w:top w:val="nil"/>
              <w:start w:val="nil"/>
              <w:bottom w:val="nil"/>
              <w:end w:val="nil"/>
            </w:tcBorders>
            <w:shd w:val="clear" w:color="auto" w:fill="CFF0FC"/>
            <w:tcMar>
              <w:top w:w="0pt" w:type="dxa"/>
              <w:end w:w="0pt" w:type="dxa"/>
            </w:tcMar>
            <w:vAlign w:val="bottom"/>
          </w:tcPr>
          <w:p w14:paraId="0FD35806"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39E4894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F72BA31"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nil"/>
              <w:start w:val="nil"/>
              <w:bottom w:val="nil"/>
              <w:end w:val="nil"/>
            </w:tcBorders>
            <w:shd w:val="clear" w:color="auto" w:fill="CFF0FC"/>
            <w:tcMar>
              <w:top w:w="0pt" w:type="dxa"/>
              <w:end w:w="0pt" w:type="dxa"/>
            </w:tcMar>
            <w:vAlign w:val="bottom"/>
          </w:tcPr>
          <w:p w14:paraId="3F5D9E07"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05843D2D"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3D2B9787"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(8,151,537</w:t>
            </w:r>
          </w:p>
        </w:tc>
        <w:tc>
          <w:tcPr>
            <w:tcW w:w="1.0%" w:type="pct"/>
            <w:tcBorders>
              <w:top w:val="nil"/>
              <w:start w:val="nil"/>
              <w:bottom w:val="nil"/>
              <w:end w:val="nil"/>
            </w:tcBorders>
            <w:shd w:val="clear" w:color="auto" w:fill="CFF0FC"/>
            <w:tcMar>
              <w:top w:w="0pt" w:type="dxa"/>
              <w:end w:w="0pt" w:type="dxa"/>
            </w:tcMar>
            <w:vAlign w:val="bottom"/>
          </w:tcPr>
          <w:p w14:paraId="4C60E804"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1.0%" w:type="pct"/>
            <w:tcBorders>
              <w:top w:val="single" w:sz="4" w:space="0" w:color="000000"/>
              <w:start w:val="nil"/>
              <w:bottom w:val="double" w:sz="6" w:space="0" w:color="000000"/>
              <w:end w:val="nil"/>
            </w:tcBorders>
            <w:shd w:val="clear" w:color="auto" w:fill="CFF0FC"/>
            <w:tcMar>
              <w:top w:w="0pt" w:type="dxa"/>
              <w:end w:w="0pt" w:type="dxa"/>
            </w:tcMar>
            <w:vAlign w:val="bottom"/>
          </w:tcPr>
          <w:p w14:paraId="3CB1B05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c>
          <w:tcPr>
            <w:tcW w:w="9.0%" w:type="pct"/>
            <w:tcBorders>
              <w:top w:val="single" w:sz="4" w:space="0" w:color="000000"/>
              <w:start w:val="nil"/>
              <w:bottom w:val="double" w:sz="6" w:space="0" w:color="000000"/>
              <w:end w:val="nil"/>
            </w:tcBorders>
            <w:shd w:val="clear" w:color="auto" w:fill="CFF0FC"/>
            <w:tcMar>
              <w:top w:w="0pt" w:type="dxa"/>
              <w:end w:w="0pt" w:type="dxa"/>
            </w:tcMar>
            <w:vAlign w:val="bottom"/>
          </w:tcPr>
          <w:p w14:paraId="07C750CE"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(4,027,931</w:t>
            </w:r>
          </w:p>
        </w:tc>
        <w:tc>
          <w:tcPr>
            <w:tcW w:w="1.0%" w:type="pct"/>
            <w:tcBorders>
              <w:top w:val="nil"/>
              <w:start w:val="nil"/>
              <w:bottom w:val="nil"/>
              <w:end w:val="nil"/>
            </w:tcBorders>
            <w:shd w:val="clear" w:color="auto" w:fill="CFF0FC"/>
            <w:tcMar>
              <w:top w:w="0pt" w:type="dxa"/>
              <w:end w:w="0pt" w:type="dxa"/>
            </w:tcMar>
            <w:vAlign w:val="bottom"/>
          </w:tcPr>
          <w:p w14:paraId="047395BA"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w:t>
            </w:r>
          </w:p>
        </w:tc>
      </w:tr>
      <w:tr w:rsidR="0086099C" w14:paraId="0537B165"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7EEE900D"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2119451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17CAC0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06E010CA"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5CF0C81C"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1C39B2E4"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C908AB3"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0025E5E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48F0649E"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0pt" w:type="dxa"/>
            <w:gridSpan w:val="2"/>
            <w:tcBorders>
              <w:top w:val="double" w:sz="6" w:space="0" w:color="000000"/>
              <w:start w:val="nil"/>
              <w:bottom w:val="nil"/>
              <w:end w:val="nil"/>
            </w:tcBorders>
            <w:shd w:val="clear" w:color="auto" w:fill="FFFFFF"/>
            <w:tcMar>
              <w:top w:w="0pt" w:type="dxa"/>
              <w:end w:w="0pt" w:type="dxa"/>
            </w:tcMar>
            <w:vAlign w:val="bottom"/>
          </w:tcPr>
          <w:p w14:paraId="4950DB9D"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3E05F292"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r>
      <w:tr w:rsidR="0086099C" w14:paraId="070CA2A6" w14:textId="77777777">
        <w:trPr>
          <w:jc w:val="center"/>
        </w:trPr>
        <w:tc>
          <w:tcPr>
            <w:tcW w:w="52.0%" w:type="pct"/>
            <w:tcBorders>
              <w:top w:val="nil"/>
              <w:start w:val="nil"/>
              <w:bottom w:val="nil"/>
              <w:end w:val="nil"/>
            </w:tcBorders>
            <w:shd w:val="clear" w:color="auto" w:fill="CFF0FC"/>
            <w:tcMar>
              <w:top w:w="0pt" w:type="dxa"/>
              <w:end w:w="0pt" w:type="dxa"/>
            </w:tcMar>
            <w:vAlign w:val="bottom"/>
          </w:tcPr>
          <w:p w14:paraId="449D27D0" w14:textId="77777777" w:rsidR="0086099C" w:rsidRDefault="00000000">
            <w:pPr>
              <w:keepNext/>
              <w:pBdr>
                <w:top w:val="nil"/>
                <w:left w:val="nil"/>
                <w:bottom w:val="nil"/>
                <w:right w:val="nil"/>
                <w:between w:val="nil"/>
                <w:bar w:val="nil"/>
              </w:pBdr>
              <w:rPr>
                <w:rFonts w:ascii="Open Sans" w:eastAsia="Open Sans" w:hAnsi="Open Sans" w:cs="Open Sans"/>
                <w:b/>
                <w:color w:val="000000"/>
                <w:sz w:val="18"/>
              </w:rPr>
            </w:pPr>
            <w:r>
              <w:rPr>
                <w:rFonts w:ascii="Open Sans" w:eastAsia="Open Sans" w:hAnsi="Open Sans" w:cs="Open Sans"/>
                <w:b/>
                <w:color w:val="000000"/>
                <w:sz w:val="18"/>
              </w:rPr>
              <w:t>Total Weighted Average Shares of Common Stock Outstanding – Basic &amp; Diluted</w:t>
            </w:r>
          </w:p>
        </w:tc>
        <w:tc>
          <w:tcPr>
            <w:tcW w:w="1.0%" w:type="pct"/>
            <w:tcBorders>
              <w:top w:val="nil"/>
              <w:start w:val="nil"/>
              <w:bottom w:val="nil"/>
              <w:end w:val="nil"/>
            </w:tcBorders>
            <w:shd w:val="clear" w:color="auto" w:fill="CFF0FC"/>
            <w:tcMar>
              <w:top w:w="0pt" w:type="dxa"/>
              <w:end w:w="0pt" w:type="dxa"/>
            </w:tcMar>
            <w:vAlign w:val="bottom"/>
          </w:tcPr>
          <w:p w14:paraId="5C0D3246"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014E8DDC"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5,433,833</w:t>
            </w:r>
          </w:p>
        </w:tc>
        <w:tc>
          <w:tcPr>
            <w:tcW w:w="1.0%" w:type="pct"/>
            <w:tcBorders>
              <w:top w:val="nil"/>
              <w:start w:val="nil"/>
              <w:bottom w:val="nil"/>
              <w:end w:val="nil"/>
            </w:tcBorders>
            <w:shd w:val="clear" w:color="auto" w:fill="CFF0FC"/>
            <w:tcMar>
              <w:top w:w="0pt" w:type="dxa"/>
              <w:end w:w="0pt" w:type="dxa"/>
            </w:tcMar>
            <w:vAlign w:val="bottom"/>
          </w:tcPr>
          <w:p w14:paraId="3DA4F003"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7B987AAE"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7.0%" w:type="pct"/>
            <w:tcBorders>
              <w:top w:val="nil"/>
              <w:start w:val="nil"/>
              <w:bottom w:val="nil"/>
              <w:end w:val="nil"/>
            </w:tcBorders>
            <w:shd w:val="clear" w:color="auto" w:fill="CFF0FC"/>
            <w:tcMar>
              <w:top w:w="0pt" w:type="dxa"/>
              <w:end w:w="0pt" w:type="dxa"/>
            </w:tcMar>
            <w:vAlign w:val="bottom"/>
          </w:tcPr>
          <w:p w14:paraId="23A7577B"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2,615,471</w:t>
            </w:r>
          </w:p>
        </w:tc>
        <w:tc>
          <w:tcPr>
            <w:tcW w:w="1.0%" w:type="pct"/>
            <w:tcBorders>
              <w:top w:val="nil"/>
              <w:start w:val="nil"/>
              <w:bottom w:val="nil"/>
              <w:end w:val="nil"/>
            </w:tcBorders>
            <w:shd w:val="clear" w:color="auto" w:fill="CFF0FC"/>
            <w:tcMar>
              <w:top w:w="0pt" w:type="dxa"/>
              <w:end w:w="0pt" w:type="dxa"/>
            </w:tcMar>
            <w:vAlign w:val="bottom"/>
          </w:tcPr>
          <w:p w14:paraId="65D3BD4F"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CFF0FC"/>
            <w:tcMar>
              <w:top w:w="0pt" w:type="dxa"/>
              <w:end w:w="0pt" w:type="dxa"/>
            </w:tcMar>
            <w:vAlign w:val="bottom"/>
          </w:tcPr>
          <w:p w14:paraId="07125F50"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66DF2AD8" w14:textId="77777777" w:rsidR="0086099C" w:rsidRDefault="0086099C">
            <w:pPr>
              <w:keepNext/>
              <w:pBdr>
                <w:top w:val="nil"/>
                <w:left w:val="nil"/>
                <w:bottom w:val="nil"/>
                <w:right w:val="nil"/>
                <w:between w:val="nil"/>
                <w:bar w:val="nil"/>
              </w:pBdr>
              <w:jc w:val="end"/>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1A7B95CF"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122EEAE9"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4,923,004</w:t>
            </w:r>
          </w:p>
        </w:tc>
        <w:tc>
          <w:tcPr>
            <w:tcW w:w="1.0%" w:type="pct"/>
            <w:tcBorders>
              <w:top w:val="nil"/>
              <w:start w:val="nil"/>
              <w:bottom w:val="nil"/>
              <w:end w:val="nil"/>
            </w:tcBorders>
            <w:shd w:val="clear" w:color="auto" w:fill="CFF0FC"/>
            <w:tcMar>
              <w:top w:w="0pt" w:type="dxa"/>
              <w:end w:w="0pt" w:type="dxa"/>
            </w:tcMar>
            <w:vAlign w:val="bottom"/>
          </w:tcPr>
          <w:p w14:paraId="2CF6B5C7"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1.0%" w:type="pct"/>
            <w:tcBorders>
              <w:top w:val="nil"/>
              <w:start w:val="nil"/>
              <w:bottom w:val="nil"/>
              <w:end w:val="nil"/>
            </w:tcBorders>
            <w:shd w:val="clear" w:color="auto" w:fill="CFF0FC"/>
            <w:tcMar>
              <w:top w:w="0pt" w:type="dxa"/>
              <w:end w:w="0pt" w:type="dxa"/>
            </w:tcMar>
            <w:vAlign w:val="bottom"/>
          </w:tcPr>
          <w:p w14:paraId="0FA85190"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c>
          <w:tcPr>
            <w:tcW w:w="9.0%" w:type="pct"/>
            <w:tcBorders>
              <w:top w:val="nil"/>
              <w:start w:val="nil"/>
              <w:bottom w:val="nil"/>
              <w:end w:val="nil"/>
            </w:tcBorders>
            <w:shd w:val="clear" w:color="auto" w:fill="CFF0FC"/>
            <w:tcMar>
              <w:top w:w="0pt" w:type="dxa"/>
              <w:end w:w="0pt" w:type="dxa"/>
            </w:tcMar>
            <w:vAlign w:val="bottom"/>
          </w:tcPr>
          <w:p w14:paraId="474DB29D" w14:textId="77777777" w:rsidR="0086099C" w:rsidRDefault="00000000">
            <w:pPr>
              <w:keepNext/>
              <w:pBdr>
                <w:top w:val="nil"/>
                <w:left w:val="nil"/>
                <w:bottom w:val="nil"/>
                <w:right w:val="nil"/>
                <w:between w:val="nil"/>
                <w:bar w:val="nil"/>
              </w:pBdr>
              <w:jc w:val="end"/>
              <w:rPr>
                <w:rFonts w:ascii="Open Sans" w:eastAsia="Open Sans" w:hAnsi="Open Sans" w:cs="Open Sans"/>
                <w:b/>
                <w:color w:val="000000"/>
                <w:sz w:val="18"/>
              </w:rPr>
            </w:pPr>
            <w:r>
              <w:rPr>
                <w:rFonts w:ascii="Open Sans" w:eastAsia="Open Sans" w:hAnsi="Open Sans" w:cs="Open Sans"/>
                <w:b/>
                <w:color w:val="000000"/>
                <w:sz w:val="18"/>
              </w:rPr>
              <w:t>2,578,678</w:t>
            </w:r>
          </w:p>
        </w:tc>
        <w:tc>
          <w:tcPr>
            <w:tcW w:w="1.0%" w:type="pct"/>
            <w:tcBorders>
              <w:top w:val="nil"/>
              <w:start w:val="nil"/>
              <w:bottom w:val="nil"/>
              <w:end w:val="nil"/>
            </w:tcBorders>
            <w:shd w:val="clear" w:color="auto" w:fill="CFF0FC"/>
            <w:tcMar>
              <w:top w:w="0pt" w:type="dxa"/>
              <w:end w:w="0pt" w:type="dxa"/>
            </w:tcMar>
            <w:vAlign w:val="bottom"/>
          </w:tcPr>
          <w:p w14:paraId="0ACA1ECF" w14:textId="77777777" w:rsidR="0086099C" w:rsidRDefault="0086099C">
            <w:pPr>
              <w:keepNext/>
              <w:pBdr>
                <w:top w:val="nil"/>
                <w:left w:val="nil"/>
                <w:bottom w:val="nil"/>
                <w:right w:val="nil"/>
                <w:between w:val="nil"/>
                <w:bar w:val="nil"/>
              </w:pBdr>
              <w:rPr>
                <w:rFonts w:ascii="Open Sans" w:eastAsia="Open Sans" w:hAnsi="Open Sans" w:cs="Open Sans"/>
                <w:b/>
                <w:color w:val="000000"/>
                <w:sz w:val="18"/>
              </w:rPr>
            </w:pPr>
          </w:p>
        </w:tc>
      </w:tr>
      <w:tr w:rsidR="0086099C" w14:paraId="54486084" w14:textId="77777777">
        <w:trPr>
          <w:jc w:val="center"/>
        </w:trPr>
        <w:tc>
          <w:tcPr>
            <w:tcW w:w="52.0%" w:type="pct"/>
            <w:tcBorders>
              <w:top w:val="nil"/>
              <w:start w:val="nil"/>
              <w:bottom w:val="nil"/>
              <w:end w:val="nil"/>
            </w:tcBorders>
            <w:shd w:val="clear" w:color="auto" w:fill="FFFFFF"/>
            <w:tcMar>
              <w:top w:w="0pt" w:type="dxa"/>
              <w:end w:w="0pt" w:type="dxa"/>
            </w:tcMar>
            <w:vAlign w:val="bottom"/>
          </w:tcPr>
          <w:p w14:paraId="0AC87DAB"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4889C7E9"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8C717B9"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38E60B7E"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C53C134"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6427DF53"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8AF6185"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2B3D1A83"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622EDC58"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0pt" w:type="dxa"/>
            <w:gridSpan w:val="2"/>
            <w:tcBorders>
              <w:top w:val="nil"/>
              <w:start w:val="nil"/>
              <w:bottom w:val="nil"/>
              <w:end w:val="nil"/>
            </w:tcBorders>
            <w:shd w:val="clear" w:color="auto" w:fill="FFFFFF"/>
            <w:tcMar>
              <w:top w:w="0pt" w:type="dxa"/>
              <w:end w:w="0pt" w:type="dxa"/>
            </w:tcMar>
            <w:vAlign w:val="bottom"/>
          </w:tcPr>
          <w:p w14:paraId="3AC8041F"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c>
          <w:tcPr>
            <w:tcW w:w="1.0%" w:type="pct"/>
            <w:tcBorders>
              <w:top w:val="nil"/>
              <w:start w:val="nil"/>
              <w:bottom w:val="nil"/>
              <w:end w:val="nil"/>
            </w:tcBorders>
            <w:shd w:val="clear" w:color="auto" w:fill="FFFFFF"/>
            <w:tcMar>
              <w:top w:w="0pt" w:type="dxa"/>
              <w:end w:w="0pt" w:type="dxa"/>
            </w:tcMar>
            <w:vAlign w:val="bottom"/>
          </w:tcPr>
          <w:p w14:paraId="2652DF2C" w14:textId="77777777" w:rsidR="0086099C" w:rsidRDefault="0086099C">
            <w:pPr>
              <w:pBdr>
                <w:top w:val="nil"/>
                <w:left w:val="nil"/>
                <w:bottom w:val="nil"/>
                <w:right w:val="nil"/>
                <w:between w:val="nil"/>
                <w:bar w:val="nil"/>
              </w:pBdr>
              <w:jc w:val="end"/>
              <w:rPr>
                <w:rFonts w:ascii="Open Sans" w:eastAsia="Open Sans" w:hAnsi="Open Sans" w:cs="Open Sans"/>
                <w:color w:val="000000"/>
                <w:sz w:val="18"/>
              </w:rPr>
            </w:pPr>
          </w:p>
        </w:tc>
      </w:tr>
    </w:tbl>
    <w:p w14:paraId="77AB975E" w14:textId="77777777" w:rsidR="0086099C" w:rsidRDefault="0086099C">
      <w:pPr>
        <w:pBdr>
          <w:top w:val="nil"/>
          <w:left w:val="nil"/>
          <w:bottom w:val="nil"/>
          <w:right w:val="nil"/>
          <w:between w:val="nil"/>
          <w:bar w:val="nil"/>
        </w:pBdr>
        <w:rPr>
          <w:rFonts w:ascii="Open Sans" w:eastAsia="Open Sans" w:hAnsi="Open Sans" w:cs="Open Sans"/>
          <w:b/>
          <w:color w:val="000000"/>
          <w:sz w:val="18"/>
        </w:rPr>
      </w:pPr>
    </w:p>
    <w:p w14:paraId="0CDAF52D" w14:textId="77777777" w:rsidR="0086099C" w:rsidRDefault="00000000">
      <w:pPr>
        <w:pBdr>
          <w:top w:val="nil"/>
          <w:left w:val="nil"/>
          <w:bottom w:val="nil"/>
          <w:right w:val="nil"/>
          <w:between w:val="nil"/>
          <w:bar w:val="nil"/>
        </w:pBdr>
        <w:rPr>
          <w:rFonts w:ascii="Open Sans" w:eastAsia="Open Sans" w:hAnsi="Open Sans" w:cs="Open Sans"/>
          <w:color w:val="000000"/>
          <w:sz w:val="2"/>
        </w:rPr>
      </w:pPr>
      <w:r>
        <w:rPr>
          <w:rFonts w:ascii="Open Sans" w:eastAsia="Open Sans" w:hAnsi="Open Sans" w:cs="Open Sans"/>
          <w:color w:val="000000"/>
          <w:sz w:val="18"/>
        </w:rPr>
        <w:cr/>
      </w:r>
      <w:r>
        <w:rPr>
          <w:sz w:val="2"/>
        </w:rPr>
        <w:br w:type="page"/>
      </w:r>
    </w:p>
    <w:p w14:paraId="46FC74C5"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lastRenderedPageBreak/>
        <w:t xml:space="preserve">Our reported results are presented in accordance with GAAP. We also disclose funds from operations ("FFO"), adjusted funds from operations ("AFFO"), core funds from operations ("Core FFO") and core adjusted funds of operations ("Core AFFO") all of which are non-GAAP financial measures. We believe these non-GAAP financial measures are useful to investors because they are widely accepted industry measures used by analysts and investors to compare the operating performance of REITs. </w:t>
      </w:r>
    </w:p>
    <w:p w14:paraId="5E1896F6" w14:textId="77777777" w:rsidR="0086099C" w:rsidRDefault="0086099C">
      <w:pPr>
        <w:pBdr>
          <w:top w:val="nil"/>
          <w:left w:val="nil"/>
          <w:bottom w:val="nil"/>
          <w:right w:val="nil"/>
          <w:between w:val="nil"/>
          <w:bar w:val="nil"/>
        </w:pBdr>
        <w:rPr>
          <w:rFonts w:ascii="Open Sans" w:eastAsia="Open Sans" w:hAnsi="Open Sans" w:cs="Open Sans"/>
          <w:color w:val="000000"/>
          <w:sz w:val="18"/>
        </w:rPr>
      </w:pPr>
    </w:p>
    <w:p w14:paraId="70643CB2"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 xml:space="preserve">FFO and related measures do not represent cash generated from operating activities and are not necessarily indicative of cash available to fund cash requirements; accordingly, they should not be considered alternatives to net income or loss as a performance measure or cash flows from operations as reported on our statement of cash flows as a liquidity measure and should be considered in addition to, and not in lieu of, GAAP financial measures. </w:t>
      </w:r>
    </w:p>
    <w:p w14:paraId="507976FE" w14:textId="77777777" w:rsidR="0086099C" w:rsidRDefault="0086099C">
      <w:pPr>
        <w:pBdr>
          <w:top w:val="nil"/>
          <w:left w:val="nil"/>
          <w:bottom w:val="nil"/>
          <w:right w:val="nil"/>
          <w:between w:val="nil"/>
          <w:bar w:val="nil"/>
        </w:pBdr>
        <w:rPr>
          <w:rFonts w:ascii="Open Sans" w:eastAsia="Open Sans" w:hAnsi="Open Sans" w:cs="Open Sans"/>
          <w:color w:val="000000"/>
          <w:sz w:val="18"/>
        </w:rPr>
      </w:pPr>
    </w:p>
    <w:p w14:paraId="5ED6D18D"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 xml:space="preserve">We compute FFO in accordance with the definition adopted by the Board of Governors of the National Association of Real Estate Investment Trusts ("NAREIT"). NAREIT defines FFO as GAAP net income or loss adjusted to exclude extraordinary items (as defined by GAAP), net gains from sales of depreciable real estate assets, impairment write-downs associated with depreciable real estate assets, and real estate related depreciation and amortization, including the pro rata share of such adjustments of unconsolidated subsidiaries. We then adjust FFO for non-cash revenues and expenses such as amortization of deferred financing costs, above and below market lease intangible amortization, straight line rent adjustment where the Company is both the lessor and lessee, and non-cash stock compensation to calculate Core AFFO. </w:t>
      </w:r>
    </w:p>
    <w:p w14:paraId="723201E9" w14:textId="77777777" w:rsidR="0086099C" w:rsidRDefault="0086099C">
      <w:pPr>
        <w:pBdr>
          <w:top w:val="nil"/>
          <w:left w:val="nil"/>
          <w:bottom w:val="nil"/>
          <w:right w:val="nil"/>
          <w:between w:val="nil"/>
          <w:bar w:val="nil"/>
        </w:pBdr>
        <w:rPr>
          <w:rFonts w:ascii="Open Sans" w:eastAsia="Open Sans" w:hAnsi="Open Sans" w:cs="Open Sans"/>
          <w:color w:val="000000"/>
          <w:sz w:val="18"/>
        </w:rPr>
      </w:pPr>
    </w:p>
    <w:p w14:paraId="038032DF"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 xml:space="preserve">FFO is used by management, investors, and analysts to facilitate meaningful comparisons of operating performance between periods and among our peers primarily because it excludes the effect of real estate depreciation and amortization and net gains on sales, which are based on historical costs and implicitly assume that the value of real estate diminishes predictably over time, rather than fluctuating based on existing market conditions. We believe that AFFO is an additional useful supplemental measure for investors to consider because it will help them to better assess our operating performance without the distortions created by other non-cash revenues or expenses. FFO and AFFO may not be comparable to similarly titled measures employed by other companies. We believe that Core FFO and Core AFFO are useful measures for management and investors because they further remove the effect of non-cash expenses and certain other expenses that are not directly related to real estate operations. We use each as measures of our performance when we formulate corporate goals. </w:t>
      </w:r>
    </w:p>
    <w:p w14:paraId="682C45CA" w14:textId="77777777" w:rsidR="0086099C" w:rsidRDefault="00000000">
      <w:pPr>
        <w:pBdr>
          <w:top w:val="nil"/>
          <w:left w:val="nil"/>
          <w:bottom w:val="nil"/>
          <w:right w:val="nil"/>
          <w:between w:val="nil"/>
          <w:bar w:val="nil"/>
        </w:pBdr>
        <w:spacing w:before="12pt"/>
        <w:rPr>
          <w:rFonts w:ascii="Open Sans" w:eastAsia="Open Sans" w:hAnsi="Open Sans" w:cs="Open Sans"/>
          <w:color w:val="000000"/>
          <w:sz w:val="18"/>
        </w:rPr>
      </w:pPr>
      <w:r>
        <w:rPr>
          <w:rFonts w:ascii="Open Sans" w:eastAsia="Open Sans" w:hAnsi="Open Sans" w:cs="Open Sans"/>
          <w:color w:val="000000"/>
          <w:sz w:val="18"/>
        </w:rPr>
        <w:t>As FFO excludes depreciation and amortization, gains and losses from property dispositions that are available for distribution to stockholders and extraordinary items, it provides a performance measure that, when compared year over year, reflects the impact to operations from trends in occupancy rates, rental rates, operating costs, general and administrative expenses and interest costs, providing a perspective not immediately apparent from net income or loss. However, FFO should not be viewed as an alternative measure of our operating performance since it does not reflect either depreciation and amortization costs or the level of capital expenditures and leasing costs necessary to maintain the operating performance of our properties which could be significant economic costs and could materially impact our results from operations. Additionally, FFO does not reflect distributions paid to redeemable non-controlling interests.</w:t>
      </w:r>
    </w:p>
    <w:p w14:paraId="057E39BE" w14:textId="77777777" w:rsidR="0086099C" w:rsidRDefault="0086099C">
      <w:pPr>
        <w:pBdr>
          <w:top w:val="nil"/>
          <w:left w:val="nil"/>
          <w:bottom w:val="nil"/>
          <w:right w:val="nil"/>
          <w:between w:val="nil"/>
          <w:bar w:val="nil"/>
        </w:pBdr>
        <w:rPr>
          <w:rFonts w:ascii="Open Sans" w:eastAsia="Open Sans" w:hAnsi="Open Sans" w:cs="Open Sans"/>
          <w:color w:val="000000"/>
          <w:sz w:val="18"/>
        </w:rPr>
      </w:pPr>
    </w:p>
    <w:p w14:paraId="5679DBF4" w14:textId="77777777" w:rsidR="0086099C" w:rsidRDefault="00000000">
      <w:pPr>
        <w:pBdr>
          <w:top w:val="nil"/>
          <w:left w:val="nil"/>
          <w:bottom w:val="nil"/>
          <w:right w:val="nil"/>
          <w:between w:val="nil"/>
          <w:bar w:val="nil"/>
        </w:pBdr>
        <w:rPr>
          <w:rFonts w:ascii="Open Sans" w:eastAsia="Open Sans" w:hAnsi="Open Sans" w:cs="Open Sans"/>
          <w:b/>
          <w:color w:val="000000"/>
          <w:sz w:val="18"/>
          <w:u w:val="single"/>
        </w:rPr>
      </w:pPr>
      <w:r>
        <w:rPr>
          <w:rFonts w:ascii="Open Sans" w:eastAsia="Open Sans" w:hAnsi="Open Sans" w:cs="Open Sans"/>
          <w:b/>
          <w:color w:val="000000"/>
          <w:sz w:val="18"/>
          <w:u w:val="single"/>
        </w:rPr>
        <w:t>Investor Contacts</w:t>
      </w:r>
    </w:p>
    <w:p w14:paraId="1BF806BF" w14:textId="77777777" w:rsidR="0086099C" w:rsidRDefault="00000000">
      <w:pPr>
        <w:pBdr>
          <w:top w:val="nil"/>
          <w:left w:val="nil"/>
          <w:bottom w:val="nil"/>
          <w:right w:val="nil"/>
          <w:between w:val="nil"/>
          <w:bar w:val="nil"/>
        </w:pBdr>
        <w:rPr>
          <w:rFonts w:ascii="Open Sans" w:eastAsia="Open Sans" w:hAnsi="Open Sans" w:cs="Open Sans"/>
          <w:color w:val="000000"/>
          <w:sz w:val="18"/>
        </w:rPr>
      </w:pPr>
      <w:r>
        <w:rPr>
          <w:rFonts w:ascii="Open Sans" w:eastAsia="Open Sans" w:hAnsi="Open Sans" w:cs="Open Sans"/>
          <w:color w:val="000000"/>
          <w:sz w:val="18"/>
        </w:rPr>
        <w:t>Investor Relations</w:t>
      </w:r>
    </w:p>
    <w:p w14:paraId="15277E78" w14:textId="77777777" w:rsidR="0086099C" w:rsidRDefault="00000000">
      <w:pPr>
        <w:pBdr>
          <w:top w:val="nil"/>
          <w:left w:val="nil"/>
          <w:bottom w:val="nil"/>
          <w:right w:val="nil"/>
          <w:between w:val="nil"/>
          <w:bar w:val="nil"/>
        </w:pBdr>
        <w:rPr>
          <w:rFonts w:ascii="Open Sans" w:eastAsia="Open Sans" w:hAnsi="Open Sans" w:cs="Open Sans"/>
          <w:color w:val="000000"/>
          <w:sz w:val="18"/>
        </w:rPr>
      </w:pPr>
      <w:hyperlink r:id="rId11" w:history="1">
        <w:r>
          <w:rPr>
            <w:rFonts w:ascii="Open Sans" w:eastAsia="Open Sans" w:hAnsi="Open Sans" w:cs="Open Sans"/>
            <w:color w:val="0000FF"/>
            <w:sz w:val="18"/>
            <w:u w:val="single"/>
          </w:rPr>
          <w:t>ir@gipreit.com</w:t>
        </w:r>
      </w:hyperlink>
    </w:p>
    <w:p w14:paraId="272B7419" w14:textId="77777777" w:rsidR="0086099C" w:rsidRDefault="0086099C">
      <w:pPr>
        <w:pBdr>
          <w:top w:val="nil"/>
          <w:left w:val="nil"/>
          <w:bottom w:val="nil"/>
          <w:right w:val="nil"/>
          <w:between w:val="nil"/>
          <w:bar w:val="nil"/>
        </w:pBdr>
        <w:rPr>
          <w:rFonts w:ascii="Calibri" w:eastAsia="Calibri" w:hAnsi="Calibri" w:cs="Calibri"/>
          <w:color w:val="000000"/>
          <w:sz w:val="22"/>
        </w:rPr>
      </w:pPr>
    </w:p>
    <w:sectPr w:rsidR="0086099C">
      <w:headerReference w:type="even" r:id="rId12"/>
      <w:headerReference w:type="default" r:id="rId13"/>
      <w:footerReference w:type="even" r:id="rId14"/>
      <w:footerReference w:type="default" r:id="rId15"/>
      <w:headerReference w:type="first" r:id="rId16"/>
      <w:footerReference w:type="first" r:id="rId17"/>
      <w:pgSz w:w="612pt" w:h="792pt"/>
      <w:pgMar w:top="21.60pt" w:right="21.60pt" w:bottom="21.60pt" w:left="21.60pt" w:header="0pt" w:footer="0pt" w:gutter="0pt"/>
      <w:pgBorders>
        <w:top w:val="nil"/>
        <w:left w:val="nil"/>
        <w:bottom w:val="nil"/>
        <w:right w:val="nil"/>
      </w:pgBorders>
      <w:pgNumType w:start="1"/>
      <w:cols w:space="36pt"/>
      <w:titlePg/>
      <w:docGrid w:linePitch="360"/>
      <w15:footnoteColumns w:val="1"/>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endnote w:type="separator" w:id="-1">
    <w:p w14:paraId="791C7585" w14:textId="77777777" w:rsidR="00F4045E" w:rsidRDefault="00F4045E">
      <w:r>
        <w:separator/>
      </w:r>
    </w:p>
  </w:endnote>
  <w:endnote w:type="continuationSeparator" w:id="0">
    <w:p w14:paraId="3D385DAB" w14:textId="77777777" w:rsidR="00F4045E" w:rsidRDefault="00F4045E">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family w:val="decorative"/>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Open Sans">
    <w:panose1 w:val="020B0606030504020204"/>
    <w:charset w:characterSet="iso-8859-1"/>
    <w:family w:val="swiss"/>
    <w:pitch w:val="variable"/>
    <w:sig w:usb0="E00002EF" w:usb1="4000205B" w:usb2="00000028" w:usb3="00000000" w:csb0="0000019F" w:csb1="00000000"/>
  </w:font>
  <w:font w:name="Calibri">
    <w:panose1 w:val="020F0502020204030204"/>
    <w:charset w:characterSet="iso-8859-1"/>
    <w:family w:val="swiss"/>
    <w:pitch w:val="variable"/>
    <w:sig w:usb0="E4002EFF" w:usb1="C200247B" w:usb2="00000009" w:usb3="00000000" w:csb0="000001FF" w:csb1="00000000"/>
  </w:font>
  <w:font w:name="Cambria">
    <w:panose1 w:val="02040503050406030204"/>
    <w:charset w:characterSet="iso-8859-1"/>
    <w:family w:val="roman"/>
    <w:pitch w:val="variable"/>
    <w:sig w:usb0="E00006FF" w:usb1="420024FF" w:usb2="02000000" w:usb3="00000000" w:csb0="0000019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014D47C3" w14:textId="77777777" w:rsidR="0086099C" w:rsidRDefault="0086099C">
    <w:pPr>
      <w:pBdr>
        <w:top w:val="nil"/>
        <w:left w:val="nil"/>
        <w:bottom w:val="nil"/>
        <w:right w:val="nil"/>
        <w:between w:val="nil"/>
        <w:bar w:val="nil"/>
      </w:pBdr>
      <w:rPr>
        <w:color w:val="000000"/>
      </w:rPr>
    </w:pPr>
  </w:p>
</w:ftr>
</file>

<file path=word/footer2.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3ED80B93" w14:textId="77777777" w:rsidR="0086099C" w:rsidRDefault="0086099C">
    <w:pPr>
      <w:pBdr>
        <w:top w:val="nil"/>
        <w:left w:val="nil"/>
        <w:bottom w:val="nil"/>
        <w:right w:val="nil"/>
        <w:between w:val="nil"/>
        <w:bar w:val="nil"/>
      </w:pBdr>
      <w:rPr>
        <w:rFonts w:ascii="Arial" w:eastAsia="Arial" w:hAnsi="Arial" w:cs="Arial"/>
        <w:color w:val="000000"/>
        <w:sz w:val="16"/>
      </w:rPr>
    </w:pPr>
  </w:p>
</w:ftr>
</file>

<file path=word/footer3.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94DE267" w14:textId="77777777" w:rsidR="0086099C" w:rsidRDefault="0086099C"/>
</w:ftr>
</file>

<file path=word/footer4.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E2906B8" w14:textId="77777777" w:rsidR="0086099C" w:rsidRDefault="00000000">
    <w:pPr>
      <w:pBdr>
        <w:top w:val="nil"/>
        <w:left w:val="nil"/>
        <w:bottom w:val="nil"/>
        <w:right w:val="nil"/>
        <w:between w:val="nil"/>
        <w:bar w:val="nil"/>
      </w:pBdr>
      <w:jc w:val="center"/>
      <w:rPr>
        <w:rFonts w:ascii="Calibri" w:eastAsia="Calibri" w:hAnsi="Calibri" w:cs="Calibri"/>
        <w:color w:val="000000"/>
        <w:sz w:val="22"/>
      </w:rPr>
    </w:pPr>
    <w:r>
      <w:rPr>
        <w:rFonts w:ascii="Calibri" w:eastAsia="Calibri" w:hAnsi="Calibri" w:cs="Calibri"/>
        <w:color w:val="000000"/>
        <w:sz w:val="22"/>
      </w:rPr>
      <w:fldChar w:fldCharType="begin"/>
    </w:r>
    <w:r>
      <w:rPr>
        <w:rFonts w:ascii="Calibri" w:eastAsia="Calibri" w:hAnsi="Calibri" w:cs="Calibri"/>
        <w:color w:val="000000"/>
        <w:sz w:val="16"/>
      </w:rPr>
      <w:instrText xml:space="preserve"> PAGE </w:instrText>
    </w:r>
    <w:r>
      <w:rPr>
        <w:rFonts w:ascii="Calibri" w:eastAsia="Calibri" w:hAnsi="Calibri" w:cs="Calibri"/>
        <w:color w:val="000000"/>
        <w:sz w:val="22"/>
      </w:rPr>
      <w:fldChar w:fldCharType="separate"/>
    </w:r>
    <w:r>
      <w:rPr>
        <w:rFonts w:ascii="Calibri" w:eastAsia="Calibri" w:hAnsi="Calibri" w:cs="Calibri"/>
        <w:color w:val="000000"/>
        <w:sz w:val="16"/>
      </w:rPr>
      <w:t>9</w:t>
    </w:r>
    <w:r>
      <w:rPr>
        <w:rFonts w:ascii="Calibri" w:eastAsia="Calibri" w:hAnsi="Calibri" w:cs="Calibri"/>
        <w:color w:val="000000"/>
        <w:sz w:val="22"/>
      </w:rPr>
      <w:fldChar w:fldCharType="end"/>
    </w:r>
  </w:p>
  <w:p w14:paraId="76F37CC9" w14:textId="77777777" w:rsidR="0086099C" w:rsidRDefault="0086099C">
    <w:pPr>
      <w:pBdr>
        <w:top w:val="nil"/>
        <w:left w:val="nil"/>
        <w:bottom w:val="nil"/>
        <w:right w:val="nil"/>
        <w:between w:val="nil"/>
        <w:bar w:val="nil"/>
      </w:pBdr>
      <w:rPr>
        <w:rFonts w:ascii="Arial" w:eastAsia="Arial" w:hAnsi="Arial" w:cs="Arial"/>
        <w:color w:val="000000"/>
        <w:sz w:val="16"/>
      </w:rPr>
    </w:pPr>
  </w:p>
</w:ftr>
</file>

<file path=word/footer5.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6F6B9E19" w14:textId="77777777" w:rsidR="0086099C" w:rsidRDefault="0086099C"/>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footnote w:type="separator" w:id="-1">
    <w:p w14:paraId="41C55C38" w14:textId="77777777" w:rsidR="00F4045E" w:rsidRDefault="00F4045E">
      <w:r>
        <w:separator/>
      </w:r>
    </w:p>
  </w:footnote>
  <w:footnote w:type="continuationSeparator" w:id="0">
    <w:p w14:paraId="16B5552E" w14:textId="77777777" w:rsidR="00F4045E" w:rsidRDefault="00F4045E">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7805B9A3" w14:textId="77777777" w:rsidR="0086099C" w:rsidRDefault="0086099C">
    <w:pPr>
      <w:pBdr>
        <w:top w:val="nil"/>
        <w:left w:val="nil"/>
        <w:bottom w:val="nil"/>
        <w:right w:val="nil"/>
        <w:between w:val="nil"/>
        <w:bar w:val="nil"/>
      </w:pBdr>
      <w:spacing w:line="14.40pt" w:lineRule="auto"/>
      <w:rPr>
        <w:color w:val="000000"/>
      </w:rPr>
    </w:pPr>
  </w:p>
</w:hdr>
</file>

<file path=word/header2.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E314B77" w14:textId="77777777" w:rsidR="0086099C" w:rsidRDefault="0086099C"/>
</w:hdr>
</file>

<file path=word/header3.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2161A44B" w14:textId="77777777" w:rsidR="0086099C" w:rsidRDefault="0086099C">
    <w:pPr>
      <w:pBdr>
        <w:top w:val="nil"/>
        <w:left w:val="nil"/>
        <w:bottom w:val="nil"/>
        <w:right w:val="nil"/>
        <w:between w:val="nil"/>
        <w:bar w:val="nil"/>
      </w:pBdr>
      <w:jc w:val="center"/>
      <w:rPr>
        <w:rFonts w:ascii="Calibri" w:eastAsia="Calibri" w:hAnsi="Calibri" w:cs="Calibri"/>
        <w:color w:val="000000"/>
        <w:sz w:val="22"/>
      </w:rPr>
    </w:pPr>
  </w:p>
</w:hdr>
</file>

<file path=word/header4.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p w14:paraId="081E28FB" w14:textId="77777777" w:rsidR="0086099C" w:rsidRDefault="00000000">
    <w:pPr>
      <w:pBdr>
        <w:top w:val="nil"/>
        <w:left w:val="nil"/>
        <w:bottom w:val="nil"/>
        <w:right w:val="nil"/>
        <w:between w:val="nil"/>
        <w:bar w:val="nil"/>
      </w:pBdr>
      <w:jc w:val="center"/>
      <w:rPr>
        <w:rFonts w:ascii="Calibri" w:eastAsia="Calibri" w:hAnsi="Calibri" w:cs="Calibri"/>
        <w:color w:val="000000"/>
        <w:sz w:val="22"/>
      </w:rPr>
    </w:pPr>
    <w:r>
      <w:rPr>
        <w:noProof/>
      </w:rPr>
      <w:drawing>
        <wp:inline distT="0" distB="0" distL="0" distR="0" wp14:anchorId="78C35496" wp14:editId="7890F819">
          <wp:extent cx="1280160" cy="720090"/>
          <wp:effectExtent l="0" t="0" r="0" b="0"/>
          <wp:docPr id="100001" name="Screen Shot 2023-03-27 at 07.50"/>
          <wp:cNvGraphicFramePr>
            <a:graphicFrameLocks xmlns:a="http://purl.oclc.org/ooxml/drawingml/main"/>
          </wp:cNvGraphicFramePr>
          <a:graphic xmlns:a="http://purl.oclc.org/ooxml/drawingml/main">
            <a:graphicData uri="http://purl.oclc.org/ooxml/drawingml/picture">
              <pic:pic xmlns:pic="http://purl.oclc.org/ooxml/drawingml/picture">
                <pic:nvPicPr>
                  <pic:cNvPr id="100001" name=""/>
                  <pic:cNvPicPr>
                    <a:picLocks/>
                  </pic:cNvPicPr>
                </pic:nvPicPr>
                <pic:blipFill>
                  <a:blip r:embed="rId1"/>
                  <a:stretch>
                    <a:fillRect/>
                  </a:stretch>
                </pic:blipFill>
                <pic:spPr>
                  <a:xfrm>
                    <a:off x="0" y="0"/>
                    <a:ext cx="1280160" cy="720090"/>
                  </a:xfrm>
                  <a:prstGeom prst="rect">
                    <a:avLst/>
                  </a:prstGeom>
                </pic:spPr>
              </pic:pic>
            </a:graphicData>
          </a:graphic>
        </wp:inline>
      </w:drawing>
    </w: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00000002"/>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1" w15:restartNumberingAfterBreak="0">
    <w:nsid w:val="00000004"/>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2" w15:restartNumberingAfterBreak="0">
    <w:nsid w:val="00000006"/>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3" w15:restartNumberingAfterBreak="0">
    <w:nsid w:val="00000008"/>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4" w15:restartNumberingAfterBreak="0">
    <w:nsid w:val="0000000A"/>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5" w15:restartNumberingAfterBreak="0">
    <w:nsid w:val="0000000C"/>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6" w15:restartNumberingAfterBreak="0">
    <w:nsid w:val="0000000E"/>
    <w:multiLevelType w:val="multilevel"/>
    <w:tmpl w:val="00000001"/>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o"/>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o"/>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o"/>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7" w15:restartNumberingAfterBreak="0">
    <w:nsid w:val="00000011"/>
    <w:multiLevelType w:val="multilevel"/>
    <w:tmpl w:val="00000010"/>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
      <w:lvlJc w:val="start"/>
      <w:pPr>
        <w:tabs>
          <w:tab w:val="num" w:pos="0pt"/>
        </w:tabs>
        <w:ind w:start="220.30pt" w:hanging="24.45pt"/>
      </w:pPr>
    </w:lvl>
    <w:lvl w:ilvl="8">
      <w:start w:val="1"/>
      <w:numFmt w:val="bullet"/>
      <w:lvlText w:val=""/>
      <w:lvlJc w:val="start"/>
      <w:pPr>
        <w:tabs>
          <w:tab w:val="num" w:pos="0pt"/>
        </w:tabs>
        <w:ind w:start="244.80pt" w:hanging="24.50pt"/>
      </w:pPr>
    </w:lvl>
  </w:abstractNum>
  <w:abstractNum w:abstractNumId="8" w15:restartNumberingAfterBreak="0">
    <w:nsid w:val="00000013"/>
    <w:multiLevelType w:val="multilevel"/>
    <w:tmpl w:val="00000010"/>
    <w:lvl w:ilvl="0">
      <w:start w:val="1"/>
      <w:numFmt w:val="bullet"/>
      <w:lvlText w:val=""/>
      <w:lvlJc w:val="start"/>
      <w:pPr>
        <w:tabs>
          <w:tab w:val="num" w:pos="0pt"/>
        </w:tabs>
        <w:ind w:start="48.95pt" w:hanging="24.45pt"/>
      </w:pPr>
      <w:rPr>
        <w:rFonts w:ascii="Symbol" w:eastAsia="Symbol" w:hAnsi="Symbol" w:cs="Symbol"/>
      </w:rPr>
    </w:lvl>
    <w:lvl w:ilvl="1">
      <w:start w:val="1"/>
      <w:numFmt w:val="bullet"/>
      <w:lvlText w:val=""/>
      <w:lvlJc w:val="start"/>
      <w:pPr>
        <w:tabs>
          <w:tab w:val="num" w:pos="0pt"/>
        </w:tabs>
        <w:ind w:start="73.45pt" w:hanging="24.50pt"/>
      </w:pPr>
    </w:lvl>
    <w:lvl w:ilvl="2">
      <w:start w:val="1"/>
      <w:numFmt w:val="bullet"/>
      <w:lvlText w:val=""/>
      <w:lvlJc w:val="start"/>
      <w:pPr>
        <w:tabs>
          <w:tab w:val="num" w:pos="0pt"/>
        </w:tabs>
        <w:ind w:start="97.90pt" w:hanging="24.45pt"/>
      </w:pPr>
    </w:lvl>
    <w:lvl w:ilvl="3">
      <w:start w:val="1"/>
      <w:numFmt w:val="bullet"/>
      <w:lvlText w:val=""/>
      <w:lvlJc w:val="start"/>
      <w:pPr>
        <w:tabs>
          <w:tab w:val="num" w:pos="0pt"/>
        </w:tabs>
        <w:ind w:start="122.40pt" w:hanging="24.50pt"/>
      </w:pPr>
    </w:lvl>
    <w:lvl w:ilvl="4">
      <w:start w:val="1"/>
      <w:numFmt w:val="bullet"/>
      <w:lvlText w:val=""/>
      <w:lvlJc w:val="start"/>
      <w:pPr>
        <w:tabs>
          <w:tab w:val="num" w:pos="0pt"/>
        </w:tabs>
        <w:ind w:start="146.90pt" w:hanging="24.50pt"/>
      </w:pPr>
    </w:lvl>
    <w:lvl w:ilvl="5">
      <w:start w:val="1"/>
      <w:numFmt w:val="bullet"/>
      <w:lvlText w:val=""/>
      <w:lvlJc w:val="start"/>
      <w:pPr>
        <w:tabs>
          <w:tab w:val="num" w:pos="0pt"/>
        </w:tabs>
        <w:ind w:start="171.35pt" w:hanging="24.45pt"/>
      </w:pPr>
    </w:lvl>
    <w:lvl w:ilvl="6">
      <w:start w:val="1"/>
      <w:numFmt w:val="bullet"/>
      <w:lvlText w:val=""/>
      <w:lvlJc w:val="start"/>
      <w:pPr>
        <w:tabs>
          <w:tab w:val="num" w:pos="0pt"/>
        </w:tabs>
        <w:ind w:start="195.85pt" w:hanging="24.50pt"/>
      </w:pPr>
    </w:lvl>
    <w:lvl w:ilvl="7">
      <w:start w:val="1"/>
      <w:numFmt w:val="bullet"/>
      <w:lvlText w:val=""/>
      <w:lvlJc w:val="start"/>
      <w:pPr>
        <w:tabs>
          <w:tab w:val="num" w:pos="0pt"/>
        </w:tabs>
        <w:ind w:start="220.30pt" w:hanging="24.45pt"/>
      </w:pPr>
    </w:lvl>
    <w:lvl w:ilvl="8">
      <w:start w:val="1"/>
      <w:numFmt w:val="bullet"/>
      <w:lvlText w:val=""/>
      <w:lvlJc w:val="start"/>
      <w:pPr>
        <w:tabs>
          <w:tab w:val="num" w:pos="0pt"/>
        </w:tabs>
        <w:ind w:start="244.80pt" w:hanging="24.50pt"/>
      </w:pPr>
    </w:lvl>
  </w:abstractNum>
  <w:num w:numId="1" w16cid:durableId="1772236068">
    <w:abstractNumId w:val="0"/>
  </w:num>
  <w:num w:numId="2" w16cid:durableId="1701541904">
    <w:abstractNumId w:val="1"/>
  </w:num>
  <w:num w:numId="3" w16cid:durableId="1490975170">
    <w:abstractNumId w:val="2"/>
  </w:num>
  <w:num w:numId="4" w16cid:durableId="2134442791">
    <w:abstractNumId w:val="3"/>
  </w:num>
  <w:num w:numId="5" w16cid:durableId="752778524">
    <w:abstractNumId w:val="4"/>
  </w:num>
  <w:num w:numId="6" w16cid:durableId="1096638267">
    <w:abstractNumId w:val="5"/>
  </w:num>
  <w:num w:numId="7" w16cid:durableId="1999844441">
    <w:abstractNumId w:val="6"/>
  </w:num>
  <w:num w:numId="8" w16cid:durableId="2069179881">
    <w:abstractNumId w:val="7"/>
  </w:num>
  <w:num w:numId="9" w16cid:durableId="1613972687">
    <w:abstractNumId w:val="8"/>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bordersDoNotSurroundHeader/>
  <w:bordersDoNotSurroundFooter/>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pt"/>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86099C"/>
    <w:rsid w:val="0095248E"/>
    <w:rsid w:val="00A77B3E"/>
    <w:rsid w:val="00CA2A55"/>
    <w:rsid w:val="00EC6072"/>
    <w:rsid w:val="00F40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4526A33"/>
  <w15:docId w15:val="{F53EF59C-30DA-4E40-A787-C6B4C12D3F9A}"/>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Cs w:val="24"/>
    </w:rPr>
  </w:style>
  <w:style w:type="paragraph" w:styleId="Heading1">
    <w:name w:val="heading 1"/>
    <w:basedOn w:val="Normal"/>
    <w:next w:val="Normal"/>
    <w:qFormat/>
    <w:rsid w:val="00EF7B96"/>
    <w:pPr>
      <w:keepNext/>
      <w:spacing w:before="12pt" w:after="3pt"/>
      <w:outlineLvl w:val="0"/>
    </w:pPr>
    <w:rPr>
      <w:rFonts w:ascii="Arial" w:hAnsi="Arial" w:cs="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Header">
    <w:name w:val="header"/>
    <w:basedOn w:val="Normal"/>
    <w:link w:val="HeaderChar"/>
    <w:rsid w:val="00EC6072"/>
    <w:pPr>
      <w:tabs>
        <w:tab w:val="center" w:pos="234pt"/>
        <w:tab w:val="end" w:pos="468pt"/>
      </w:tabs>
    </w:pPr>
  </w:style>
  <w:style w:type="character" w:customStyle="1" w:styleId="HeaderChar">
    <w:name w:val="Header Char"/>
    <w:basedOn w:val="DefaultParagraphFont"/>
    <w:link w:val="Header"/>
    <w:rsid w:val="00EC6072"/>
    <w:rPr>
      <w:szCs w:val="24"/>
    </w:rPr>
  </w:style>
  <w:style w:type="paragraph" w:styleId="Footer">
    <w:name w:val="footer"/>
    <w:basedOn w:val="Normal"/>
    <w:link w:val="FooterChar"/>
    <w:rsid w:val="00EC6072"/>
    <w:pPr>
      <w:tabs>
        <w:tab w:val="center" w:pos="234pt"/>
        <w:tab w:val="end" w:pos="468pt"/>
      </w:tabs>
    </w:pPr>
  </w:style>
  <w:style w:type="character" w:customStyle="1" w:styleId="FooterChar">
    <w:name w:val="Footer Char"/>
    <w:basedOn w:val="DefaultParagraphFont"/>
    <w:link w:val="Footer"/>
    <w:rsid w:val="00EC6072"/>
    <w:rPr>
      <w:szCs w:val="24"/>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purl.oclc.org/ooxml/officeDocument/relationships/footer" Target="footer1.xml"/><Relationship Id="rId13" Type="http://purl.oclc.org/ooxml/officeDocument/relationships/header" Target="header3.xml"/><Relationship Id="rId18" Type="http://purl.oclc.org/ooxml/officeDocument/relationships/fontTable" Target="fontTable.xml"/><Relationship Id="rId3" Type="http://purl.oclc.org/ooxml/officeDocument/relationships/settings" Target="settings.xml"/><Relationship Id="rId7" Type="http://purl.oclc.org/ooxml/officeDocument/relationships/header" Target="header1.xml"/><Relationship Id="rId12" Type="http://purl.oclc.org/ooxml/officeDocument/relationships/header" Target="header2.xml"/><Relationship Id="rId17" Type="http://purl.oclc.org/ooxml/officeDocument/relationships/footer" Target="footer5.xml"/><Relationship Id="rId2" Type="http://purl.oclc.org/ooxml/officeDocument/relationships/styles" Target="styles.xml"/><Relationship Id="rId16" Type="http://purl.oclc.org/ooxml/officeDocument/relationships/header" Target="header4.xml"/><Relationship Id="rId1" Type="http://purl.oclc.org/ooxml/officeDocument/relationships/numbering" Target="numbering.xml"/><Relationship Id="rId6" Type="http://purl.oclc.org/ooxml/officeDocument/relationships/endnotes" Target="endnotes.xml"/><Relationship Id="rId11" Type="http://purl.oclc.org/ooxml/officeDocument/relationships/hyperlink" Target="http://mailto:ir@gipreit.com" TargetMode="External"/><Relationship Id="rId5" Type="http://purl.oclc.org/ooxml/officeDocument/relationships/footnotes" Target="footnotes.xml"/><Relationship Id="rId15" Type="http://purl.oclc.org/ooxml/officeDocument/relationships/footer" Target="footer4.xml"/><Relationship Id="rId10" Type="http://purl.oclc.org/ooxml/officeDocument/relationships/image" Target="media/image1.png"/><Relationship Id="rId19" Type="http://purl.oclc.org/ooxml/officeDocument/relationships/theme" Target="theme/theme1.xml"/><Relationship Id="rId4" Type="http://purl.oclc.org/ooxml/officeDocument/relationships/webSettings" Target="webSettings.xml"/><Relationship Id="rId9" Type="http://purl.oclc.org/ooxml/officeDocument/relationships/footer" Target="footer2.xml"/><Relationship Id="rId14" Type="http://purl.oclc.org/ooxml/officeDocument/relationships/footer" Target="footer3.xml"/></Relationships>
</file>

<file path=word/_rels/header4.xml.rels><?xml version="1.0" encoding="UTF-8" standalone="yes"?>
<Relationships xmlns="http://schemas.openxmlformats.org/package/2006/relationships"><Relationship Id="rId1" Type="http://purl.oclc.org/ooxml/officeDocument/relationships/image" Target="media/image2.png"/></Relationships>
</file>

<file path=word/theme/theme1.xml><?xml version="1.0" encoding="utf-8"?>
<a:theme xmlns:a="http://purl.oclc.org/ooxml/drawingml/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Tibt" typeface="Microsoft Himalaya"/>
        <a:font script="Khmr" typeface="MoolBoran"/>
        <a:font script="Beng" typeface="Vrinda"/>
        <a:font script="Taml" typeface="Latha"/>
        <a:font script="Hebr" typeface="Times New Roman"/>
        <a:font script="Syrc" typeface="Estrangelo Edessa"/>
        <a:font script="Laoo" typeface="DokChampa"/>
        <a:font script="Cher" typeface="Plantagenet Cherokee"/>
        <a:font script="Thaa" typeface="MV Boli"/>
        <a:font script="Sinh" typeface="Iskoola Pota"/>
        <a:font script="Thai" typeface="Angsana New"/>
        <a:font script="Cans" typeface="Euphemia"/>
        <a:font script="Mong" typeface="Mongolian Baiti"/>
        <a:font script="Knda" typeface="Tunga"/>
        <a:font script="Viet" typeface="Times New Roman"/>
        <a:font script="Deva" typeface="Mangal"/>
        <a:font script="Arab" typeface="Times New Roman"/>
        <a:font script="Orya" typeface="Kalinga"/>
        <a:font script="Jpan" typeface="ＭＳ ゴシック"/>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ajorFont>
      <a:minorFont>
        <a:latin typeface="Calibri"/>
        <a:ea typeface=""/>
        <a:cs typeface=""/>
        <a:font script="Tibt" typeface="Microsoft Himalaya"/>
        <a:font script="Khmr" typeface="DaunPenh"/>
        <a:font script="Beng" typeface="Vrinda"/>
        <a:font script="Taml" typeface="Latha"/>
        <a:font script="Hebr" typeface="Arial"/>
        <a:font script="Syrc" typeface="Estrangelo Edessa"/>
        <a:font script="Laoo" typeface="DokChampa"/>
        <a:font script="Cher" typeface="Plantagenet Cherokee"/>
        <a:font script="Thaa" typeface="MV Boli"/>
        <a:font script="Sinh" typeface="Iskoola Pota"/>
        <a:font script="Thai" typeface="Cordia New"/>
        <a:font script="Cans" typeface="Euphemia"/>
        <a:font script="Mong" typeface="Mongolian Baiti"/>
        <a:font script="Knda" typeface="Tunga"/>
        <a:font script="Viet" typeface="Arial"/>
        <a:font script="Deva" typeface="Mangal"/>
        <a:font script="Arab" typeface="Arial"/>
        <a:font script="Orya" typeface="Kalinga"/>
        <a:font script="Jpan" typeface="ＭＳ 明朝"/>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a:solidFill>
            <a:schemeClr val="phClr">
              <a:shade val="95%"/>
              <a:satMod val="105%"/>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docProps/app.xml><?xml version="1.0" encoding="utf-8"?>
<Properties xmlns="http://purl.oclc.org/ooxml/officeDocument/extendedProperties" xmlns:vt="http://purl.oclc.org/ooxml/officeDocument/docPropsVTypes">
  <Template>Normal.dotm</Template>
  <TotalTime>0</TotalTime>
  <Pages>10</Pages>
  <Words>4434</Words>
  <Characters>25280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Cusmano</cp:lastModifiedBy>
  <cp:revision>2</cp:revision>
  <dcterms:created xsi:type="dcterms:W3CDTF">2024-11-13T17:52:00Z</dcterms:created>
  <dcterms:modified xsi:type="dcterms:W3CDTF">2024-11-13T17:52:00Z</dcterms:modified>
</cp:coreProperties>
</file>