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7AC3F5" w14:textId="4F983F37" w:rsidR="0086581E" w:rsidRDefault="000C68F9" w:rsidP="000C68F9">
      <w:pPr>
        <w:spacing w:after="0"/>
        <w:jc w:val="center"/>
      </w:pPr>
      <w:r>
        <w:rPr>
          <w:noProof/>
        </w:rPr>
        <w:drawing>
          <wp:inline distT="0" distB="0" distL="0" distR="0" wp14:anchorId="43790EB4" wp14:editId="3C05087F">
            <wp:extent cx="2318377" cy="536496"/>
            <wp:effectExtent l="0" t="0" r="635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48960" cy="566714"/>
                    </a:xfrm>
                    <a:prstGeom prst="rect">
                      <a:avLst/>
                    </a:prstGeom>
                  </pic:spPr>
                </pic:pic>
              </a:graphicData>
            </a:graphic>
          </wp:inline>
        </w:drawing>
      </w:r>
    </w:p>
    <w:p w14:paraId="6382931F" w14:textId="15450D94" w:rsidR="000C68F9" w:rsidRDefault="000C68F9" w:rsidP="00F01503"/>
    <w:p w14:paraId="18DD3E29" w14:textId="77777777" w:rsidR="00F01503" w:rsidRDefault="00F01503" w:rsidP="00077A21">
      <w:pPr>
        <w:spacing w:after="0" w:line="240" w:lineRule="auto"/>
        <w:jc w:val="right"/>
        <w:rPr>
          <w:b/>
          <w:bCs/>
        </w:rPr>
      </w:pPr>
      <w:r w:rsidRPr="00F01503">
        <w:rPr>
          <w:b/>
          <w:bCs/>
          <w:u w:val="single"/>
        </w:rPr>
        <w:t>FOR IMMEDIATE RELEASE</w:t>
      </w:r>
      <w:r>
        <w:rPr>
          <w:b/>
          <w:bCs/>
          <w:u w:val="single"/>
        </w:rPr>
        <w:t xml:space="preserve">: </w:t>
      </w:r>
      <w:r>
        <w:rPr>
          <w:b/>
          <w:bCs/>
        </w:rPr>
        <w:t>November 30, 2020</w:t>
      </w:r>
    </w:p>
    <w:p w14:paraId="4A397DC3" w14:textId="09487435" w:rsidR="00F01503" w:rsidRDefault="001C6423" w:rsidP="00F01503">
      <w:pPr>
        <w:rPr>
          <w:b/>
          <w:bCs/>
          <w:sz w:val="32"/>
          <w:szCs w:val="32"/>
        </w:rPr>
      </w:pPr>
      <w:r>
        <w:rPr>
          <w:b/>
          <w:bCs/>
          <w:noProof/>
          <w:sz w:val="32"/>
          <w:szCs w:val="32"/>
          <w:u w:val="single"/>
        </w:rPr>
        <w:drawing>
          <wp:anchor distT="0" distB="0" distL="114300" distR="114300" simplePos="0" relativeHeight="251660288" behindDoc="0" locked="0" layoutInCell="1" allowOverlap="1" wp14:anchorId="5E237A6B" wp14:editId="357532CE">
            <wp:simplePos x="0" y="0"/>
            <wp:positionH relativeFrom="column">
              <wp:posOffset>4790440</wp:posOffset>
            </wp:positionH>
            <wp:positionV relativeFrom="paragraph">
              <wp:posOffset>259715</wp:posOffset>
            </wp:positionV>
            <wp:extent cx="1061085" cy="1134110"/>
            <wp:effectExtent l="0" t="0" r="5715"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61085" cy="1134110"/>
                    </a:xfrm>
                    <a:prstGeom prst="rect">
                      <a:avLst/>
                    </a:prstGeom>
                    <a:noFill/>
                  </pic:spPr>
                </pic:pic>
              </a:graphicData>
            </a:graphic>
            <wp14:sizeRelH relativeFrom="page">
              <wp14:pctWidth>0</wp14:pctWidth>
            </wp14:sizeRelH>
            <wp14:sizeRelV relativeFrom="page">
              <wp14:pctHeight>0</wp14:pctHeight>
            </wp14:sizeRelV>
          </wp:anchor>
        </w:drawing>
      </w:r>
    </w:p>
    <w:p w14:paraId="14399195" w14:textId="10863FC0" w:rsidR="00F01503" w:rsidRPr="005603F9" w:rsidRDefault="00F01503" w:rsidP="00F01503">
      <w:pPr>
        <w:rPr>
          <w:b/>
          <w:bCs/>
          <w:sz w:val="32"/>
          <w:szCs w:val="32"/>
        </w:rPr>
      </w:pPr>
      <w:r w:rsidRPr="005603F9">
        <w:rPr>
          <w:b/>
          <w:bCs/>
          <w:sz w:val="32"/>
          <w:szCs w:val="32"/>
        </w:rPr>
        <w:t>For more information, contact:</w:t>
      </w:r>
    </w:p>
    <w:p w14:paraId="20622C97" w14:textId="5C891E47" w:rsidR="00077A21" w:rsidRDefault="00F01503" w:rsidP="00F01503">
      <w:pPr>
        <w:rPr>
          <w:b/>
          <w:bCs/>
          <w:sz w:val="32"/>
          <w:szCs w:val="32"/>
        </w:rPr>
      </w:pPr>
      <w:hyperlink r:id="rId6" w:history="1">
        <w:r w:rsidRPr="005603F9">
          <w:rPr>
            <w:rStyle w:val="Hyperlink"/>
            <w:b/>
            <w:bCs/>
            <w:sz w:val="32"/>
            <w:szCs w:val="32"/>
          </w:rPr>
          <w:t>Info@GOProdigii.com</w:t>
        </w:r>
      </w:hyperlink>
      <w:r>
        <w:rPr>
          <w:b/>
          <w:bCs/>
          <w:sz w:val="32"/>
          <w:szCs w:val="32"/>
        </w:rPr>
        <w:t xml:space="preserve"> or</w:t>
      </w:r>
      <w:r w:rsidR="00077A21">
        <w:rPr>
          <w:b/>
          <w:bCs/>
          <w:sz w:val="32"/>
          <w:szCs w:val="32"/>
        </w:rPr>
        <w:t xml:space="preserve"> </w:t>
      </w:r>
    </w:p>
    <w:p w14:paraId="3B3883B2" w14:textId="71555DAA" w:rsidR="00F01503" w:rsidRDefault="00F01503" w:rsidP="00F01503">
      <w:pPr>
        <w:rPr>
          <w:rStyle w:val="Hyperlink"/>
          <w:b/>
          <w:bCs/>
          <w:sz w:val="32"/>
          <w:szCs w:val="32"/>
        </w:rPr>
      </w:pPr>
      <w:hyperlink r:id="rId7" w:history="1">
        <w:r w:rsidRPr="005603F9">
          <w:rPr>
            <w:rStyle w:val="Hyperlink"/>
            <w:b/>
            <w:bCs/>
            <w:sz w:val="32"/>
            <w:szCs w:val="32"/>
          </w:rPr>
          <w:t>info@sasb.org</w:t>
        </w:r>
      </w:hyperlink>
    </w:p>
    <w:p w14:paraId="72F74787" w14:textId="29A2BDBD" w:rsidR="00077A21" w:rsidRPr="005603F9" w:rsidRDefault="00077A21" w:rsidP="00F01503">
      <w:pPr>
        <w:rPr>
          <w:b/>
          <w:bCs/>
          <w:sz w:val="32"/>
          <w:szCs w:val="32"/>
        </w:rPr>
      </w:pPr>
    </w:p>
    <w:p w14:paraId="2B42F38C" w14:textId="23593205" w:rsidR="00E32FB1" w:rsidRPr="00077A21" w:rsidRDefault="00E32FB1" w:rsidP="00077A21">
      <w:pPr>
        <w:jc w:val="center"/>
        <w:rPr>
          <w:b/>
          <w:bCs/>
          <w:sz w:val="32"/>
          <w:szCs w:val="32"/>
          <w:u w:val="single"/>
        </w:rPr>
      </w:pPr>
      <w:proofErr w:type="spellStart"/>
      <w:r w:rsidRPr="00077A21">
        <w:rPr>
          <w:b/>
          <w:bCs/>
          <w:sz w:val="32"/>
          <w:szCs w:val="32"/>
          <w:u w:val="single"/>
        </w:rPr>
        <w:t>G</w:t>
      </w:r>
      <w:r w:rsidR="00DB1F77" w:rsidRPr="00077A21">
        <w:rPr>
          <w:b/>
          <w:bCs/>
          <w:sz w:val="32"/>
          <w:szCs w:val="32"/>
          <w:u w:val="single"/>
        </w:rPr>
        <w:t>O</w:t>
      </w:r>
      <w:r w:rsidRPr="00077A21">
        <w:rPr>
          <w:b/>
          <w:bCs/>
          <w:sz w:val="32"/>
          <w:szCs w:val="32"/>
          <w:u w:val="single"/>
        </w:rPr>
        <w:t>Prodigii</w:t>
      </w:r>
      <w:proofErr w:type="spellEnd"/>
      <w:r w:rsidRPr="00077A21">
        <w:rPr>
          <w:b/>
          <w:bCs/>
          <w:sz w:val="32"/>
          <w:szCs w:val="32"/>
          <w:u w:val="single"/>
        </w:rPr>
        <w:t xml:space="preserve"> </w:t>
      </w:r>
      <w:r w:rsidR="00F01503" w:rsidRPr="00077A21">
        <w:rPr>
          <w:b/>
          <w:bCs/>
          <w:sz w:val="32"/>
          <w:szCs w:val="32"/>
          <w:u w:val="single"/>
        </w:rPr>
        <w:t xml:space="preserve">Licenses </w:t>
      </w:r>
      <w:r w:rsidRPr="00077A21">
        <w:rPr>
          <w:b/>
          <w:bCs/>
          <w:sz w:val="32"/>
          <w:szCs w:val="32"/>
          <w:u w:val="single"/>
        </w:rPr>
        <w:t>Sustainability Accounting Standards Board (SASB)</w:t>
      </w:r>
      <w:r w:rsidR="00F01503" w:rsidRPr="00077A21">
        <w:rPr>
          <w:b/>
          <w:bCs/>
          <w:sz w:val="32"/>
          <w:szCs w:val="32"/>
          <w:u w:val="single"/>
        </w:rPr>
        <w:t xml:space="preserve"> IP to build one of the first </w:t>
      </w:r>
      <w:r w:rsidR="00F01503" w:rsidRPr="00077A21">
        <w:rPr>
          <w:b/>
          <w:bCs/>
          <w:sz w:val="32"/>
          <w:szCs w:val="32"/>
          <w:u w:val="single"/>
        </w:rPr>
        <w:t>dynamic ESG risk management platform</w:t>
      </w:r>
      <w:r w:rsidR="00F01503" w:rsidRPr="00077A21">
        <w:rPr>
          <w:b/>
          <w:bCs/>
          <w:sz w:val="32"/>
          <w:szCs w:val="32"/>
          <w:u w:val="single"/>
        </w:rPr>
        <w:t>s</w:t>
      </w:r>
      <w:r w:rsidR="00077A21">
        <w:rPr>
          <w:b/>
          <w:bCs/>
          <w:sz w:val="32"/>
          <w:szCs w:val="32"/>
          <w:u w:val="single"/>
        </w:rPr>
        <w:t xml:space="preserve"> enabling </w:t>
      </w:r>
      <w:r w:rsidR="00077A21" w:rsidRPr="00077A21">
        <w:rPr>
          <w:b/>
          <w:bCs/>
          <w:sz w:val="32"/>
          <w:szCs w:val="32"/>
          <w:u w:val="single"/>
        </w:rPr>
        <w:t xml:space="preserve">companies </w:t>
      </w:r>
      <w:r w:rsidR="00077A21">
        <w:rPr>
          <w:b/>
          <w:bCs/>
          <w:sz w:val="32"/>
          <w:szCs w:val="32"/>
          <w:u w:val="single"/>
        </w:rPr>
        <w:t xml:space="preserve">and their investors </w:t>
      </w:r>
      <w:r w:rsidR="00077A21" w:rsidRPr="00077A21">
        <w:rPr>
          <w:b/>
          <w:bCs/>
          <w:sz w:val="32"/>
          <w:szCs w:val="32"/>
          <w:u w:val="single"/>
        </w:rPr>
        <w:t xml:space="preserve">to </w:t>
      </w:r>
      <w:r w:rsidR="00077A21" w:rsidRPr="00077A21">
        <w:rPr>
          <w:b/>
          <w:bCs/>
          <w:sz w:val="32"/>
          <w:szCs w:val="32"/>
          <w:u w:val="single"/>
        </w:rPr>
        <w:t>achieve near real time visibility into their ESG performance</w:t>
      </w:r>
    </w:p>
    <w:p w14:paraId="2EB8C191" w14:textId="42763280" w:rsidR="00964B76" w:rsidRPr="005603F9" w:rsidRDefault="00F01503" w:rsidP="00964B76">
      <w:pPr>
        <w:spacing w:before="100" w:beforeAutospacing="1" w:after="100" w:afterAutospacing="1" w:line="288" w:lineRule="auto"/>
        <w:rPr>
          <w:rFonts w:ascii="Calibri" w:hAnsi="Calibri" w:cs="Calibri"/>
        </w:rPr>
      </w:pPr>
      <w:r w:rsidRPr="00A47B6F">
        <w:rPr>
          <w:b/>
          <w:bCs/>
        </w:rPr>
        <w:t>Cleveland, Ohio</w:t>
      </w:r>
      <w:r>
        <w:rPr>
          <w:b/>
          <w:bCs/>
        </w:rPr>
        <w:t xml:space="preserve">.  November 30, 2020.  </w:t>
      </w:r>
      <w:hyperlink r:id="rId8" w:history="1">
        <w:proofErr w:type="spellStart"/>
        <w:r w:rsidR="000C68F9" w:rsidRPr="005603F9">
          <w:rPr>
            <w:rStyle w:val="Hyperlink"/>
            <w:rFonts w:ascii="Calibri" w:hAnsi="Calibri" w:cs="Calibri"/>
            <w:b/>
            <w:bCs/>
          </w:rPr>
          <w:t>G</w:t>
        </w:r>
        <w:r w:rsidR="00DB1F77" w:rsidRPr="005603F9">
          <w:rPr>
            <w:rStyle w:val="Hyperlink"/>
            <w:rFonts w:ascii="Calibri" w:hAnsi="Calibri" w:cs="Calibri"/>
            <w:b/>
            <w:bCs/>
          </w:rPr>
          <w:t>O</w:t>
        </w:r>
        <w:r w:rsidR="000C68F9" w:rsidRPr="005603F9">
          <w:rPr>
            <w:rStyle w:val="Hyperlink"/>
            <w:rFonts w:ascii="Calibri" w:hAnsi="Calibri" w:cs="Calibri"/>
            <w:b/>
            <w:bCs/>
          </w:rPr>
          <w:t>Prodigii</w:t>
        </w:r>
        <w:proofErr w:type="spellEnd"/>
        <w:r w:rsidR="000C68F9" w:rsidRPr="005603F9">
          <w:rPr>
            <w:rStyle w:val="Hyperlink"/>
            <w:rFonts w:ascii="Calibri" w:hAnsi="Calibri" w:cs="Calibri"/>
            <w:b/>
            <w:bCs/>
          </w:rPr>
          <w:t>, LLC</w:t>
        </w:r>
      </w:hyperlink>
      <w:r w:rsidR="000C68F9" w:rsidRPr="005603F9">
        <w:rPr>
          <w:rFonts w:ascii="Calibri" w:hAnsi="Calibri" w:cs="Calibri"/>
        </w:rPr>
        <w:t xml:space="preserve">., announced today that the company has </w:t>
      </w:r>
      <w:r w:rsidR="00753789" w:rsidRPr="005603F9">
        <w:rPr>
          <w:rFonts w:ascii="Calibri" w:hAnsi="Calibri" w:cs="Calibri"/>
        </w:rPr>
        <w:t xml:space="preserve">entered into an agreement with the </w:t>
      </w:r>
      <w:hyperlink r:id="rId9" w:history="1">
        <w:r w:rsidR="00753789" w:rsidRPr="005603F9">
          <w:rPr>
            <w:rStyle w:val="Hyperlink"/>
            <w:rFonts w:ascii="Calibri" w:hAnsi="Calibri" w:cs="Calibri"/>
            <w:b/>
            <w:bCs/>
          </w:rPr>
          <w:t>Sustainability Accounting Standards Board</w:t>
        </w:r>
      </w:hyperlink>
      <w:r w:rsidR="00753789" w:rsidRPr="005603F9">
        <w:rPr>
          <w:rFonts w:ascii="Calibri" w:hAnsi="Calibri" w:cs="Calibri"/>
        </w:rPr>
        <w:t xml:space="preserve"> (SASB).  </w:t>
      </w:r>
      <w:r w:rsidR="008240EC" w:rsidRPr="005603F9">
        <w:rPr>
          <w:rFonts w:ascii="Calibri" w:hAnsi="Calibri" w:cs="Calibri"/>
        </w:rPr>
        <w:t xml:space="preserve">Under the Agreement, </w:t>
      </w:r>
      <w:proofErr w:type="spellStart"/>
      <w:r w:rsidR="008240EC" w:rsidRPr="005603F9">
        <w:rPr>
          <w:rFonts w:ascii="Calibri" w:hAnsi="Calibri" w:cs="Calibri"/>
        </w:rPr>
        <w:t>GoProdigii</w:t>
      </w:r>
      <w:proofErr w:type="spellEnd"/>
      <w:r w:rsidR="008240EC" w:rsidRPr="005603F9">
        <w:rPr>
          <w:rFonts w:ascii="Calibri" w:hAnsi="Calibri" w:cs="Calibri"/>
        </w:rPr>
        <w:t xml:space="preserve"> is licensing SASB’s intellectual Property (IP) for purposes on developing a </w:t>
      </w:r>
      <w:proofErr w:type="gramStart"/>
      <w:r w:rsidR="008240EC" w:rsidRPr="005603F9">
        <w:rPr>
          <w:rFonts w:ascii="Calibri" w:hAnsi="Calibri" w:cs="Calibri"/>
        </w:rPr>
        <w:t>cloud-based</w:t>
      </w:r>
      <w:proofErr w:type="gramEnd"/>
      <w:r w:rsidR="008240EC" w:rsidRPr="005603F9">
        <w:rPr>
          <w:rFonts w:ascii="Calibri" w:hAnsi="Calibri" w:cs="Calibri"/>
        </w:rPr>
        <w:t xml:space="preserve"> </w:t>
      </w:r>
      <w:r w:rsidR="00201990">
        <w:rPr>
          <w:rFonts w:ascii="Calibri" w:hAnsi="Calibri" w:cs="Calibri"/>
        </w:rPr>
        <w:t>dynamic ESG risk management platform</w:t>
      </w:r>
      <w:r w:rsidR="00DE4E16">
        <w:rPr>
          <w:rFonts w:ascii="Calibri" w:hAnsi="Calibri" w:cs="Calibri"/>
        </w:rPr>
        <w:t xml:space="preserve">, 4IMPACT.  Through its 4IMPACT platform, </w:t>
      </w:r>
      <w:r w:rsidR="000C2F86">
        <w:rPr>
          <w:rFonts w:ascii="Calibri" w:hAnsi="Calibri" w:cs="Calibri"/>
        </w:rPr>
        <w:t>GOProdigii</w:t>
      </w:r>
      <w:r w:rsidR="00176D7A">
        <w:rPr>
          <w:rFonts w:ascii="Calibri" w:hAnsi="Calibri" w:cs="Calibri"/>
        </w:rPr>
        <w:t xml:space="preserve"> is planning to use </w:t>
      </w:r>
      <w:r w:rsidR="000C2F86">
        <w:rPr>
          <w:rFonts w:ascii="Calibri" w:hAnsi="Calibri" w:cs="Calibri"/>
        </w:rPr>
        <w:t xml:space="preserve">a secure </w:t>
      </w:r>
      <w:r w:rsidR="000C2F86" w:rsidRPr="00DE4E16">
        <w:rPr>
          <w:rFonts w:ascii="Calibri" w:hAnsi="Calibri" w:cs="Calibri"/>
        </w:rPr>
        <w:t>Governance, Risk Management, and Compliance (GRC)</w:t>
      </w:r>
      <w:r w:rsidR="000C2F86">
        <w:rPr>
          <w:rFonts w:ascii="Calibri" w:hAnsi="Calibri" w:cs="Calibri"/>
        </w:rPr>
        <w:t xml:space="preserve"> platform that </w:t>
      </w:r>
      <w:r w:rsidR="00176D7A">
        <w:rPr>
          <w:rFonts w:ascii="Calibri" w:hAnsi="Calibri" w:cs="Calibri"/>
        </w:rPr>
        <w:t xml:space="preserve">will </w:t>
      </w:r>
      <w:r w:rsidR="000C2F86">
        <w:rPr>
          <w:rFonts w:ascii="Calibri" w:hAnsi="Calibri" w:cs="Calibri"/>
        </w:rPr>
        <w:t xml:space="preserve">make </w:t>
      </w:r>
      <w:r w:rsidR="00201990">
        <w:rPr>
          <w:rFonts w:ascii="Calibri" w:hAnsi="Calibri" w:cs="Calibri"/>
        </w:rPr>
        <w:t xml:space="preserve">client </w:t>
      </w:r>
      <w:r w:rsidR="00DE4E16">
        <w:rPr>
          <w:rFonts w:ascii="Calibri" w:hAnsi="Calibri" w:cs="Calibri"/>
        </w:rPr>
        <w:t xml:space="preserve">ESG related </w:t>
      </w:r>
      <w:r w:rsidR="00201990">
        <w:rPr>
          <w:rFonts w:ascii="Calibri" w:hAnsi="Calibri" w:cs="Calibri"/>
        </w:rPr>
        <w:t xml:space="preserve">data </w:t>
      </w:r>
      <w:r w:rsidR="000C2F86">
        <w:rPr>
          <w:rFonts w:ascii="Calibri" w:hAnsi="Calibri" w:cs="Calibri"/>
        </w:rPr>
        <w:t xml:space="preserve">easily usable to apply SASB ESG standards to tackle </w:t>
      </w:r>
      <w:r w:rsidR="00DE4E16" w:rsidRPr="00DE4E16">
        <w:rPr>
          <w:rFonts w:ascii="Calibri" w:hAnsi="Calibri" w:cs="Calibri"/>
        </w:rPr>
        <w:t xml:space="preserve">the broad issues of corporate governance, enterprise </w:t>
      </w:r>
      <w:r w:rsidR="000C2F86">
        <w:rPr>
          <w:rFonts w:ascii="Calibri" w:hAnsi="Calibri" w:cs="Calibri"/>
        </w:rPr>
        <w:t xml:space="preserve">ESG </w:t>
      </w:r>
      <w:r w:rsidR="00DE4E16" w:rsidRPr="00DE4E16">
        <w:rPr>
          <w:rFonts w:ascii="Calibri" w:hAnsi="Calibri" w:cs="Calibri"/>
        </w:rPr>
        <w:t>risk management (</w:t>
      </w:r>
      <w:r w:rsidR="00045362">
        <w:rPr>
          <w:rFonts w:ascii="Calibri" w:hAnsi="Calibri" w:cs="Calibri"/>
        </w:rPr>
        <w:t>ESG-</w:t>
      </w:r>
      <w:r w:rsidR="00DE4E16" w:rsidRPr="00DE4E16">
        <w:rPr>
          <w:rFonts w:ascii="Calibri" w:hAnsi="Calibri" w:cs="Calibri"/>
        </w:rPr>
        <w:t xml:space="preserve">ERM), and corporate </w:t>
      </w:r>
      <w:r w:rsidR="000C2F86">
        <w:rPr>
          <w:rFonts w:ascii="Calibri" w:hAnsi="Calibri" w:cs="Calibri"/>
        </w:rPr>
        <w:t xml:space="preserve">ESG </w:t>
      </w:r>
      <w:r w:rsidR="00DE4E16" w:rsidRPr="00DE4E16">
        <w:rPr>
          <w:rFonts w:ascii="Calibri" w:hAnsi="Calibri" w:cs="Calibri"/>
        </w:rPr>
        <w:t xml:space="preserve">compliance. </w:t>
      </w:r>
      <w:r w:rsidR="000C2F86">
        <w:rPr>
          <w:rFonts w:ascii="Calibri" w:hAnsi="Calibri" w:cs="Calibri"/>
        </w:rPr>
        <w:t xml:space="preserve">  4IMPACT </w:t>
      </w:r>
      <w:r w:rsidR="00201990">
        <w:rPr>
          <w:rFonts w:ascii="Calibri" w:hAnsi="Calibri" w:cs="Calibri"/>
        </w:rPr>
        <w:t xml:space="preserve">then </w:t>
      </w:r>
      <w:r w:rsidR="00176D7A">
        <w:rPr>
          <w:rFonts w:ascii="Calibri" w:hAnsi="Calibri" w:cs="Calibri"/>
        </w:rPr>
        <w:t xml:space="preserve">plans to </w:t>
      </w:r>
      <w:r w:rsidR="00201990">
        <w:rPr>
          <w:rFonts w:ascii="Calibri" w:hAnsi="Calibri" w:cs="Calibri"/>
        </w:rPr>
        <w:t>appl</w:t>
      </w:r>
      <w:r w:rsidR="00176D7A">
        <w:rPr>
          <w:rFonts w:ascii="Calibri" w:hAnsi="Calibri" w:cs="Calibri"/>
        </w:rPr>
        <w:t>y</w:t>
      </w:r>
      <w:r w:rsidR="00201990">
        <w:rPr>
          <w:rFonts w:ascii="Calibri" w:hAnsi="Calibri" w:cs="Calibri"/>
        </w:rPr>
        <w:t xml:space="preserve"> artificial intelligence to </w:t>
      </w:r>
      <w:r w:rsidR="008240EC" w:rsidRPr="005603F9">
        <w:rPr>
          <w:rFonts w:ascii="Calibri" w:hAnsi="Calibri" w:cs="Calibri"/>
        </w:rPr>
        <w:t>automate the ESG metrics monitoring and reporting processes</w:t>
      </w:r>
      <w:r w:rsidR="000C2F86">
        <w:rPr>
          <w:rFonts w:ascii="Calibri" w:hAnsi="Calibri" w:cs="Calibri"/>
        </w:rPr>
        <w:t xml:space="preserve"> to create a </w:t>
      </w:r>
      <w:r w:rsidR="000C2F86" w:rsidRPr="000C2F86">
        <w:rPr>
          <w:rFonts w:ascii="Calibri" w:hAnsi="Calibri" w:cs="Calibri"/>
        </w:rPr>
        <w:t xml:space="preserve">single, holistic </w:t>
      </w:r>
      <w:r w:rsidR="000C2F86">
        <w:rPr>
          <w:rFonts w:ascii="Calibri" w:hAnsi="Calibri" w:cs="Calibri"/>
        </w:rPr>
        <w:t xml:space="preserve">ESG risk management </w:t>
      </w:r>
      <w:r w:rsidR="000C2F86" w:rsidRPr="000C2F86">
        <w:rPr>
          <w:rFonts w:ascii="Calibri" w:hAnsi="Calibri" w:cs="Calibri"/>
        </w:rPr>
        <w:t>solutio</w:t>
      </w:r>
      <w:r w:rsidR="000C2F86">
        <w:rPr>
          <w:rFonts w:ascii="Calibri" w:hAnsi="Calibri" w:cs="Calibri"/>
        </w:rPr>
        <w:t>n that</w:t>
      </w:r>
      <w:r w:rsidR="00964B76">
        <w:rPr>
          <w:rFonts w:ascii="Calibri" w:hAnsi="Calibri" w:cs="Calibri"/>
        </w:rPr>
        <w:t xml:space="preserve"> </w:t>
      </w:r>
      <w:r w:rsidR="00964B76" w:rsidRPr="005603F9">
        <w:rPr>
          <w:rFonts w:ascii="Calibri" w:hAnsi="Calibri" w:cs="Calibri"/>
        </w:rPr>
        <w:t xml:space="preserve">will enable </w:t>
      </w:r>
      <w:r w:rsidR="00964B76">
        <w:rPr>
          <w:rFonts w:ascii="Calibri" w:hAnsi="Calibri" w:cs="Calibri"/>
        </w:rPr>
        <w:t xml:space="preserve">small and </w:t>
      </w:r>
      <w:r w:rsidR="00DC2041" w:rsidRPr="005603F9">
        <w:rPr>
          <w:rFonts w:ascii="Calibri" w:hAnsi="Calibri" w:cs="Calibri"/>
        </w:rPr>
        <w:t>mi</w:t>
      </w:r>
      <w:r w:rsidR="00DC2041">
        <w:rPr>
          <w:rFonts w:ascii="Calibri" w:hAnsi="Calibri" w:cs="Calibri"/>
        </w:rPr>
        <w:t>d</w:t>
      </w:r>
      <w:r w:rsidR="00DC2041" w:rsidRPr="005603F9">
        <w:rPr>
          <w:rFonts w:ascii="Calibri" w:hAnsi="Calibri" w:cs="Calibri"/>
        </w:rPr>
        <w:t>-cap</w:t>
      </w:r>
      <w:r w:rsidR="00964B76" w:rsidRPr="005603F9">
        <w:rPr>
          <w:rFonts w:ascii="Calibri" w:hAnsi="Calibri" w:cs="Calibri"/>
        </w:rPr>
        <w:t xml:space="preserve"> companies achieve </w:t>
      </w:r>
      <w:r w:rsidR="00964B76">
        <w:rPr>
          <w:rFonts w:ascii="Calibri" w:hAnsi="Calibri" w:cs="Calibri"/>
        </w:rPr>
        <w:t xml:space="preserve">near </w:t>
      </w:r>
      <w:r w:rsidR="00964B76" w:rsidRPr="005603F9">
        <w:rPr>
          <w:rFonts w:ascii="Calibri" w:hAnsi="Calibri" w:cs="Calibri"/>
        </w:rPr>
        <w:t xml:space="preserve">real time visibility into their ESG performance – from the farthest reaches of the supply chain, across divisions, products and services, consolidating into a single set of auditable metrics that are material to that company’s business.  </w:t>
      </w:r>
    </w:p>
    <w:p w14:paraId="031F78D8" w14:textId="3D781387" w:rsidR="00480C40" w:rsidRPr="00176D7A" w:rsidRDefault="0023693D" w:rsidP="00176D7A">
      <w:pPr>
        <w:pStyle w:val="NormalWeb"/>
        <w:shd w:val="clear" w:color="auto" w:fill="FFFFFF"/>
        <w:spacing w:line="288" w:lineRule="auto"/>
        <w:rPr>
          <w:rFonts w:ascii="Calibri" w:hAnsi="Calibri" w:cs="Calibri"/>
          <w:sz w:val="22"/>
          <w:szCs w:val="22"/>
        </w:rPr>
      </w:pPr>
      <w:r w:rsidRPr="00176D7A">
        <w:rPr>
          <w:rFonts w:ascii="Calibri" w:eastAsiaTheme="minorHAnsi" w:hAnsi="Calibri" w:cs="Calibri"/>
          <w:sz w:val="22"/>
          <w:szCs w:val="22"/>
        </w:rPr>
        <w:t xml:space="preserve">“We are glad to welcome GOProdigii, LLC as a licensee of the SASB Standards. This agreement will offer and small </w:t>
      </w:r>
      <w:r w:rsidR="00176D7A" w:rsidRPr="00176D7A">
        <w:rPr>
          <w:rFonts w:ascii="Calibri" w:eastAsiaTheme="minorHAnsi" w:hAnsi="Calibri" w:cs="Calibri"/>
          <w:sz w:val="22"/>
          <w:szCs w:val="22"/>
        </w:rPr>
        <w:t xml:space="preserve">and </w:t>
      </w:r>
      <w:r w:rsidR="00DC2041" w:rsidRPr="00176D7A">
        <w:rPr>
          <w:rFonts w:ascii="Calibri" w:eastAsiaTheme="minorHAnsi" w:hAnsi="Calibri" w:cs="Calibri"/>
          <w:sz w:val="22"/>
          <w:szCs w:val="22"/>
        </w:rPr>
        <w:t>mid-cap</w:t>
      </w:r>
      <w:r w:rsidRPr="00176D7A">
        <w:rPr>
          <w:rFonts w:ascii="Calibri" w:eastAsiaTheme="minorHAnsi" w:hAnsi="Calibri" w:cs="Calibri"/>
          <w:sz w:val="22"/>
          <w:szCs w:val="22"/>
        </w:rPr>
        <w:t xml:space="preserve"> companies the ability to develop a robust and standardized data architecture based on a transparent, market-informed determination of financial materiality. By integrating the SASB Standards, GOProdigii can support clients in measuring, managing, and disclosing the ESG factors most likely to impact financial performance,” says Nicolai Lundy, SASB’s Director of Partnerships &amp; Market Outreach.</w:t>
      </w:r>
      <w:r w:rsidR="00176D7A" w:rsidRPr="00176D7A">
        <w:rPr>
          <w:rFonts w:ascii="Calibri" w:eastAsiaTheme="minorHAnsi" w:hAnsi="Calibri" w:cs="Calibri"/>
          <w:sz w:val="22"/>
          <w:szCs w:val="22"/>
        </w:rPr>
        <w:t xml:space="preserve">  </w:t>
      </w:r>
      <w:r w:rsidR="00480C40" w:rsidRPr="00176D7A">
        <w:rPr>
          <w:rFonts w:ascii="Calibri" w:hAnsi="Calibri" w:cs="Calibri"/>
          <w:sz w:val="22"/>
          <w:szCs w:val="22"/>
        </w:rPr>
        <w:t xml:space="preserve">SASB is a non-profit organization founded to develop sustainability accounting standards that can be used first and foremost by companies seeking to manage their environmental, social, and </w:t>
      </w:r>
      <w:r w:rsidR="00480C40" w:rsidRPr="00176D7A">
        <w:rPr>
          <w:rFonts w:ascii="Calibri" w:hAnsi="Calibri" w:cs="Calibri"/>
          <w:sz w:val="22"/>
          <w:szCs w:val="22"/>
        </w:rPr>
        <w:lastRenderedPageBreak/>
        <w:t xml:space="preserve">governance (ESG) performance risks.  These same standards are also used by sustainable investors, lenders, insurance underwriters, and other providers of financial capital to assess the impact of ESG risks on a company’s financial performance. </w:t>
      </w:r>
    </w:p>
    <w:p w14:paraId="6AF708F9" w14:textId="77777777" w:rsidR="00176D7A" w:rsidRPr="005603F9" w:rsidRDefault="00176D7A" w:rsidP="00176D7A">
      <w:pPr>
        <w:spacing w:before="100" w:beforeAutospacing="1" w:after="100" w:afterAutospacing="1" w:line="288" w:lineRule="auto"/>
        <w:rPr>
          <w:rFonts w:ascii="Calibri" w:hAnsi="Calibri" w:cs="Calibri"/>
        </w:rPr>
      </w:pPr>
      <w:r w:rsidRPr="005603F9">
        <w:rPr>
          <w:rFonts w:ascii="Calibri" w:hAnsi="Calibri" w:cs="Calibri"/>
        </w:rPr>
        <w:t xml:space="preserve">What distinguishes SASB standards is a focus on financially material information covering a range of industry-specific sustainability areas, including environmental and social topics and the governance of those topics. Whether used alone, alongside other reporting frameworks, or as part of an integrated report, SASB standards and metrics enable companies to communicate with investors and regulatory authorities in a detailed, powerful way. </w:t>
      </w:r>
    </w:p>
    <w:p w14:paraId="67421B90" w14:textId="5D337130" w:rsidR="0023693D" w:rsidRPr="005603F9" w:rsidRDefault="0023693D" w:rsidP="005603F9">
      <w:pPr>
        <w:spacing w:before="100" w:beforeAutospacing="1" w:after="100" w:afterAutospacing="1" w:line="288" w:lineRule="auto"/>
        <w:rPr>
          <w:rFonts w:ascii="Calibri" w:hAnsi="Calibri" w:cs="Calibri"/>
        </w:rPr>
      </w:pPr>
      <w:proofErr w:type="spellStart"/>
      <w:r w:rsidRPr="005603F9">
        <w:rPr>
          <w:rFonts w:ascii="Calibri" w:hAnsi="Calibri" w:cs="Calibri"/>
        </w:rPr>
        <w:t>GOProdigii’s</w:t>
      </w:r>
      <w:proofErr w:type="spellEnd"/>
      <w:r w:rsidRPr="005603F9">
        <w:rPr>
          <w:rFonts w:ascii="Calibri" w:hAnsi="Calibri" w:cs="Calibri"/>
        </w:rPr>
        <w:t xml:space="preserve"> Founder and Chief Strategist, Andrew Tasker, explained that “By applying the latest in data science and artificial intelligence to automate the process of using SASB standards to manage and report on their ESG performance, GOProdigii is making it more affordable for companies ranging from $50 million to around $</w:t>
      </w:r>
      <w:r w:rsidR="00964B76">
        <w:rPr>
          <w:rFonts w:ascii="Calibri" w:hAnsi="Calibri" w:cs="Calibri"/>
        </w:rPr>
        <w:t>10</w:t>
      </w:r>
      <w:r w:rsidRPr="005603F9">
        <w:rPr>
          <w:rFonts w:ascii="Calibri" w:hAnsi="Calibri" w:cs="Calibri"/>
        </w:rPr>
        <w:t xml:space="preserve"> billion in annual revenues to compete with larger companies for the attention of investors in the capital markets.”   </w:t>
      </w:r>
    </w:p>
    <w:p w14:paraId="37AE4F80" w14:textId="4C1F61C8" w:rsidR="00CD2961" w:rsidRPr="005603F9" w:rsidRDefault="00CD2961" w:rsidP="005603F9">
      <w:pPr>
        <w:spacing w:before="100" w:beforeAutospacing="1" w:after="100" w:afterAutospacing="1" w:line="288" w:lineRule="auto"/>
        <w:rPr>
          <w:rFonts w:ascii="Calibri" w:hAnsi="Calibri" w:cs="Calibri"/>
          <w:b/>
          <w:bCs/>
        </w:rPr>
      </w:pPr>
      <w:r w:rsidRPr="005603F9">
        <w:rPr>
          <w:rFonts w:ascii="Calibri" w:hAnsi="Calibri" w:cs="Calibri"/>
          <w:b/>
          <w:bCs/>
        </w:rPr>
        <w:t xml:space="preserve">About </w:t>
      </w:r>
      <w:proofErr w:type="spellStart"/>
      <w:r w:rsidRPr="005603F9">
        <w:rPr>
          <w:rFonts w:ascii="Calibri" w:hAnsi="Calibri" w:cs="Calibri"/>
          <w:b/>
          <w:bCs/>
        </w:rPr>
        <w:t>GOProdigii</w:t>
      </w:r>
      <w:r w:rsidR="00964B76">
        <w:rPr>
          <w:rFonts w:ascii="Calibri" w:hAnsi="Calibri" w:cs="Calibri"/>
          <w:b/>
          <w:bCs/>
        </w:rPr>
        <w:t>’s</w:t>
      </w:r>
      <w:proofErr w:type="spellEnd"/>
      <w:r w:rsidR="00964B76">
        <w:rPr>
          <w:rFonts w:ascii="Calibri" w:hAnsi="Calibri" w:cs="Calibri"/>
          <w:b/>
          <w:bCs/>
        </w:rPr>
        <w:t xml:space="preserve"> 4IMPACT Dynamic ESG Risk Management Platform</w:t>
      </w:r>
    </w:p>
    <w:p w14:paraId="703BBC1A" w14:textId="6A9E313A" w:rsidR="00964B76" w:rsidRDefault="00964B76" w:rsidP="005603F9">
      <w:pPr>
        <w:spacing w:before="100" w:beforeAutospacing="1" w:after="100" w:afterAutospacing="1" w:line="288" w:lineRule="auto"/>
        <w:rPr>
          <w:rFonts w:ascii="Calibri" w:hAnsi="Calibri" w:cs="Calibri"/>
        </w:rPr>
      </w:pPr>
      <w:r w:rsidRPr="00964B76">
        <w:rPr>
          <w:rFonts w:ascii="Calibri" w:hAnsi="Calibri" w:cs="Calibri"/>
        </w:rPr>
        <w:t xml:space="preserve">4IMPACT is the first of its kind all-in-one software as a service (SaaS) platform that provides companies and their investors with the tools and services needed to dynamically measure and manage </w:t>
      </w:r>
      <w:r>
        <w:rPr>
          <w:rFonts w:ascii="Calibri" w:hAnsi="Calibri" w:cs="Calibri"/>
        </w:rPr>
        <w:t>e</w:t>
      </w:r>
      <w:r w:rsidRPr="00964B76">
        <w:rPr>
          <w:rFonts w:ascii="Calibri" w:hAnsi="Calibri" w:cs="Calibri"/>
        </w:rPr>
        <w:t xml:space="preserve">nvironmental, social and governance (ESG) risks. </w:t>
      </w:r>
    </w:p>
    <w:p w14:paraId="54F2408D" w14:textId="352CAC94" w:rsidR="00C15049" w:rsidRPr="005603F9" w:rsidRDefault="00C15049" w:rsidP="005603F9">
      <w:pPr>
        <w:spacing w:before="100" w:beforeAutospacing="1" w:after="100" w:afterAutospacing="1" w:line="288" w:lineRule="auto"/>
        <w:rPr>
          <w:rFonts w:ascii="Calibri" w:hAnsi="Calibri" w:cs="Calibri"/>
          <w:b/>
          <w:bCs/>
        </w:rPr>
      </w:pPr>
      <w:r w:rsidRPr="005603F9">
        <w:rPr>
          <w:rFonts w:ascii="Calibri" w:hAnsi="Calibri" w:cs="Calibri"/>
          <w:b/>
          <w:bCs/>
        </w:rPr>
        <w:t>About SASB</w:t>
      </w:r>
    </w:p>
    <w:p w14:paraId="4F70ABB7" w14:textId="2CA7A481" w:rsidR="00C15049" w:rsidRPr="005603F9" w:rsidRDefault="00D25568" w:rsidP="005603F9">
      <w:pPr>
        <w:spacing w:before="100" w:beforeAutospacing="1" w:after="100" w:afterAutospacing="1" w:line="288" w:lineRule="auto"/>
        <w:rPr>
          <w:rFonts w:ascii="Calibri" w:hAnsi="Calibri" w:cs="Calibri"/>
        </w:rPr>
      </w:pPr>
      <w:r w:rsidRPr="005603F9">
        <w:rPr>
          <w:rFonts w:ascii="Calibri" w:hAnsi="Calibri" w:cs="Calibri"/>
          <w:noProof/>
        </w:rPr>
        <w:drawing>
          <wp:anchor distT="0" distB="0" distL="114300" distR="114300" simplePos="0" relativeHeight="251659264" behindDoc="0" locked="0" layoutInCell="1" allowOverlap="1" wp14:anchorId="3C442736" wp14:editId="4F1F38B5">
            <wp:simplePos x="0" y="0"/>
            <wp:positionH relativeFrom="column">
              <wp:posOffset>0</wp:posOffset>
            </wp:positionH>
            <wp:positionV relativeFrom="paragraph">
              <wp:posOffset>3810</wp:posOffset>
            </wp:positionV>
            <wp:extent cx="914400" cy="97536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400" cy="975360"/>
                    </a:xfrm>
                    <a:prstGeom prst="rect">
                      <a:avLst/>
                    </a:prstGeom>
                    <a:noFill/>
                  </pic:spPr>
                </pic:pic>
              </a:graphicData>
            </a:graphic>
            <wp14:sizeRelH relativeFrom="page">
              <wp14:pctWidth>0</wp14:pctWidth>
            </wp14:sizeRelH>
            <wp14:sizeRelV relativeFrom="page">
              <wp14:pctHeight>0</wp14:pctHeight>
            </wp14:sizeRelV>
          </wp:anchor>
        </w:drawing>
      </w:r>
      <w:r w:rsidR="00C15049" w:rsidRPr="005603F9">
        <w:rPr>
          <w:rFonts w:ascii="Calibri" w:hAnsi="Calibri" w:cs="Calibri"/>
        </w:rPr>
        <w:t>Just as t</w:t>
      </w:r>
      <w:r w:rsidR="000F2C93" w:rsidRPr="005603F9">
        <w:rPr>
          <w:rFonts w:ascii="Calibri" w:hAnsi="Calibri" w:cs="Calibri"/>
        </w:rPr>
        <w:t xml:space="preserve">he International Accounting Standards Board (IASB) and the Financial Accounting Standards Board (FASB) have established International Financial Reporting Standards and Generally Accepted Accounting Principles (GAAP), respectively, </w:t>
      </w:r>
      <w:r w:rsidR="00D92C76" w:rsidRPr="005603F9">
        <w:rPr>
          <w:rFonts w:ascii="Calibri" w:hAnsi="Calibri" w:cs="Calibri"/>
        </w:rPr>
        <w:t>that</w:t>
      </w:r>
      <w:r w:rsidR="000F2C93" w:rsidRPr="005603F9">
        <w:rPr>
          <w:rFonts w:ascii="Calibri" w:hAnsi="Calibri" w:cs="Calibri"/>
        </w:rPr>
        <w:t xml:space="preserve"> are currently used in the financial statements, SASB's stated mission </w:t>
      </w:r>
      <w:r w:rsidR="000F2C93" w:rsidRPr="005603F9">
        <w:rPr>
          <w:rFonts w:ascii="Calibri" w:hAnsi="Calibri" w:cs="Calibri"/>
          <w:bCs/>
        </w:rPr>
        <w:t xml:space="preserve">is to establish industry-specific disclosure standards across </w:t>
      </w:r>
      <w:r w:rsidR="00C15049" w:rsidRPr="005603F9">
        <w:rPr>
          <w:rFonts w:ascii="Calibri" w:hAnsi="Calibri" w:cs="Calibri"/>
          <w:bCs/>
        </w:rPr>
        <w:t xml:space="preserve">material </w:t>
      </w:r>
      <w:r w:rsidR="000F2C93" w:rsidRPr="005603F9">
        <w:rPr>
          <w:rFonts w:ascii="Calibri" w:hAnsi="Calibri" w:cs="Calibri"/>
          <w:bCs/>
        </w:rPr>
        <w:t>ESG topics that facilitate communication between companies and investors about financially material, decision-useful information.</w:t>
      </w:r>
      <w:r w:rsidR="00694680" w:rsidRPr="005603F9">
        <w:rPr>
          <w:rFonts w:ascii="Calibri" w:hAnsi="Calibri" w:cs="Calibri"/>
          <w:bCs/>
        </w:rPr>
        <w:t xml:space="preserve">  Sustainability accounting reflects the management of a corporation’s environmental and social impacts arising from production of goods and services, as well as its management of the environmental and social capitals necessary to create long-term value. It also includes the impacts that</w:t>
      </w:r>
      <w:r w:rsidR="00694680" w:rsidRPr="005603F9">
        <w:rPr>
          <w:rFonts w:ascii="Calibri" w:hAnsi="Calibri" w:cs="Calibri"/>
        </w:rPr>
        <w:t xml:space="preserve"> sustainability challenges have on innovation, business models, and corporate governance</w:t>
      </w:r>
      <w:r w:rsidR="003055D9" w:rsidRPr="005603F9">
        <w:rPr>
          <w:rFonts w:ascii="Calibri" w:hAnsi="Calibri" w:cs="Calibri"/>
        </w:rPr>
        <w:t>,</w:t>
      </w:r>
      <w:r w:rsidR="00694680" w:rsidRPr="005603F9">
        <w:rPr>
          <w:rFonts w:ascii="Calibri" w:hAnsi="Calibri" w:cs="Calibri"/>
        </w:rPr>
        <w:t xml:space="preserve"> and vice versa. </w:t>
      </w:r>
      <w:r w:rsidR="000F2C93" w:rsidRPr="005603F9">
        <w:rPr>
          <w:rFonts w:ascii="Calibri" w:hAnsi="Calibri" w:cs="Calibri"/>
        </w:rPr>
        <w:t xml:space="preserve"> </w:t>
      </w:r>
    </w:p>
    <w:p w14:paraId="12A9B6E5" w14:textId="06DB0862" w:rsidR="00694680" w:rsidRPr="005603F9" w:rsidRDefault="00C15049" w:rsidP="005603F9">
      <w:pPr>
        <w:spacing w:before="100" w:beforeAutospacing="1" w:after="100" w:afterAutospacing="1" w:line="288" w:lineRule="auto"/>
        <w:rPr>
          <w:rFonts w:ascii="Calibri" w:hAnsi="Calibri" w:cs="Calibri"/>
        </w:rPr>
      </w:pPr>
      <w:r w:rsidRPr="005603F9">
        <w:rPr>
          <w:rFonts w:ascii="Calibri" w:hAnsi="Calibri" w:cs="Calibri"/>
        </w:rPr>
        <w:t>SASB standards are used by companies around the world in a variety of disclosure channels, including their annual reports, financial filings, company websites, sustainability reports, and more.</w:t>
      </w:r>
      <w:r w:rsidR="00BA6C4B" w:rsidRPr="005603F9">
        <w:rPr>
          <w:rFonts w:ascii="Calibri" w:hAnsi="Calibri" w:cs="Calibri"/>
        </w:rPr>
        <w:t xml:space="preserve">  </w:t>
      </w:r>
      <w:r w:rsidR="00694680" w:rsidRPr="005603F9">
        <w:rPr>
          <w:rFonts w:ascii="Calibri" w:hAnsi="Calibri" w:cs="Calibri"/>
        </w:rPr>
        <w:t xml:space="preserve">In today’s world, businesses face a unique set of challenges to their long-term sustainability, from climate change and resource constraints to urbanization and technological innovation.  And investors increasingly want to know how these issues impact corporate value creation.  Investor support of SASB comes in many </w:t>
      </w:r>
      <w:r w:rsidR="00694680" w:rsidRPr="005603F9">
        <w:rPr>
          <w:rFonts w:ascii="Calibri" w:hAnsi="Calibri" w:cs="Calibri"/>
        </w:rPr>
        <w:lastRenderedPageBreak/>
        <w:t>forms, including the Investor Advisory Group, the SASB Alliance, and licensing. 170 institutional investors—representing $55T AUM and 19 countries—support SASB and/or use SASB standards to inform their investment decision-making.</w:t>
      </w:r>
    </w:p>
    <w:p w14:paraId="3BB0E4CE" w14:textId="365EA6FB" w:rsidR="00753789" w:rsidRPr="005603F9" w:rsidRDefault="001A5B1D" w:rsidP="005603F9">
      <w:pPr>
        <w:spacing w:before="100" w:beforeAutospacing="1" w:after="100" w:afterAutospacing="1" w:line="288" w:lineRule="auto"/>
        <w:rPr>
          <w:rFonts w:ascii="Calibri" w:hAnsi="Calibri" w:cs="Calibri"/>
        </w:rPr>
      </w:pPr>
      <w:r w:rsidRPr="005603F9">
        <w:rPr>
          <w:rFonts w:ascii="Calibri" w:hAnsi="Calibri" w:cs="Calibri"/>
        </w:rPr>
        <w:t xml:space="preserve">SASB standards have been developed (“codified”) for 77 industry categories in 11 sectors and are now increasingly being used by public companies and investors as important frameworks for enhanced corporate disclosure related to ESG risks and opportunities. </w:t>
      </w:r>
      <w:r w:rsidR="00694680" w:rsidRPr="005603F9">
        <w:rPr>
          <w:rFonts w:ascii="Calibri" w:hAnsi="Calibri" w:cs="Calibri"/>
        </w:rPr>
        <w:t>With SASB standards, companies can benefit from greater transparency, better risk management, improved long-term performance</w:t>
      </w:r>
      <w:r w:rsidR="003055D9" w:rsidRPr="005603F9">
        <w:rPr>
          <w:rFonts w:ascii="Calibri" w:hAnsi="Calibri" w:cs="Calibri"/>
        </w:rPr>
        <w:t>,</w:t>
      </w:r>
      <w:r w:rsidR="00694680" w:rsidRPr="005603F9">
        <w:rPr>
          <w:rFonts w:ascii="Calibri" w:hAnsi="Calibri" w:cs="Calibri"/>
        </w:rPr>
        <w:t xml:space="preserve"> and stronger, more valuable brands — while providing investors a more accurate picture of their sustainability performance. </w:t>
      </w:r>
      <w:r w:rsidRPr="005603F9">
        <w:rPr>
          <w:rFonts w:ascii="Calibri" w:hAnsi="Calibri" w:cs="Calibri"/>
        </w:rPr>
        <w:t xml:space="preserve"> </w:t>
      </w:r>
      <w:r w:rsidR="00BA6C4B" w:rsidRPr="005603F9">
        <w:rPr>
          <w:rFonts w:ascii="Calibri" w:hAnsi="Calibri" w:cs="Calibri"/>
          <w:i/>
        </w:rPr>
        <w:t>Compliance Week</w:t>
      </w:r>
      <w:r w:rsidR="00BA6C4B" w:rsidRPr="005603F9">
        <w:rPr>
          <w:rFonts w:ascii="Calibri" w:hAnsi="Calibri" w:cs="Calibri"/>
        </w:rPr>
        <w:t xml:space="preserve"> notes that “SASB saves companies time and costs by: (a) performing evidence-based research and industry vetting to identify the likely material issues; and (b) identifying metrics that companies can use to disclose performance on these issues.</w:t>
      </w:r>
      <w:r w:rsidR="00D92C76" w:rsidRPr="005603F9">
        <w:rPr>
          <w:rFonts w:ascii="Calibri" w:hAnsi="Calibri" w:cs="Calibri"/>
        </w:rPr>
        <w:t xml:space="preserve"> </w:t>
      </w:r>
      <w:r w:rsidR="00BA6C4B" w:rsidRPr="005603F9">
        <w:rPr>
          <w:rFonts w:ascii="Calibri" w:hAnsi="Calibri" w:cs="Calibri"/>
        </w:rPr>
        <w:t xml:space="preserve"> In researching and developing its standards, SASB identifies the sustainability risks and opportunities for which clear evidence exists that companies in an industry are financially impacted and investors are interested in those impacts.  The effectiveness of SASB's framework was validated by independent research from Harvard Business School.</w:t>
      </w:r>
    </w:p>
    <w:p w14:paraId="6E7FD1BA" w14:textId="77777777" w:rsidR="00694680" w:rsidRDefault="00694680"/>
    <w:p w14:paraId="3209F7F7" w14:textId="2C6FA34A" w:rsidR="00BA6C4B" w:rsidRDefault="00BA6C4B" w:rsidP="001A5B1D">
      <w:pPr>
        <w:jc w:val="center"/>
      </w:pPr>
    </w:p>
    <w:p w14:paraId="0C8BEB3A" w14:textId="77777777" w:rsidR="0023693D" w:rsidRDefault="0023693D" w:rsidP="005603F9"/>
    <w:sectPr w:rsidR="002369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81E"/>
    <w:rsid w:val="00004F86"/>
    <w:rsid w:val="00045362"/>
    <w:rsid w:val="00077A21"/>
    <w:rsid w:val="000C2F86"/>
    <w:rsid w:val="000C68F9"/>
    <w:rsid w:val="000F2C93"/>
    <w:rsid w:val="00176D7A"/>
    <w:rsid w:val="001A5B1D"/>
    <w:rsid w:val="001C6423"/>
    <w:rsid w:val="00201990"/>
    <w:rsid w:val="0023693D"/>
    <w:rsid w:val="00237556"/>
    <w:rsid w:val="002844CD"/>
    <w:rsid w:val="003055D9"/>
    <w:rsid w:val="00480C40"/>
    <w:rsid w:val="005603F9"/>
    <w:rsid w:val="005C041F"/>
    <w:rsid w:val="00690805"/>
    <w:rsid w:val="00694680"/>
    <w:rsid w:val="00753789"/>
    <w:rsid w:val="007C3C80"/>
    <w:rsid w:val="008240EC"/>
    <w:rsid w:val="008471A0"/>
    <w:rsid w:val="0086581E"/>
    <w:rsid w:val="008A06AC"/>
    <w:rsid w:val="008D3F6A"/>
    <w:rsid w:val="00964B76"/>
    <w:rsid w:val="009653D5"/>
    <w:rsid w:val="009F0E4B"/>
    <w:rsid w:val="00A47B6F"/>
    <w:rsid w:val="00A93D94"/>
    <w:rsid w:val="00BA6C4B"/>
    <w:rsid w:val="00BE0C9D"/>
    <w:rsid w:val="00C13109"/>
    <w:rsid w:val="00C15049"/>
    <w:rsid w:val="00CD2961"/>
    <w:rsid w:val="00D25568"/>
    <w:rsid w:val="00D92C76"/>
    <w:rsid w:val="00DB1F77"/>
    <w:rsid w:val="00DC2041"/>
    <w:rsid w:val="00DC2542"/>
    <w:rsid w:val="00DE4E16"/>
    <w:rsid w:val="00E32FB1"/>
    <w:rsid w:val="00EB2AF0"/>
    <w:rsid w:val="00EB3B26"/>
    <w:rsid w:val="00F01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FDC52"/>
  <w15:chartTrackingRefBased/>
  <w15:docId w15:val="{66C4F90F-D9CC-492A-8488-031A7A562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44CD"/>
    <w:rPr>
      <w:color w:val="0563C1" w:themeColor="hyperlink"/>
      <w:u w:val="single"/>
    </w:rPr>
  </w:style>
  <w:style w:type="character" w:styleId="UnresolvedMention">
    <w:name w:val="Unresolved Mention"/>
    <w:basedOn w:val="DefaultParagraphFont"/>
    <w:uiPriority w:val="99"/>
    <w:semiHidden/>
    <w:unhideWhenUsed/>
    <w:rsid w:val="002844CD"/>
    <w:rPr>
      <w:color w:val="605E5C"/>
      <w:shd w:val="clear" w:color="auto" w:fill="E1DFDD"/>
    </w:rPr>
  </w:style>
  <w:style w:type="paragraph" w:styleId="BalloonText">
    <w:name w:val="Balloon Text"/>
    <w:basedOn w:val="Normal"/>
    <w:link w:val="BalloonTextChar"/>
    <w:uiPriority w:val="99"/>
    <w:semiHidden/>
    <w:unhideWhenUsed/>
    <w:rsid w:val="003055D9"/>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055D9"/>
    <w:rPr>
      <w:rFonts w:ascii="Times New Roman" w:hAnsi="Times New Roman" w:cs="Times New Roman"/>
      <w:sz w:val="18"/>
      <w:szCs w:val="18"/>
    </w:rPr>
  </w:style>
  <w:style w:type="paragraph" w:styleId="NormalWeb">
    <w:name w:val="Normal (Web)"/>
    <w:basedOn w:val="Normal"/>
    <w:uiPriority w:val="99"/>
    <w:unhideWhenUsed/>
    <w:rsid w:val="0023693D"/>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23693D"/>
    <w:rPr>
      <w:sz w:val="16"/>
      <w:szCs w:val="16"/>
    </w:rPr>
  </w:style>
  <w:style w:type="paragraph" w:styleId="CommentText">
    <w:name w:val="annotation text"/>
    <w:basedOn w:val="Normal"/>
    <w:link w:val="CommentTextChar"/>
    <w:uiPriority w:val="99"/>
    <w:semiHidden/>
    <w:unhideWhenUsed/>
    <w:rsid w:val="0023693D"/>
    <w:pPr>
      <w:spacing w:line="240" w:lineRule="auto"/>
    </w:pPr>
    <w:rPr>
      <w:sz w:val="20"/>
      <w:szCs w:val="20"/>
    </w:rPr>
  </w:style>
  <w:style w:type="character" w:customStyle="1" w:styleId="CommentTextChar">
    <w:name w:val="Comment Text Char"/>
    <w:basedOn w:val="DefaultParagraphFont"/>
    <w:link w:val="CommentText"/>
    <w:uiPriority w:val="99"/>
    <w:semiHidden/>
    <w:rsid w:val="0023693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prodigii.com/home/" TargetMode="External"/><Relationship Id="rId3" Type="http://schemas.openxmlformats.org/officeDocument/2006/relationships/webSettings" Target="webSettings.xml"/><Relationship Id="rId7" Type="http://schemas.openxmlformats.org/officeDocument/2006/relationships/hyperlink" Target="mailto:info@sasb.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GOProdigii.com" TargetMode="External"/><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3.jpeg"/><Relationship Id="rId4" Type="http://schemas.openxmlformats.org/officeDocument/2006/relationships/image" Target="media/image1.jpg"/><Relationship Id="rId9" Type="http://schemas.openxmlformats.org/officeDocument/2006/relationships/hyperlink" Target="https://www.sasb.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3</Pages>
  <Words>986</Words>
  <Characters>5624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Tasker</dc:creator>
  <cp:keywords/>
  <dc:description/>
  <cp:lastModifiedBy>Andrew</cp:lastModifiedBy>
  <cp:revision>4</cp:revision>
  <cp:lastPrinted>2020-11-30T19:54:00Z</cp:lastPrinted>
  <dcterms:created xsi:type="dcterms:W3CDTF">2020-11-24T21:05:00Z</dcterms:created>
  <dcterms:modified xsi:type="dcterms:W3CDTF">2020-11-30T19:55:00Z</dcterms:modified>
</cp:coreProperties>
</file>