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TaskFriend Technologies Corp D/B/A TaskCause; Company Facts/Stats: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-Office location: 11414 W Park. Pl., STE 202, Milwaukee, WI, 53224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-16,500 users registered since 2014 with TaskFriend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-TaskFriend app shut down October 2019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-TaskCause development starts October 2019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-TaskCause beta app made live early January 2020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-30 users registered with TaskCause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-5 nonprofit 501c3 organizations on-boarded and registered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-12 nonprofits in the pipeline (verbal “yes” but no contracts signed)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-Team: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Sang Nam (Kevin) - Founder/CEO - Full Time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Eric Kasemodel - CTO - Part Time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Daniel Heiniger - Director of Partnerships - Full time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Pavel Vaseanovici - Senior Software Engineer - Full time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Rico Lugod - Senior Software Engineer - Full time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Maria Gaytan - Social Media Manager - Full time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Stan Chibashov - UI/UX &amp; Security - Part time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-Advisors: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Serguei Vassiliev - Software Architecture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Brian Steinhagen - Operations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