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694BF" w14:textId="77777777" w:rsidR="000348DE" w:rsidRPr="00F354C6" w:rsidRDefault="000348DE" w:rsidP="00212DAF">
      <w:pPr>
        <w:widowControl w:val="0"/>
        <w:jc w:val="both"/>
        <w:rPr>
          <w:rFonts w:asciiTheme="majorHAnsi" w:hAnsiTheme="majorHAnsi" w:cstheme="majorHAnsi"/>
          <w:sz w:val="20"/>
          <w:szCs w:val="20"/>
        </w:rPr>
      </w:pPr>
    </w:p>
    <w:p w14:paraId="3395A18B" w14:textId="77777777" w:rsidR="000348DE" w:rsidRPr="00F354C6" w:rsidRDefault="00212DAF" w:rsidP="00212DAF">
      <w:pPr>
        <w:widowControl w:val="0"/>
        <w:spacing w:line="240" w:lineRule="auto"/>
        <w:ind w:right="21"/>
        <w:jc w:val="center"/>
        <w:rPr>
          <w:rFonts w:asciiTheme="majorHAnsi" w:hAnsiTheme="majorHAnsi" w:cstheme="majorHAnsi"/>
          <w:b/>
          <w:sz w:val="20"/>
          <w:szCs w:val="20"/>
        </w:rPr>
      </w:pPr>
      <w:r w:rsidRPr="00F354C6">
        <w:rPr>
          <w:rFonts w:asciiTheme="majorHAnsi" w:hAnsiTheme="majorHAnsi" w:cstheme="majorHAnsi"/>
          <w:b/>
          <w:noProof/>
          <w:sz w:val="20"/>
          <w:szCs w:val="20"/>
        </w:rPr>
        <w:drawing>
          <wp:inline distT="0" distB="0" distL="0" distR="0" wp14:anchorId="216F3121" wp14:editId="565C4C29">
            <wp:extent cx="1918800" cy="1782000"/>
            <wp:effectExtent l="0" t="0" r="5715" b="8890"/>
            <wp:docPr id="177259941" name="Picture 1" descr="A blue griffin with a tail and w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9941" name="Picture 1" descr="A blue griffin with a tail and wing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18800" cy="1782000"/>
                    </a:xfrm>
                    <a:prstGeom prst="rect">
                      <a:avLst/>
                    </a:prstGeom>
                  </pic:spPr>
                </pic:pic>
              </a:graphicData>
            </a:graphic>
          </wp:inline>
        </w:drawing>
      </w:r>
    </w:p>
    <w:p w14:paraId="06060147" w14:textId="77777777" w:rsidR="00212DAF" w:rsidRPr="00F354C6" w:rsidRDefault="00212DAF" w:rsidP="00212DAF">
      <w:pPr>
        <w:widowControl w:val="0"/>
        <w:spacing w:line="240" w:lineRule="auto"/>
        <w:ind w:right="21"/>
        <w:rPr>
          <w:rFonts w:asciiTheme="majorHAnsi" w:hAnsiTheme="majorHAnsi" w:cstheme="majorHAnsi"/>
          <w:b/>
          <w:sz w:val="20"/>
          <w:szCs w:val="20"/>
        </w:rPr>
      </w:pPr>
    </w:p>
    <w:p w14:paraId="678694C1" w14:textId="6E8FE5C9" w:rsidR="00212DAF" w:rsidRPr="00F354C6" w:rsidRDefault="00212DAF" w:rsidP="00212DAF">
      <w:pPr>
        <w:widowControl w:val="0"/>
        <w:spacing w:line="240" w:lineRule="auto"/>
        <w:ind w:right="21"/>
        <w:rPr>
          <w:rFonts w:asciiTheme="majorHAnsi" w:hAnsiTheme="majorHAnsi" w:cstheme="majorHAnsi"/>
          <w:b/>
          <w:sz w:val="20"/>
          <w:szCs w:val="20"/>
        </w:rPr>
        <w:sectPr w:rsidR="00212DAF" w:rsidRPr="00F354C6" w:rsidSect="00742E2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1"/>
          <w:cols w:space="720"/>
        </w:sectPr>
      </w:pPr>
    </w:p>
    <w:p w14:paraId="28136661" w14:textId="5A35C79A" w:rsidR="002A0139" w:rsidRDefault="00F034AB" w:rsidP="002A0139">
      <w:pPr>
        <w:widowControl w:val="0"/>
        <w:spacing w:line="264" w:lineRule="auto"/>
        <w:ind w:right="716"/>
        <w:rPr>
          <w:rFonts w:asciiTheme="majorHAnsi" w:eastAsia="Times New Roman" w:hAnsiTheme="majorHAnsi" w:cstheme="majorHAnsi"/>
          <w:b/>
          <w:color w:val="1D2228"/>
          <w:sz w:val="32"/>
          <w:szCs w:val="32"/>
        </w:rPr>
      </w:pPr>
      <w:r w:rsidRPr="00F034AB">
        <w:rPr>
          <w:rFonts w:asciiTheme="majorHAnsi" w:eastAsia="Times New Roman" w:hAnsiTheme="majorHAnsi" w:cstheme="majorHAnsi"/>
          <w:b/>
          <w:color w:val="1D2228"/>
          <w:sz w:val="32"/>
          <w:szCs w:val="32"/>
        </w:rPr>
        <w:t xml:space="preserve">Gryphon Digital Mining Signs Definitive Agreement for </w:t>
      </w:r>
      <w:r w:rsidR="00CD3F1B">
        <w:rPr>
          <w:rFonts w:asciiTheme="majorHAnsi" w:eastAsia="Times New Roman" w:hAnsiTheme="majorHAnsi" w:cstheme="majorHAnsi"/>
          <w:b/>
          <w:color w:val="1D2228"/>
          <w:sz w:val="32"/>
          <w:szCs w:val="32"/>
        </w:rPr>
        <w:t xml:space="preserve">Natural </w:t>
      </w:r>
      <w:r w:rsidRPr="00F034AB">
        <w:rPr>
          <w:rFonts w:asciiTheme="majorHAnsi" w:eastAsia="Times New Roman" w:hAnsiTheme="majorHAnsi" w:cstheme="majorHAnsi"/>
          <w:b/>
          <w:color w:val="1D2228"/>
          <w:sz w:val="32"/>
          <w:szCs w:val="32"/>
        </w:rPr>
        <w:t>Gas Assets, Securing Low-Cost Power of 100 MW</w:t>
      </w:r>
      <w:r w:rsidR="008D6485">
        <w:rPr>
          <w:rFonts w:asciiTheme="majorHAnsi" w:eastAsia="Times New Roman" w:hAnsiTheme="majorHAnsi" w:cstheme="majorHAnsi"/>
          <w:b/>
          <w:color w:val="1D2228"/>
          <w:sz w:val="32"/>
          <w:szCs w:val="32"/>
        </w:rPr>
        <w:t>, Expandable</w:t>
      </w:r>
      <w:r w:rsidR="005046AE">
        <w:rPr>
          <w:rFonts w:asciiTheme="majorHAnsi" w:eastAsia="Times New Roman" w:hAnsiTheme="majorHAnsi" w:cstheme="majorHAnsi"/>
          <w:b/>
          <w:color w:val="1D2228"/>
          <w:sz w:val="32"/>
          <w:szCs w:val="32"/>
        </w:rPr>
        <w:t xml:space="preserve"> and Scalable</w:t>
      </w:r>
      <w:r w:rsidR="008D6485">
        <w:rPr>
          <w:rFonts w:asciiTheme="majorHAnsi" w:eastAsia="Times New Roman" w:hAnsiTheme="majorHAnsi" w:cstheme="majorHAnsi"/>
          <w:b/>
          <w:color w:val="1D2228"/>
          <w:sz w:val="32"/>
          <w:szCs w:val="32"/>
        </w:rPr>
        <w:t xml:space="preserve"> to 1 GW</w:t>
      </w:r>
    </w:p>
    <w:p w14:paraId="38C8A519" w14:textId="77777777" w:rsidR="00520217" w:rsidRDefault="00520217" w:rsidP="002A0139">
      <w:pPr>
        <w:widowControl w:val="0"/>
        <w:spacing w:line="264" w:lineRule="auto"/>
        <w:ind w:right="716"/>
        <w:rPr>
          <w:rFonts w:asciiTheme="majorHAnsi" w:eastAsia="Times New Roman" w:hAnsiTheme="majorHAnsi" w:cstheme="majorHAnsi"/>
          <w:b/>
          <w:color w:val="1D2228"/>
          <w:sz w:val="32"/>
          <w:szCs w:val="32"/>
        </w:rPr>
      </w:pPr>
    </w:p>
    <w:p w14:paraId="16D72E33" w14:textId="4D288D17" w:rsidR="00520217" w:rsidRPr="00520217" w:rsidRDefault="00E779CB" w:rsidP="002A0139">
      <w:pPr>
        <w:widowControl w:val="0"/>
        <w:spacing w:line="264" w:lineRule="auto"/>
        <w:ind w:right="716"/>
        <w:rPr>
          <w:rFonts w:asciiTheme="majorHAnsi" w:eastAsia="Times New Roman" w:hAnsiTheme="majorHAnsi" w:cstheme="majorHAnsi"/>
          <w:i/>
          <w:iCs/>
          <w:color w:val="374151"/>
          <w:sz w:val="20"/>
          <w:szCs w:val="20"/>
          <w:lang w:val="en-CA" w:eastAsia="en-CA"/>
        </w:rPr>
      </w:pPr>
      <w:r>
        <w:rPr>
          <w:rFonts w:asciiTheme="majorHAnsi" w:eastAsia="Times New Roman" w:hAnsiTheme="majorHAnsi" w:cstheme="majorHAnsi"/>
          <w:i/>
          <w:iCs/>
          <w:color w:val="374151"/>
          <w:sz w:val="20"/>
          <w:szCs w:val="20"/>
          <w:lang w:val="en-CA" w:eastAsia="en-CA"/>
        </w:rPr>
        <w:t>Pending a</w:t>
      </w:r>
      <w:r w:rsidR="00520217" w:rsidRPr="00520217">
        <w:rPr>
          <w:rFonts w:asciiTheme="majorHAnsi" w:eastAsia="Times New Roman" w:hAnsiTheme="majorHAnsi" w:cstheme="majorHAnsi"/>
          <w:i/>
          <w:iCs/>
          <w:color w:val="374151"/>
          <w:sz w:val="20"/>
          <w:szCs w:val="20"/>
          <w:lang w:val="en-CA" w:eastAsia="en-CA"/>
        </w:rPr>
        <w:t>cquisition</w:t>
      </w:r>
      <w:r>
        <w:rPr>
          <w:rFonts w:asciiTheme="majorHAnsi" w:eastAsia="Times New Roman" w:hAnsiTheme="majorHAnsi" w:cstheme="majorHAnsi"/>
          <w:i/>
          <w:iCs/>
          <w:color w:val="374151"/>
          <w:sz w:val="20"/>
          <w:szCs w:val="20"/>
          <w:lang w:val="en-CA" w:eastAsia="en-CA"/>
        </w:rPr>
        <w:t xml:space="preserve"> is expected to</w:t>
      </w:r>
      <w:r w:rsidR="00520217" w:rsidRPr="00520217">
        <w:rPr>
          <w:rFonts w:asciiTheme="majorHAnsi" w:eastAsia="Times New Roman" w:hAnsiTheme="majorHAnsi" w:cstheme="majorHAnsi"/>
          <w:i/>
          <w:iCs/>
          <w:color w:val="374151"/>
          <w:sz w:val="20"/>
          <w:szCs w:val="20"/>
          <w:lang w:val="en-CA" w:eastAsia="en-CA"/>
        </w:rPr>
        <w:t xml:space="preserve"> deliver: </w:t>
      </w:r>
    </w:p>
    <w:p w14:paraId="637A2B52" w14:textId="46B1A351" w:rsidR="00520217" w:rsidRPr="00520217" w:rsidRDefault="00C1274A" w:rsidP="00520217">
      <w:pPr>
        <w:pStyle w:val="ListParagraph"/>
        <w:widowControl w:val="0"/>
        <w:numPr>
          <w:ilvl w:val="0"/>
          <w:numId w:val="6"/>
        </w:numPr>
        <w:spacing w:line="264" w:lineRule="auto"/>
        <w:ind w:right="716"/>
        <w:rPr>
          <w:rFonts w:asciiTheme="majorHAnsi" w:eastAsia="Times New Roman" w:hAnsiTheme="majorHAnsi" w:cstheme="majorHAnsi"/>
          <w:i/>
          <w:iCs/>
          <w:color w:val="374151"/>
          <w:sz w:val="20"/>
          <w:szCs w:val="20"/>
          <w:lang w:val="en-CA" w:eastAsia="en-CA"/>
        </w:rPr>
      </w:pPr>
      <w:r>
        <w:rPr>
          <w:rFonts w:asciiTheme="majorHAnsi" w:eastAsia="Times New Roman" w:hAnsiTheme="majorHAnsi" w:cstheme="majorHAnsi"/>
          <w:i/>
          <w:iCs/>
          <w:color w:val="374151"/>
          <w:sz w:val="20"/>
          <w:szCs w:val="20"/>
          <w:lang w:val="en-CA" w:eastAsia="en-CA"/>
        </w:rPr>
        <w:t>Natural gas asset in Canada with</w:t>
      </w:r>
      <w:r w:rsidR="00520217" w:rsidRPr="00520217">
        <w:rPr>
          <w:rFonts w:asciiTheme="majorHAnsi" w:eastAsia="Times New Roman" w:hAnsiTheme="majorHAnsi" w:cstheme="majorHAnsi"/>
          <w:i/>
          <w:iCs/>
          <w:color w:val="374151"/>
          <w:sz w:val="20"/>
          <w:szCs w:val="20"/>
          <w:lang w:val="en-CA" w:eastAsia="en-CA"/>
        </w:rPr>
        <w:t xml:space="preserve"> 5+ </w:t>
      </w:r>
      <w:proofErr w:type="spellStart"/>
      <w:r w:rsidR="00520217" w:rsidRPr="00520217">
        <w:rPr>
          <w:rFonts w:asciiTheme="majorHAnsi" w:eastAsia="Times New Roman" w:hAnsiTheme="majorHAnsi" w:cstheme="majorHAnsi"/>
          <w:i/>
          <w:iCs/>
          <w:color w:val="374151"/>
          <w:sz w:val="20"/>
          <w:szCs w:val="20"/>
          <w:lang w:val="en-CA" w:eastAsia="en-CA"/>
        </w:rPr>
        <w:t>Tcf</w:t>
      </w:r>
      <w:proofErr w:type="spellEnd"/>
      <w:r w:rsidR="00520217" w:rsidRPr="00520217">
        <w:rPr>
          <w:rFonts w:asciiTheme="majorHAnsi" w:eastAsia="Times New Roman" w:hAnsiTheme="majorHAnsi" w:cstheme="majorHAnsi"/>
          <w:i/>
          <w:iCs/>
          <w:color w:val="374151"/>
          <w:sz w:val="20"/>
          <w:szCs w:val="20"/>
          <w:lang w:val="en-CA" w:eastAsia="en-CA"/>
        </w:rPr>
        <w:t xml:space="preserve"> of contingent resource</w:t>
      </w:r>
    </w:p>
    <w:p w14:paraId="535AFE42" w14:textId="3A48D276" w:rsidR="008D6485" w:rsidRDefault="008D6485" w:rsidP="00520217">
      <w:pPr>
        <w:pStyle w:val="ListParagraph"/>
        <w:widowControl w:val="0"/>
        <w:numPr>
          <w:ilvl w:val="0"/>
          <w:numId w:val="6"/>
        </w:numPr>
        <w:spacing w:line="264" w:lineRule="auto"/>
        <w:ind w:right="716"/>
        <w:rPr>
          <w:rFonts w:asciiTheme="majorHAnsi" w:eastAsia="Times New Roman" w:hAnsiTheme="majorHAnsi" w:cstheme="majorHAnsi"/>
          <w:i/>
          <w:iCs/>
          <w:color w:val="374151"/>
          <w:sz w:val="20"/>
          <w:szCs w:val="20"/>
          <w:lang w:val="en-CA" w:eastAsia="en-CA"/>
        </w:rPr>
      </w:pPr>
      <w:r>
        <w:rPr>
          <w:rFonts w:asciiTheme="majorHAnsi" w:eastAsia="Times New Roman" w:hAnsiTheme="majorHAnsi" w:cstheme="majorHAnsi"/>
          <w:i/>
          <w:iCs/>
          <w:color w:val="374151"/>
          <w:sz w:val="20"/>
          <w:szCs w:val="20"/>
          <w:lang w:val="en-CA" w:eastAsia="en-CA"/>
        </w:rPr>
        <w:t>Phase 1</w:t>
      </w:r>
      <w:r w:rsidR="00520217" w:rsidRPr="00520217">
        <w:rPr>
          <w:rFonts w:asciiTheme="majorHAnsi" w:eastAsia="Times New Roman" w:hAnsiTheme="majorHAnsi" w:cstheme="majorHAnsi"/>
          <w:i/>
          <w:iCs/>
          <w:color w:val="374151"/>
          <w:sz w:val="20"/>
          <w:szCs w:val="20"/>
          <w:lang w:val="en-CA" w:eastAsia="en-CA"/>
        </w:rPr>
        <w:t xml:space="preserve"> </w:t>
      </w:r>
      <w:r>
        <w:rPr>
          <w:rFonts w:asciiTheme="majorHAnsi" w:eastAsia="Times New Roman" w:hAnsiTheme="majorHAnsi" w:cstheme="majorHAnsi"/>
          <w:i/>
          <w:iCs/>
          <w:color w:val="374151"/>
          <w:sz w:val="20"/>
          <w:szCs w:val="20"/>
          <w:lang w:val="en-CA" w:eastAsia="en-CA"/>
        </w:rPr>
        <w:t xml:space="preserve">power generation of </w:t>
      </w:r>
      <w:r w:rsidR="00520217" w:rsidRPr="00520217">
        <w:rPr>
          <w:rFonts w:asciiTheme="majorHAnsi" w:eastAsia="Times New Roman" w:hAnsiTheme="majorHAnsi" w:cstheme="majorHAnsi"/>
          <w:i/>
          <w:iCs/>
          <w:color w:val="374151"/>
          <w:sz w:val="20"/>
          <w:szCs w:val="20"/>
          <w:lang w:val="en-CA" w:eastAsia="en-CA"/>
        </w:rPr>
        <w:t>100 M</w:t>
      </w:r>
      <w:r>
        <w:rPr>
          <w:rFonts w:asciiTheme="majorHAnsi" w:eastAsia="Times New Roman" w:hAnsiTheme="majorHAnsi" w:cstheme="majorHAnsi"/>
          <w:i/>
          <w:iCs/>
          <w:color w:val="374151"/>
          <w:sz w:val="20"/>
          <w:szCs w:val="20"/>
          <w:lang w:val="en-CA" w:eastAsia="en-CA"/>
        </w:rPr>
        <w:t xml:space="preserve">W </w:t>
      </w:r>
      <w:r w:rsidR="00520217" w:rsidRPr="00520217">
        <w:rPr>
          <w:rFonts w:asciiTheme="majorHAnsi" w:eastAsia="Times New Roman" w:hAnsiTheme="majorHAnsi" w:cstheme="majorHAnsi"/>
          <w:i/>
          <w:iCs/>
          <w:color w:val="374151"/>
          <w:sz w:val="20"/>
          <w:szCs w:val="20"/>
          <w:lang w:val="en-CA" w:eastAsia="en-CA"/>
        </w:rPr>
        <w:t>with expansion potential</w:t>
      </w:r>
      <w:r>
        <w:rPr>
          <w:rFonts w:asciiTheme="majorHAnsi" w:eastAsia="Times New Roman" w:hAnsiTheme="majorHAnsi" w:cstheme="majorHAnsi"/>
          <w:i/>
          <w:iCs/>
          <w:color w:val="374151"/>
          <w:sz w:val="20"/>
          <w:szCs w:val="20"/>
          <w:lang w:val="en-CA" w:eastAsia="en-CA"/>
        </w:rPr>
        <w:t xml:space="preserve"> up to 1 GW</w:t>
      </w:r>
    </w:p>
    <w:p w14:paraId="4ABF359B" w14:textId="1126B8A3" w:rsidR="008D6485" w:rsidRDefault="00E779CB" w:rsidP="008D6485">
      <w:pPr>
        <w:pStyle w:val="ListParagraph"/>
        <w:widowControl w:val="0"/>
        <w:numPr>
          <w:ilvl w:val="0"/>
          <w:numId w:val="6"/>
        </w:numPr>
        <w:spacing w:line="264" w:lineRule="auto"/>
        <w:ind w:right="716"/>
        <w:rPr>
          <w:rFonts w:asciiTheme="majorHAnsi" w:eastAsia="Times New Roman" w:hAnsiTheme="majorHAnsi" w:cstheme="majorHAnsi"/>
          <w:i/>
          <w:iCs/>
          <w:color w:val="374151"/>
          <w:sz w:val="20"/>
          <w:szCs w:val="20"/>
          <w:lang w:val="en-CA" w:eastAsia="en-CA"/>
        </w:rPr>
      </w:pPr>
      <w:r>
        <w:rPr>
          <w:rFonts w:asciiTheme="majorHAnsi" w:eastAsia="Times New Roman" w:hAnsiTheme="majorHAnsi" w:cstheme="majorHAnsi"/>
          <w:i/>
          <w:iCs/>
          <w:color w:val="374151"/>
          <w:sz w:val="20"/>
          <w:szCs w:val="20"/>
          <w:lang w:val="en-CA" w:eastAsia="en-CA"/>
        </w:rPr>
        <w:t>A</w:t>
      </w:r>
      <w:r w:rsidR="008D6485">
        <w:rPr>
          <w:rFonts w:asciiTheme="majorHAnsi" w:eastAsia="Times New Roman" w:hAnsiTheme="majorHAnsi" w:cstheme="majorHAnsi"/>
          <w:i/>
          <w:iCs/>
          <w:color w:val="374151"/>
          <w:sz w:val="20"/>
          <w:szCs w:val="20"/>
          <w:lang w:val="en-CA" w:eastAsia="en-CA"/>
        </w:rPr>
        <w:t xml:space="preserve">ll in energy costs </w:t>
      </w:r>
      <w:r w:rsidR="00C009D5">
        <w:rPr>
          <w:rFonts w:asciiTheme="majorHAnsi" w:eastAsia="Times New Roman" w:hAnsiTheme="majorHAnsi" w:cstheme="majorHAnsi"/>
          <w:i/>
          <w:iCs/>
          <w:color w:val="374151"/>
          <w:sz w:val="20"/>
          <w:szCs w:val="20"/>
          <w:lang w:val="en-CA" w:eastAsia="en-CA"/>
        </w:rPr>
        <w:t>of</w:t>
      </w:r>
      <w:r w:rsidR="008D6485">
        <w:rPr>
          <w:rFonts w:asciiTheme="majorHAnsi" w:eastAsia="Times New Roman" w:hAnsiTheme="majorHAnsi" w:cstheme="majorHAnsi"/>
          <w:i/>
          <w:iCs/>
          <w:color w:val="374151"/>
          <w:sz w:val="20"/>
          <w:szCs w:val="20"/>
          <w:lang w:val="en-CA" w:eastAsia="en-CA"/>
        </w:rPr>
        <w:t xml:space="preserve"> less than $0.03/KWH</w:t>
      </w:r>
    </w:p>
    <w:p w14:paraId="3015F1DA" w14:textId="77777777" w:rsidR="00F034AB" w:rsidRPr="00E2081F" w:rsidRDefault="00F034AB" w:rsidP="00C1274A">
      <w:pPr>
        <w:pStyle w:val="ListParagraph"/>
        <w:widowControl w:val="0"/>
        <w:spacing w:line="264" w:lineRule="auto"/>
        <w:ind w:right="716"/>
        <w:rPr>
          <w:b/>
          <w:color w:val="1D2228"/>
          <w:sz w:val="24"/>
          <w:szCs w:val="24"/>
        </w:rPr>
      </w:pPr>
    </w:p>
    <w:p w14:paraId="29A78CDC" w14:textId="7FE7F597" w:rsidR="00E0453F" w:rsidRDefault="00C16185" w:rsidP="00E0453F">
      <w:pPr>
        <w:pStyle w:val="NormalWeb"/>
        <w:spacing w:before="0" w:beforeAutospacing="0" w:after="0" w:afterAutospacing="0"/>
        <w:jc w:val="both"/>
        <w:rPr>
          <w:rFonts w:asciiTheme="majorHAnsi" w:hAnsiTheme="majorHAnsi" w:cstheme="majorHAnsi"/>
          <w:color w:val="374151"/>
          <w:sz w:val="20"/>
          <w:szCs w:val="20"/>
        </w:rPr>
      </w:pPr>
      <w:r w:rsidRPr="00F354C6">
        <w:rPr>
          <w:rFonts w:asciiTheme="majorHAnsi" w:hAnsiTheme="majorHAnsi" w:cstheme="majorHAnsi"/>
          <w:b/>
          <w:sz w:val="20"/>
          <w:szCs w:val="20"/>
        </w:rPr>
        <w:t xml:space="preserve">Las Vegas, NV — </w:t>
      </w:r>
      <w:r w:rsidR="00C61BCB">
        <w:rPr>
          <w:rFonts w:asciiTheme="majorHAnsi" w:hAnsiTheme="majorHAnsi" w:cstheme="majorHAnsi"/>
          <w:b/>
          <w:sz w:val="20"/>
          <w:szCs w:val="20"/>
        </w:rPr>
        <w:t>December</w:t>
      </w:r>
      <w:r w:rsidRPr="00F354C6">
        <w:rPr>
          <w:rFonts w:asciiTheme="majorHAnsi" w:hAnsiTheme="majorHAnsi" w:cstheme="majorHAnsi"/>
          <w:b/>
          <w:sz w:val="20"/>
          <w:szCs w:val="20"/>
        </w:rPr>
        <w:t xml:space="preserve"> </w:t>
      </w:r>
      <w:r w:rsidR="00B60106">
        <w:rPr>
          <w:rFonts w:asciiTheme="majorHAnsi" w:hAnsiTheme="majorHAnsi" w:cstheme="majorHAnsi"/>
          <w:b/>
          <w:sz w:val="20"/>
          <w:szCs w:val="20"/>
        </w:rPr>
        <w:t>XX</w:t>
      </w:r>
      <w:r w:rsidRPr="00F354C6">
        <w:rPr>
          <w:rFonts w:asciiTheme="majorHAnsi" w:hAnsiTheme="majorHAnsi" w:cstheme="majorHAnsi"/>
          <w:b/>
          <w:sz w:val="20"/>
          <w:szCs w:val="20"/>
        </w:rPr>
        <w:t>, 202</w:t>
      </w:r>
      <w:r w:rsidR="00355436" w:rsidRPr="00F354C6">
        <w:rPr>
          <w:rFonts w:asciiTheme="majorHAnsi" w:hAnsiTheme="majorHAnsi" w:cstheme="majorHAnsi"/>
          <w:b/>
          <w:sz w:val="20"/>
          <w:szCs w:val="20"/>
        </w:rPr>
        <w:t xml:space="preserve">4 </w:t>
      </w:r>
      <w:r w:rsidRPr="00F354C6">
        <w:rPr>
          <w:rFonts w:asciiTheme="majorHAnsi" w:hAnsiTheme="majorHAnsi" w:cstheme="majorHAnsi"/>
          <w:b/>
          <w:sz w:val="20"/>
          <w:szCs w:val="20"/>
        </w:rPr>
        <w:t xml:space="preserve">-- </w:t>
      </w:r>
      <w:hyperlink r:id="rId16" w:history="1">
        <w:r w:rsidRPr="00F354C6">
          <w:rPr>
            <w:rStyle w:val="Hyperlink"/>
            <w:rFonts w:asciiTheme="majorHAnsi" w:hAnsiTheme="majorHAnsi" w:cstheme="majorHAnsi"/>
            <w:sz w:val="20"/>
            <w:szCs w:val="20"/>
          </w:rPr>
          <w:t>Gryphon Digital Mining</w:t>
        </w:r>
      </w:hyperlink>
      <w:r w:rsidR="00264C1F">
        <w:rPr>
          <w:rStyle w:val="Hyperlink"/>
          <w:rFonts w:asciiTheme="majorHAnsi" w:hAnsiTheme="majorHAnsi" w:cstheme="majorHAnsi"/>
          <w:sz w:val="20"/>
          <w:szCs w:val="20"/>
        </w:rPr>
        <w:t>,</w:t>
      </w:r>
      <w:r w:rsidR="00A924C5">
        <w:rPr>
          <w:rStyle w:val="Hyperlink"/>
          <w:rFonts w:asciiTheme="majorHAnsi" w:hAnsiTheme="majorHAnsi" w:cstheme="majorHAnsi"/>
          <w:sz w:val="20"/>
          <w:szCs w:val="20"/>
        </w:rPr>
        <w:t xml:space="preserve"> Inc.</w:t>
      </w:r>
      <w:r w:rsidR="00264C1F">
        <w:rPr>
          <w:rStyle w:val="Hyperlink"/>
          <w:rFonts w:asciiTheme="majorHAnsi" w:hAnsiTheme="majorHAnsi" w:cstheme="majorHAnsi"/>
          <w:sz w:val="20"/>
          <w:szCs w:val="20"/>
        </w:rPr>
        <w:t xml:space="preserve"> (Nasdaq: GRYP) </w:t>
      </w:r>
      <w:r w:rsidRPr="00F354C6">
        <w:rPr>
          <w:rFonts w:asciiTheme="majorHAnsi" w:hAnsiTheme="majorHAnsi" w:cstheme="majorHAnsi"/>
          <w:color w:val="374151"/>
          <w:sz w:val="20"/>
          <w:szCs w:val="20"/>
        </w:rPr>
        <w:t xml:space="preserve">(“Gryphon” or the “Company”), </w:t>
      </w:r>
      <w:r w:rsidR="002A0139" w:rsidRPr="002A0139">
        <w:rPr>
          <w:rFonts w:asciiTheme="majorHAnsi" w:hAnsiTheme="majorHAnsi" w:cstheme="majorHAnsi"/>
          <w:color w:val="374151"/>
          <w:sz w:val="20"/>
          <w:szCs w:val="20"/>
        </w:rPr>
        <w:t>an innovative venture in the bitcoin and AI space dedicated to helping bring digital assets to the market</w:t>
      </w:r>
      <w:r w:rsidR="00A924C5">
        <w:rPr>
          <w:rFonts w:asciiTheme="majorHAnsi" w:hAnsiTheme="majorHAnsi" w:cstheme="majorHAnsi"/>
          <w:color w:val="374151"/>
          <w:sz w:val="20"/>
          <w:szCs w:val="20"/>
        </w:rPr>
        <w:t xml:space="preserve">, </w:t>
      </w:r>
      <w:r w:rsidR="00E0453F" w:rsidRPr="00E0453F">
        <w:rPr>
          <w:rFonts w:asciiTheme="majorHAnsi" w:hAnsiTheme="majorHAnsi" w:cstheme="majorHAnsi"/>
          <w:color w:val="374151"/>
          <w:sz w:val="20"/>
          <w:szCs w:val="20"/>
        </w:rPr>
        <w:t xml:space="preserve">announced today </w:t>
      </w:r>
      <w:r w:rsidR="00FA5548">
        <w:rPr>
          <w:rFonts w:asciiTheme="majorHAnsi" w:hAnsiTheme="majorHAnsi" w:cstheme="majorHAnsi"/>
          <w:color w:val="374151"/>
          <w:sz w:val="20"/>
          <w:szCs w:val="20"/>
        </w:rPr>
        <w:t xml:space="preserve">that </w:t>
      </w:r>
      <w:r w:rsidR="00E0453F" w:rsidRPr="00E0453F">
        <w:rPr>
          <w:rFonts w:asciiTheme="majorHAnsi" w:hAnsiTheme="majorHAnsi" w:cstheme="majorHAnsi"/>
          <w:color w:val="374151"/>
          <w:sz w:val="20"/>
          <w:szCs w:val="20"/>
        </w:rPr>
        <w:t xml:space="preserve">it has entered into a definitive </w:t>
      </w:r>
      <w:r w:rsidR="00E0453F">
        <w:rPr>
          <w:rFonts w:asciiTheme="majorHAnsi" w:hAnsiTheme="majorHAnsi" w:cstheme="majorHAnsi"/>
          <w:color w:val="374151"/>
          <w:sz w:val="20"/>
          <w:szCs w:val="20"/>
        </w:rPr>
        <w:t>agreement</w:t>
      </w:r>
      <w:r w:rsidR="005F312B">
        <w:rPr>
          <w:rFonts w:asciiTheme="majorHAnsi" w:hAnsiTheme="majorHAnsi" w:cstheme="majorHAnsi"/>
          <w:color w:val="374151"/>
          <w:sz w:val="20"/>
          <w:szCs w:val="20"/>
        </w:rPr>
        <w:t xml:space="preserve"> with </w:t>
      </w:r>
      <w:r w:rsidR="00E779CB">
        <w:rPr>
          <w:rFonts w:asciiTheme="majorHAnsi" w:hAnsiTheme="majorHAnsi" w:cstheme="majorHAnsi"/>
          <w:color w:val="374151"/>
          <w:sz w:val="20"/>
          <w:szCs w:val="20"/>
        </w:rPr>
        <w:t xml:space="preserve">Erikson National Energy </w:t>
      </w:r>
      <w:r w:rsidR="0021393E">
        <w:rPr>
          <w:rFonts w:asciiTheme="majorHAnsi" w:hAnsiTheme="majorHAnsi" w:cstheme="majorHAnsi"/>
          <w:color w:val="374151"/>
          <w:sz w:val="20"/>
          <w:szCs w:val="20"/>
        </w:rPr>
        <w:t>Inc.</w:t>
      </w:r>
      <w:r w:rsidR="00FA5548">
        <w:rPr>
          <w:rFonts w:asciiTheme="majorHAnsi" w:hAnsiTheme="majorHAnsi" w:cstheme="majorHAnsi"/>
          <w:color w:val="374151"/>
          <w:sz w:val="20"/>
          <w:szCs w:val="20"/>
        </w:rPr>
        <w:t xml:space="preserve"> </w:t>
      </w:r>
      <w:r w:rsidR="00E0453F" w:rsidRPr="00E0453F">
        <w:rPr>
          <w:rFonts w:asciiTheme="majorHAnsi" w:hAnsiTheme="majorHAnsi" w:cstheme="majorHAnsi"/>
          <w:color w:val="374151"/>
          <w:sz w:val="20"/>
          <w:szCs w:val="20"/>
        </w:rPr>
        <w:t>to acquire natural gas assets</w:t>
      </w:r>
      <w:r w:rsidR="00E779CB">
        <w:rPr>
          <w:rFonts w:asciiTheme="majorHAnsi" w:hAnsiTheme="majorHAnsi" w:cstheme="majorHAnsi"/>
          <w:color w:val="374151"/>
          <w:sz w:val="20"/>
          <w:szCs w:val="20"/>
        </w:rPr>
        <w:t xml:space="preserve"> </w:t>
      </w:r>
      <w:r w:rsidR="0021393E">
        <w:rPr>
          <w:rFonts w:asciiTheme="majorHAnsi" w:hAnsiTheme="majorHAnsi" w:cstheme="majorHAnsi"/>
          <w:color w:val="374151"/>
          <w:sz w:val="20"/>
          <w:szCs w:val="20"/>
        </w:rPr>
        <w:t xml:space="preserve">located </w:t>
      </w:r>
      <w:r w:rsidR="00E0453F" w:rsidRPr="00E0453F">
        <w:rPr>
          <w:rFonts w:asciiTheme="majorHAnsi" w:hAnsiTheme="majorHAnsi" w:cstheme="majorHAnsi"/>
          <w:color w:val="374151"/>
          <w:sz w:val="20"/>
          <w:szCs w:val="20"/>
        </w:rPr>
        <w:t>in Northeast British Columbia, Canada</w:t>
      </w:r>
      <w:r w:rsidR="00FA5548">
        <w:rPr>
          <w:rFonts w:asciiTheme="majorHAnsi" w:hAnsiTheme="majorHAnsi" w:cstheme="majorHAnsi"/>
          <w:color w:val="374151"/>
          <w:sz w:val="20"/>
          <w:szCs w:val="20"/>
        </w:rPr>
        <w:t xml:space="preserve">.  </w:t>
      </w:r>
      <w:r w:rsidR="00E0453F" w:rsidRPr="00E0453F">
        <w:rPr>
          <w:rFonts w:asciiTheme="majorHAnsi" w:hAnsiTheme="majorHAnsi" w:cstheme="majorHAnsi"/>
          <w:color w:val="374151"/>
          <w:sz w:val="20"/>
          <w:szCs w:val="20"/>
        </w:rPr>
        <w:t>T</w:t>
      </w:r>
      <w:r w:rsidR="007C74E9">
        <w:rPr>
          <w:rFonts w:asciiTheme="majorHAnsi" w:hAnsiTheme="majorHAnsi" w:cstheme="majorHAnsi"/>
          <w:color w:val="374151"/>
          <w:sz w:val="20"/>
          <w:szCs w:val="20"/>
        </w:rPr>
        <w:t>h</w:t>
      </w:r>
      <w:r w:rsidR="00E779CB">
        <w:rPr>
          <w:rFonts w:asciiTheme="majorHAnsi" w:hAnsiTheme="majorHAnsi" w:cstheme="majorHAnsi"/>
          <w:color w:val="374151"/>
          <w:sz w:val="20"/>
          <w:szCs w:val="20"/>
        </w:rPr>
        <w:t>e signing</w:t>
      </w:r>
      <w:r w:rsidR="00E0453F" w:rsidRPr="00E0453F">
        <w:rPr>
          <w:rFonts w:asciiTheme="majorHAnsi" w:hAnsiTheme="majorHAnsi" w:cstheme="majorHAnsi"/>
          <w:color w:val="374151"/>
          <w:sz w:val="20"/>
          <w:szCs w:val="20"/>
        </w:rPr>
        <w:t xml:space="preserve"> represents a crucial</w:t>
      </w:r>
      <w:r w:rsidR="00E779CB">
        <w:rPr>
          <w:rFonts w:asciiTheme="majorHAnsi" w:hAnsiTheme="majorHAnsi" w:cstheme="majorHAnsi"/>
          <w:color w:val="374151"/>
          <w:sz w:val="20"/>
          <w:szCs w:val="20"/>
        </w:rPr>
        <w:t xml:space="preserve"> and first</w:t>
      </w:r>
      <w:r w:rsidR="00E0453F" w:rsidRPr="00E0453F">
        <w:rPr>
          <w:rFonts w:asciiTheme="majorHAnsi" w:hAnsiTheme="majorHAnsi" w:cstheme="majorHAnsi"/>
          <w:color w:val="374151"/>
          <w:sz w:val="20"/>
          <w:szCs w:val="20"/>
        </w:rPr>
        <w:t xml:space="preserve"> step</w:t>
      </w:r>
      <w:r w:rsidR="00E779CB">
        <w:rPr>
          <w:rFonts w:asciiTheme="majorHAnsi" w:hAnsiTheme="majorHAnsi" w:cstheme="majorHAnsi"/>
          <w:color w:val="374151"/>
          <w:sz w:val="20"/>
          <w:szCs w:val="20"/>
        </w:rPr>
        <w:t xml:space="preserve"> for the Company</w:t>
      </w:r>
      <w:r w:rsidR="00E0453F" w:rsidRPr="00E0453F">
        <w:rPr>
          <w:rFonts w:asciiTheme="majorHAnsi" w:hAnsiTheme="majorHAnsi" w:cstheme="majorHAnsi"/>
          <w:color w:val="374151"/>
          <w:sz w:val="20"/>
          <w:szCs w:val="20"/>
        </w:rPr>
        <w:t xml:space="preserve"> in securing long-term competitive advantages in bitcoin mining </w:t>
      </w:r>
      <w:r w:rsidR="00E0453F">
        <w:rPr>
          <w:rFonts w:asciiTheme="majorHAnsi" w:hAnsiTheme="majorHAnsi" w:cstheme="majorHAnsi"/>
          <w:color w:val="374151"/>
          <w:sz w:val="20"/>
          <w:szCs w:val="20"/>
        </w:rPr>
        <w:t>and AI operations</w:t>
      </w:r>
      <w:r w:rsidR="008D6485">
        <w:rPr>
          <w:rFonts w:asciiTheme="majorHAnsi" w:hAnsiTheme="majorHAnsi" w:cstheme="majorHAnsi"/>
          <w:color w:val="374151"/>
          <w:sz w:val="20"/>
          <w:szCs w:val="20"/>
        </w:rPr>
        <w:t xml:space="preserve"> by acquiring</w:t>
      </w:r>
      <w:r w:rsidR="00E779CB">
        <w:rPr>
          <w:rFonts w:asciiTheme="majorHAnsi" w:hAnsiTheme="majorHAnsi" w:cstheme="majorHAnsi"/>
          <w:color w:val="374151"/>
          <w:sz w:val="20"/>
          <w:szCs w:val="20"/>
        </w:rPr>
        <w:t xml:space="preserve"> significant</w:t>
      </w:r>
      <w:r w:rsidR="00DB7B8A">
        <w:rPr>
          <w:rFonts w:asciiTheme="majorHAnsi" w:hAnsiTheme="majorHAnsi" w:cstheme="majorHAnsi"/>
          <w:color w:val="374151"/>
          <w:sz w:val="20"/>
          <w:szCs w:val="20"/>
        </w:rPr>
        <w:t xml:space="preserve"> </w:t>
      </w:r>
      <w:r w:rsidR="008D6485">
        <w:rPr>
          <w:rFonts w:asciiTheme="majorHAnsi" w:hAnsiTheme="majorHAnsi" w:cstheme="majorHAnsi"/>
          <w:color w:val="374151"/>
          <w:sz w:val="20"/>
          <w:szCs w:val="20"/>
        </w:rPr>
        <w:t>power-</w:t>
      </w:r>
      <w:r w:rsidR="00E0453F" w:rsidRPr="00E0453F">
        <w:rPr>
          <w:rFonts w:asciiTheme="majorHAnsi" w:hAnsiTheme="majorHAnsi" w:cstheme="majorHAnsi"/>
          <w:color w:val="374151"/>
          <w:sz w:val="20"/>
          <w:szCs w:val="20"/>
        </w:rPr>
        <w:t>generati</w:t>
      </w:r>
      <w:r w:rsidR="008D6485">
        <w:rPr>
          <w:rFonts w:asciiTheme="majorHAnsi" w:hAnsiTheme="majorHAnsi" w:cstheme="majorHAnsi"/>
          <w:color w:val="374151"/>
          <w:sz w:val="20"/>
          <w:szCs w:val="20"/>
        </w:rPr>
        <w:t>ng assets</w:t>
      </w:r>
      <w:r w:rsidR="00E0453F" w:rsidRPr="00E0453F">
        <w:rPr>
          <w:rFonts w:asciiTheme="majorHAnsi" w:hAnsiTheme="majorHAnsi" w:cstheme="majorHAnsi"/>
          <w:color w:val="374151"/>
          <w:sz w:val="20"/>
          <w:szCs w:val="20"/>
        </w:rPr>
        <w:t>.</w:t>
      </w:r>
      <w:r w:rsidR="00C11C61">
        <w:rPr>
          <w:rFonts w:asciiTheme="majorHAnsi" w:hAnsiTheme="majorHAnsi" w:cstheme="majorHAnsi"/>
          <w:color w:val="374151"/>
          <w:sz w:val="20"/>
          <w:szCs w:val="20"/>
        </w:rPr>
        <w:t xml:space="preserve">  </w:t>
      </w:r>
    </w:p>
    <w:p w14:paraId="208D5CBC" w14:textId="15E04759" w:rsidR="00E0453F" w:rsidRDefault="00E0453F" w:rsidP="00E0453F">
      <w:pPr>
        <w:pStyle w:val="NormalWeb"/>
        <w:jc w:val="both"/>
        <w:rPr>
          <w:rFonts w:asciiTheme="majorHAnsi" w:hAnsiTheme="majorHAnsi" w:cstheme="majorHAnsi"/>
          <w:color w:val="374151"/>
          <w:sz w:val="20"/>
          <w:szCs w:val="20"/>
        </w:rPr>
      </w:pPr>
      <w:r w:rsidRPr="00E0453F">
        <w:rPr>
          <w:rFonts w:asciiTheme="majorHAnsi" w:hAnsiTheme="majorHAnsi" w:cstheme="majorHAnsi"/>
          <w:color w:val="374151"/>
          <w:sz w:val="20"/>
          <w:szCs w:val="20"/>
        </w:rPr>
        <w:t>The p</w:t>
      </w:r>
      <w:r w:rsidR="00C009D5">
        <w:rPr>
          <w:rFonts w:asciiTheme="majorHAnsi" w:hAnsiTheme="majorHAnsi" w:cstheme="majorHAnsi"/>
          <w:color w:val="374151"/>
          <w:sz w:val="20"/>
          <w:szCs w:val="20"/>
        </w:rPr>
        <w:t>ending</w:t>
      </w:r>
      <w:r w:rsidRPr="00E0453F">
        <w:rPr>
          <w:rFonts w:asciiTheme="majorHAnsi" w:hAnsiTheme="majorHAnsi" w:cstheme="majorHAnsi"/>
          <w:color w:val="374151"/>
          <w:sz w:val="20"/>
          <w:szCs w:val="20"/>
        </w:rPr>
        <w:t xml:space="preserve"> acquisition</w:t>
      </w:r>
      <w:r w:rsidR="00E779CB">
        <w:rPr>
          <w:rFonts w:asciiTheme="majorHAnsi" w:hAnsiTheme="majorHAnsi" w:cstheme="majorHAnsi"/>
          <w:color w:val="374151"/>
          <w:sz w:val="20"/>
          <w:szCs w:val="20"/>
        </w:rPr>
        <w:t xml:space="preserve"> </w:t>
      </w:r>
      <w:r w:rsidR="00A639B0">
        <w:rPr>
          <w:rFonts w:asciiTheme="majorHAnsi" w:hAnsiTheme="majorHAnsi" w:cstheme="majorHAnsi"/>
          <w:color w:val="374151"/>
          <w:sz w:val="20"/>
          <w:szCs w:val="20"/>
        </w:rPr>
        <w:t xml:space="preserve">has over 100,000 acres of land with hundreds of </w:t>
      </w:r>
      <w:r w:rsidR="00C009D5">
        <w:rPr>
          <w:rFonts w:asciiTheme="majorHAnsi" w:hAnsiTheme="majorHAnsi" w:cstheme="majorHAnsi"/>
          <w:color w:val="374151"/>
          <w:sz w:val="20"/>
          <w:szCs w:val="20"/>
        </w:rPr>
        <w:t>existing natural gas wells</w:t>
      </w:r>
      <w:r w:rsidR="00A639B0">
        <w:rPr>
          <w:rFonts w:asciiTheme="majorHAnsi" w:hAnsiTheme="majorHAnsi" w:cstheme="majorHAnsi"/>
          <w:color w:val="374151"/>
          <w:sz w:val="20"/>
          <w:szCs w:val="20"/>
        </w:rPr>
        <w:t xml:space="preserve"> that contains over 5 trillion cubic feet (</w:t>
      </w:r>
      <w:proofErr w:type="spellStart"/>
      <w:r w:rsidR="00A639B0">
        <w:rPr>
          <w:rFonts w:asciiTheme="majorHAnsi" w:hAnsiTheme="majorHAnsi" w:cstheme="majorHAnsi"/>
          <w:color w:val="374151"/>
          <w:sz w:val="20"/>
          <w:szCs w:val="20"/>
        </w:rPr>
        <w:t>Tcf</w:t>
      </w:r>
      <w:proofErr w:type="spellEnd"/>
      <w:r w:rsidR="00A639B0">
        <w:rPr>
          <w:rFonts w:asciiTheme="majorHAnsi" w:hAnsiTheme="majorHAnsi" w:cstheme="majorHAnsi"/>
          <w:color w:val="374151"/>
          <w:sz w:val="20"/>
          <w:szCs w:val="20"/>
        </w:rPr>
        <w:t>) of contingent natural gas resources</w:t>
      </w:r>
      <w:r w:rsidR="00027745">
        <w:rPr>
          <w:rFonts w:asciiTheme="majorHAnsi" w:hAnsiTheme="majorHAnsi" w:cstheme="majorHAnsi"/>
          <w:color w:val="374151"/>
          <w:sz w:val="20"/>
          <w:szCs w:val="20"/>
        </w:rPr>
        <w:t xml:space="preserve"> and accompanying infrastructure</w:t>
      </w:r>
      <w:r w:rsidR="00C009D5">
        <w:rPr>
          <w:rFonts w:asciiTheme="majorHAnsi" w:hAnsiTheme="majorHAnsi" w:cstheme="majorHAnsi"/>
          <w:color w:val="374151"/>
          <w:sz w:val="20"/>
          <w:szCs w:val="20"/>
        </w:rPr>
        <w:t xml:space="preserve"> </w:t>
      </w:r>
      <w:r w:rsidR="00A639B0">
        <w:rPr>
          <w:rFonts w:asciiTheme="majorHAnsi" w:hAnsiTheme="majorHAnsi" w:cstheme="majorHAnsi"/>
          <w:color w:val="374151"/>
          <w:sz w:val="20"/>
          <w:szCs w:val="20"/>
        </w:rPr>
        <w:t xml:space="preserve">which </w:t>
      </w:r>
      <w:r w:rsidR="00027745">
        <w:rPr>
          <w:rFonts w:asciiTheme="majorHAnsi" w:hAnsiTheme="majorHAnsi" w:cstheme="majorHAnsi"/>
          <w:color w:val="374151"/>
          <w:sz w:val="20"/>
          <w:szCs w:val="20"/>
        </w:rPr>
        <w:t xml:space="preserve">has </w:t>
      </w:r>
      <w:r w:rsidRPr="00E0453F">
        <w:rPr>
          <w:rFonts w:asciiTheme="majorHAnsi" w:hAnsiTheme="majorHAnsi" w:cstheme="majorHAnsi"/>
          <w:color w:val="374151"/>
          <w:sz w:val="20"/>
          <w:szCs w:val="20"/>
        </w:rPr>
        <w:t xml:space="preserve">capacity exceeding 140 </w:t>
      </w:r>
      <w:proofErr w:type="spellStart"/>
      <w:r w:rsidRPr="00D20421">
        <w:rPr>
          <w:rFonts w:asciiTheme="majorHAnsi" w:hAnsiTheme="majorHAnsi" w:cstheme="majorHAnsi"/>
          <w:color w:val="374151"/>
          <w:sz w:val="20"/>
          <w:szCs w:val="20"/>
        </w:rPr>
        <w:t>mmcf</w:t>
      </w:r>
      <w:proofErr w:type="spellEnd"/>
      <w:r w:rsidRPr="00D20421">
        <w:rPr>
          <w:rFonts w:asciiTheme="majorHAnsi" w:hAnsiTheme="majorHAnsi" w:cstheme="majorHAnsi"/>
          <w:color w:val="374151"/>
          <w:sz w:val="20"/>
          <w:szCs w:val="20"/>
        </w:rPr>
        <w:t>/d</w:t>
      </w:r>
      <w:r w:rsidR="00C11C61" w:rsidRPr="00D20421">
        <w:rPr>
          <w:rFonts w:asciiTheme="majorHAnsi" w:hAnsiTheme="majorHAnsi" w:cstheme="majorHAnsi"/>
          <w:color w:val="374151"/>
          <w:sz w:val="20"/>
          <w:szCs w:val="20"/>
        </w:rPr>
        <w:t xml:space="preserve"> </w:t>
      </w:r>
      <w:r w:rsidRPr="00D20421">
        <w:rPr>
          <w:rFonts w:asciiTheme="majorHAnsi" w:hAnsiTheme="majorHAnsi" w:cstheme="majorHAnsi"/>
          <w:color w:val="374151"/>
          <w:sz w:val="20"/>
          <w:szCs w:val="20"/>
        </w:rPr>
        <w:t>at 100% working interest</w:t>
      </w:r>
      <w:r w:rsidR="00A639B0" w:rsidRPr="00D20421">
        <w:rPr>
          <w:rFonts w:asciiTheme="majorHAnsi" w:hAnsiTheme="majorHAnsi" w:cstheme="majorHAnsi"/>
          <w:color w:val="374151"/>
          <w:sz w:val="20"/>
          <w:szCs w:val="20"/>
        </w:rPr>
        <w:t>.</w:t>
      </w:r>
      <w:r w:rsidR="007C74E9" w:rsidRPr="00D20421">
        <w:rPr>
          <w:rFonts w:asciiTheme="majorHAnsi" w:hAnsiTheme="majorHAnsi" w:cstheme="majorHAnsi"/>
          <w:color w:val="374151"/>
          <w:sz w:val="20"/>
          <w:szCs w:val="20"/>
        </w:rPr>
        <w:t xml:space="preserve"> </w:t>
      </w:r>
      <w:r w:rsidRPr="00D20421">
        <w:rPr>
          <w:rFonts w:asciiTheme="majorHAnsi" w:hAnsiTheme="majorHAnsi" w:cstheme="majorHAnsi"/>
          <w:color w:val="374151"/>
          <w:sz w:val="20"/>
          <w:szCs w:val="20"/>
        </w:rPr>
        <w:t xml:space="preserve">The consideration for the acquisition is expected to be </w:t>
      </w:r>
      <w:r w:rsidR="00E92572">
        <w:rPr>
          <w:rFonts w:asciiTheme="majorHAnsi" w:hAnsiTheme="majorHAnsi" w:cstheme="majorHAnsi"/>
          <w:color w:val="374151"/>
          <w:sz w:val="20"/>
          <w:szCs w:val="20"/>
        </w:rPr>
        <w:t>a</w:t>
      </w:r>
      <w:r w:rsidR="00FA5548">
        <w:rPr>
          <w:rFonts w:asciiTheme="majorHAnsi" w:hAnsiTheme="majorHAnsi" w:cstheme="majorHAnsi"/>
          <w:color w:val="374151"/>
          <w:sz w:val="20"/>
          <w:szCs w:val="20"/>
        </w:rPr>
        <w:t xml:space="preserve"> CAD $2 million </w:t>
      </w:r>
      <w:r w:rsidR="00E92572">
        <w:rPr>
          <w:rFonts w:asciiTheme="majorHAnsi" w:hAnsiTheme="majorHAnsi" w:cstheme="majorHAnsi"/>
          <w:color w:val="374151"/>
          <w:sz w:val="20"/>
          <w:szCs w:val="20"/>
        </w:rPr>
        <w:t>cash payment at closing</w:t>
      </w:r>
      <w:r w:rsidR="008D6485" w:rsidRPr="00D20421">
        <w:rPr>
          <w:rFonts w:asciiTheme="majorHAnsi" w:hAnsiTheme="majorHAnsi" w:cstheme="majorHAnsi"/>
          <w:color w:val="374151"/>
          <w:sz w:val="20"/>
          <w:szCs w:val="20"/>
        </w:rPr>
        <w:t xml:space="preserve"> </w:t>
      </w:r>
      <w:r w:rsidR="0021393E" w:rsidRPr="00D20421">
        <w:rPr>
          <w:rFonts w:asciiTheme="majorHAnsi" w:hAnsiTheme="majorHAnsi" w:cstheme="majorHAnsi"/>
          <w:color w:val="374151"/>
          <w:sz w:val="20"/>
          <w:szCs w:val="20"/>
          <w:lang w:val="en"/>
        </w:rPr>
        <w:t>plus</w:t>
      </w:r>
      <w:r w:rsidR="0021393E" w:rsidRPr="0021393E">
        <w:rPr>
          <w:rFonts w:asciiTheme="majorHAnsi" w:hAnsiTheme="majorHAnsi" w:cstheme="majorHAnsi"/>
          <w:color w:val="374151"/>
          <w:sz w:val="20"/>
          <w:szCs w:val="20"/>
          <w:lang w:val="en"/>
        </w:rPr>
        <w:t xml:space="preserve"> </w:t>
      </w:r>
      <w:r w:rsidR="00FA5548">
        <w:rPr>
          <w:rFonts w:asciiTheme="majorHAnsi" w:hAnsiTheme="majorHAnsi" w:cstheme="majorHAnsi"/>
          <w:color w:val="374151"/>
          <w:sz w:val="20"/>
          <w:szCs w:val="20"/>
          <w:lang w:val="en"/>
        </w:rPr>
        <w:t xml:space="preserve">other closing and ongoing </w:t>
      </w:r>
      <w:r w:rsidR="00E92572">
        <w:rPr>
          <w:rFonts w:asciiTheme="majorHAnsi" w:hAnsiTheme="majorHAnsi" w:cstheme="majorHAnsi"/>
          <w:color w:val="374151"/>
          <w:sz w:val="20"/>
          <w:szCs w:val="20"/>
          <w:lang w:val="en"/>
        </w:rPr>
        <w:t>obligations</w:t>
      </w:r>
      <w:r w:rsidR="00FA5548">
        <w:rPr>
          <w:rFonts w:asciiTheme="majorHAnsi" w:hAnsiTheme="majorHAnsi" w:cstheme="majorHAnsi"/>
          <w:color w:val="374151"/>
          <w:sz w:val="20"/>
          <w:szCs w:val="20"/>
          <w:lang w:val="en"/>
        </w:rPr>
        <w:t xml:space="preserve">, </w:t>
      </w:r>
      <w:r w:rsidR="00E92572">
        <w:rPr>
          <w:rFonts w:asciiTheme="majorHAnsi" w:hAnsiTheme="majorHAnsi" w:cstheme="majorHAnsi"/>
          <w:color w:val="374151"/>
          <w:sz w:val="20"/>
          <w:szCs w:val="20"/>
          <w:lang w:val="en"/>
        </w:rPr>
        <w:t xml:space="preserve">which have </w:t>
      </w:r>
      <w:r w:rsidR="008D6485">
        <w:rPr>
          <w:rFonts w:asciiTheme="majorHAnsi" w:hAnsiTheme="majorHAnsi" w:cstheme="majorHAnsi"/>
          <w:color w:val="374151"/>
          <w:sz w:val="20"/>
          <w:szCs w:val="20"/>
        </w:rPr>
        <w:t>yet to be determined</w:t>
      </w:r>
      <w:r w:rsidRPr="00E0453F">
        <w:rPr>
          <w:rFonts w:asciiTheme="majorHAnsi" w:hAnsiTheme="majorHAnsi" w:cstheme="majorHAnsi"/>
          <w:color w:val="374151"/>
          <w:sz w:val="20"/>
          <w:szCs w:val="20"/>
        </w:rPr>
        <w:t>.</w:t>
      </w:r>
    </w:p>
    <w:p w14:paraId="4411E16C" w14:textId="50FF0EEF" w:rsidR="005F312B" w:rsidRPr="00E0453F" w:rsidRDefault="005F312B" w:rsidP="00E0453F">
      <w:pPr>
        <w:pStyle w:val="NormalWeb"/>
        <w:jc w:val="both"/>
        <w:rPr>
          <w:rFonts w:asciiTheme="majorHAnsi" w:hAnsiTheme="majorHAnsi" w:cstheme="majorHAnsi"/>
          <w:color w:val="374151"/>
          <w:sz w:val="20"/>
          <w:szCs w:val="20"/>
        </w:rPr>
      </w:pPr>
      <w:r w:rsidRPr="00E0453F">
        <w:rPr>
          <w:rFonts w:asciiTheme="majorHAnsi" w:hAnsiTheme="majorHAnsi" w:cstheme="majorHAnsi"/>
          <w:color w:val="374151"/>
          <w:sz w:val="20"/>
          <w:szCs w:val="20"/>
        </w:rPr>
        <w:t xml:space="preserve">The project is expected to have initial capability to power 100 MW of operations, with potential for expansion </w:t>
      </w:r>
      <w:r>
        <w:rPr>
          <w:rFonts w:asciiTheme="majorHAnsi" w:hAnsiTheme="majorHAnsi" w:cstheme="majorHAnsi"/>
          <w:color w:val="374151"/>
          <w:sz w:val="20"/>
          <w:szCs w:val="20"/>
        </w:rPr>
        <w:t xml:space="preserve">up to 1 GW </w:t>
      </w:r>
      <w:r w:rsidRPr="00E0453F">
        <w:rPr>
          <w:rFonts w:asciiTheme="majorHAnsi" w:hAnsiTheme="majorHAnsi" w:cstheme="majorHAnsi"/>
          <w:color w:val="374151"/>
          <w:sz w:val="20"/>
          <w:szCs w:val="20"/>
        </w:rPr>
        <w:t xml:space="preserve">under Gryphon's direction. The site possesses key characteristics that </w:t>
      </w:r>
      <w:r>
        <w:rPr>
          <w:rFonts w:asciiTheme="majorHAnsi" w:hAnsiTheme="majorHAnsi" w:cstheme="majorHAnsi"/>
          <w:color w:val="374151"/>
          <w:sz w:val="20"/>
          <w:szCs w:val="20"/>
        </w:rPr>
        <w:t xml:space="preserve">the Company’s believes </w:t>
      </w:r>
      <w:r w:rsidRPr="00E0453F">
        <w:rPr>
          <w:rFonts w:asciiTheme="majorHAnsi" w:hAnsiTheme="majorHAnsi" w:cstheme="majorHAnsi"/>
          <w:color w:val="374151"/>
          <w:sz w:val="20"/>
          <w:szCs w:val="20"/>
        </w:rPr>
        <w:t>make</w:t>
      </w:r>
      <w:r>
        <w:rPr>
          <w:rFonts w:asciiTheme="majorHAnsi" w:hAnsiTheme="majorHAnsi" w:cstheme="majorHAnsi"/>
          <w:color w:val="374151"/>
          <w:sz w:val="20"/>
          <w:szCs w:val="20"/>
        </w:rPr>
        <w:t>s</w:t>
      </w:r>
      <w:r w:rsidRPr="00E0453F">
        <w:rPr>
          <w:rFonts w:asciiTheme="majorHAnsi" w:hAnsiTheme="majorHAnsi" w:cstheme="majorHAnsi"/>
          <w:color w:val="374151"/>
          <w:sz w:val="20"/>
          <w:szCs w:val="20"/>
        </w:rPr>
        <w:t xml:space="preserve"> it ideal for mining</w:t>
      </w:r>
      <w:r>
        <w:rPr>
          <w:rFonts w:asciiTheme="majorHAnsi" w:hAnsiTheme="majorHAnsi" w:cstheme="majorHAnsi"/>
          <w:color w:val="374151"/>
          <w:sz w:val="20"/>
          <w:szCs w:val="20"/>
        </w:rPr>
        <w:t xml:space="preserve"> </w:t>
      </w:r>
      <w:r w:rsidRPr="00E0453F">
        <w:rPr>
          <w:rFonts w:asciiTheme="majorHAnsi" w:hAnsiTheme="majorHAnsi" w:cstheme="majorHAnsi"/>
          <w:color w:val="374151"/>
          <w:sz w:val="20"/>
          <w:szCs w:val="20"/>
        </w:rPr>
        <w:t xml:space="preserve">operations, </w:t>
      </w:r>
      <w:r>
        <w:rPr>
          <w:rFonts w:asciiTheme="majorHAnsi" w:hAnsiTheme="majorHAnsi" w:cstheme="majorHAnsi"/>
          <w:color w:val="374151"/>
          <w:sz w:val="20"/>
          <w:szCs w:val="20"/>
        </w:rPr>
        <w:t>with</w:t>
      </w:r>
      <w:r w:rsidRPr="00E0453F">
        <w:rPr>
          <w:rFonts w:asciiTheme="majorHAnsi" w:hAnsiTheme="majorHAnsi" w:cstheme="majorHAnsi"/>
          <w:color w:val="374151"/>
          <w:sz w:val="20"/>
          <w:szCs w:val="20"/>
        </w:rPr>
        <w:t xml:space="preserve"> abundant access to natural</w:t>
      </w:r>
      <w:r>
        <w:rPr>
          <w:rFonts w:asciiTheme="majorHAnsi" w:hAnsiTheme="majorHAnsi" w:cstheme="majorHAnsi"/>
          <w:color w:val="374151"/>
          <w:sz w:val="20"/>
          <w:szCs w:val="20"/>
        </w:rPr>
        <w:t xml:space="preserve"> gas.  Once developed, the asset is expected to produce energy for less than $0.03 KWH.</w:t>
      </w:r>
    </w:p>
    <w:p w14:paraId="19A7E0DF" w14:textId="328F96C6" w:rsidR="00E0453F" w:rsidRPr="00E0453F" w:rsidRDefault="00E0453F" w:rsidP="00E0453F">
      <w:pPr>
        <w:pStyle w:val="NormalWeb"/>
        <w:jc w:val="both"/>
        <w:rPr>
          <w:rFonts w:asciiTheme="majorHAnsi" w:hAnsiTheme="majorHAnsi" w:cstheme="majorHAnsi"/>
          <w:color w:val="374151"/>
          <w:sz w:val="20"/>
          <w:szCs w:val="20"/>
        </w:rPr>
      </w:pPr>
      <w:r w:rsidRPr="00E0453F">
        <w:rPr>
          <w:rFonts w:asciiTheme="majorHAnsi" w:hAnsiTheme="majorHAnsi" w:cstheme="majorHAnsi"/>
          <w:color w:val="374151"/>
          <w:sz w:val="20"/>
          <w:szCs w:val="20"/>
        </w:rPr>
        <w:t>"Th</w:t>
      </w:r>
      <w:r w:rsidR="005046AE">
        <w:rPr>
          <w:rFonts w:asciiTheme="majorHAnsi" w:hAnsiTheme="majorHAnsi" w:cstheme="majorHAnsi"/>
          <w:color w:val="374151"/>
          <w:sz w:val="20"/>
          <w:szCs w:val="20"/>
        </w:rPr>
        <w:t xml:space="preserve">e signing of this definitive agreement </w:t>
      </w:r>
      <w:r w:rsidRPr="00E0453F">
        <w:rPr>
          <w:rFonts w:asciiTheme="majorHAnsi" w:hAnsiTheme="majorHAnsi" w:cstheme="majorHAnsi"/>
          <w:color w:val="374151"/>
          <w:sz w:val="20"/>
          <w:szCs w:val="20"/>
        </w:rPr>
        <w:t>represents a milestone in Gryphon's development, as we work toward integrating</w:t>
      </w:r>
      <w:r w:rsidR="008D6485">
        <w:rPr>
          <w:rFonts w:asciiTheme="majorHAnsi" w:hAnsiTheme="majorHAnsi" w:cstheme="majorHAnsi"/>
          <w:color w:val="374151"/>
          <w:sz w:val="20"/>
          <w:szCs w:val="20"/>
        </w:rPr>
        <w:t xml:space="preserve"> </w:t>
      </w:r>
      <w:r w:rsidRPr="00E0453F">
        <w:rPr>
          <w:rFonts w:asciiTheme="majorHAnsi" w:hAnsiTheme="majorHAnsi" w:cstheme="majorHAnsi"/>
          <w:color w:val="374151"/>
          <w:sz w:val="20"/>
          <w:szCs w:val="20"/>
        </w:rPr>
        <w:t>power generation</w:t>
      </w:r>
      <w:r w:rsidR="008D6485">
        <w:rPr>
          <w:rFonts w:asciiTheme="majorHAnsi" w:hAnsiTheme="majorHAnsi" w:cstheme="majorHAnsi"/>
          <w:color w:val="374151"/>
          <w:sz w:val="20"/>
          <w:szCs w:val="20"/>
        </w:rPr>
        <w:t xml:space="preserve"> assets</w:t>
      </w:r>
      <w:r w:rsidRPr="00E0453F">
        <w:rPr>
          <w:rFonts w:asciiTheme="majorHAnsi" w:hAnsiTheme="majorHAnsi" w:cstheme="majorHAnsi"/>
          <w:color w:val="374151"/>
          <w:sz w:val="20"/>
          <w:szCs w:val="20"/>
        </w:rPr>
        <w:t xml:space="preserve"> into our operations," said</w:t>
      </w:r>
      <w:r w:rsidR="006C12F9">
        <w:rPr>
          <w:rFonts w:asciiTheme="majorHAnsi" w:hAnsiTheme="majorHAnsi" w:cstheme="majorHAnsi"/>
          <w:color w:val="374151"/>
          <w:sz w:val="20"/>
          <w:szCs w:val="20"/>
        </w:rPr>
        <w:t xml:space="preserve"> </w:t>
      </w:r>
      <w:r w:rsidR="006C12F9" w:rsidRPr="006C12F9">
        <w:rPr>
          <w:rFonts w:asciiTheme="majorHAnsi" w:hAnsiTheme="majorHAnsi" w:cstheme="majorHAnsi"/>
          <w:color w:val="374151"/>
          <w:sz w:val="20"/>
          <w:szCs w:val="20"/>
        </w:rPr>
        <w:t>Steve Gutterman, CEO of Gryphon Digital Mining</w:t>
      </w:r>
      <w:r w:rsidRPr="00E0453F">
        <w:rPr>
          <w:rFonts w:asciiTheme="majorHAnsi" w:hAnsiTheme="majorHAnsi" w:cstheme="majorHAnsi"/>
          <w:color w:val="374151"/>
          <w:sz w:val="20"/>
          <w:szCs w:val="20"/>
        </w:rPr>
        <w:t>. "With major tech companies seeing their electricity consumption rise by 81% between 2020 and 2023 due to AI and data centers, and projections showing an additional 50 GW of power needed by 2030 in the United States alone, natural gas has emerged as a</w:t>
      </w:r>
      <w:r w:rsidR="00DB7B8A">
        <w:rPr>
          <w:rFonts w:asciiTheme="majorHAnsi" w:hAnsiTheme="majorHAnsi" w:cstheme="majorHAnsi"/>
          <w:color w:val="374151"/>
          <w:sz w:val="20"/>
          <w:szCs w:val="20"/>
        </w:rPr>
        <w:t xml:space="preserve"> uniquely</w:t>
      </w:r>
      <w:r w:rsidR="007C74E9" w:rsidRPr="00E0453F">
        <w:rPr>
          <w:rFonts w:asciiTheme="majorHAnsi" w:hAnsiTheme="majorHAnsi" w:cstheme="majorHAnsi"/>
          <w:color w:val="374151"/>
          <w:sz w:val="20"/>
          <w:szCs w:val="20"/>
        </w:rPr>
        <w:t xml:space="preserve"> </w:t>
      </w:r>
      <w:r w:rsidRPr="00E0453F">
        <w:rPr>
          <w:rFonts w:asciiTheme="majorHAnsi" w:hAnsiTheme="majorHAnsi" w:cstheme="majorHAnsi"/>
          <w:color w:val="374151"/>
          <w:sz w:val="20"/>
          <w:szCs w:val="20"/>
        </w:rPr>
        <w:t>positioned power source offering the critical combination of scalability, cost efficiency and sustainability. This opportunity exemplifies our</w:t>
      </w:r>
      <w:r w:rsidR="00DB7B8A">
        <w:rPr>
          <w:rFonts w:asciiTheme="majorHAnsi" w:hAnsiTheme="majorHAnsi" w:cstheme="majorHAnsi"/>
          <w:color w:val="374151"/>
          <w:sz w:val="20"/>
          <w:szCs w:val="20"/>
        </w:rPr>
        <w:t xml:space="preserve"> scrappy and</w:t>
      </w:r>
      <w:r w:rsidRPr="00E0453F">
        <w:rPr>
          <w:rFonts w:asciiTheme="majorHAnsi" w:hAnsiTheme="majorHAnsi" w:cstheme="majorHAnsi"/>
          <w:color w:val="374151"/>
          <w:sz w:val="20"/>
          <w:szCs w:val="20"/>
        </w:rPr>
        <w:t xml:space="preserve"> hands-on approach to building value</w:t>
      </w:r>
      <w:r w:rsidR="00DB7B8A">
        <w:rPr>
          <w:rFonts w:asciiTheme="majorHAnsi" w:hAnsiTheme="majorHAnsi" w:cstheme="majorHAnsi"/>
          <w:color w:val="374151"/>
          <w:sz w:val="20"/>
          <w:szCs w:val="20"/>
        </w:rPr>
        <w:t>.</w:t>
      </w:r>
      <w:r w:rsidRPr="00E0453F">
        <w:rPr>
          <w:rFonts w:asciiTheme="majorHAnsi" w:hAnsiTheme="majorHAnsi" w:cstheme="majorHAnsi"/>
          <w:color w:val="374151"/>
          <w:sz w:val="20"/>
          <w:szCs w:val="20"/>
        </w:rPr>
        <w:t xml:space="preserve"> </w:t>
      </w:r>
      <w:r w:rsidR="00DB7B8A">
        <w:rPr>
          <w:rFonts w:asciiTheme="majorHAnsi" w:hAnsiTheme="majorHAnsi" w:cstheme="majorHAnsi"/>
          <w:color w:val="374151"/>
          <w:sz w:val="20"/>
          <w:szCs w:val="20"/>
        </w:rPr>
        <w:t xml:space="preserve">We are buying this asset out of </w:t>
      </w:r>
      <w:r w:rsidR="00E779CB">
        <w:rPr>
          <w:rFonts w:asciiTheme="majorHAnsi" w:hAnsiTheme="majorHAnsi" w:cstheme="majorHAnsi"/>
          <w:color w:val="374151"/>
          <w:sz w:val="20"/>
          <w:szCs w:val="20"/>
        </w:rPr>
        <w:t>insolvency.  G</w:t>
      </w:r>
      <w:r w:rsidR="00DB7B8A">
        <w:rPr>
          <w:rFonts w:asciiTheme="majorHAnsi" w:hAnsiTheme="majorHAnsi" w:cstheme="majorHAnsi"/>
          <w:color w:val="374151"/>
          <w:sz w:val="20"/>
          <w:szCs w:val="20"/>
        </w:rPr>
        <w:t xml:space="preserve">etting it up and running </w:t>
      </w:r>
      <w:r w:rsidRPr="00E0453F">
        <w:rPr>
          <w:rFonts w:asciiTheme="majorHAnsi" w:hAnsiTheme="majorHAnsi" w:cstheme="majorHAnsi"/>
          <w:color w:val="374151"/>
          <w:sz w:val="20"/>
          <w:szCs w:val="20"/>
        </w:rPr>
        <w:t>requires detailed diligence, engagement with regulatory bodies and First Nations, development of comprehensive remediation plans and systematic execution.</w:t>
      </w:r>
      <w:r w:rsidR="005F312B">
        <w:rPr>
          <w:rFonts w:asciiTheme="majorHAnsi" w:hAnsiTheme="majorHAnsi" w:cstheme="majorHAnsi"/>
          <w:color w:val="374151"/>
          <w:sz w:val="20"/>
          <w:szCs w:val="20"/>
        </w:rPr>
        <w:t xml:space="preserve"> </w:t>
      </w:r>
      <w:r w:rsidRPr="00E0453F">
        <w:rPr>
          <w:rFonts w:asciiTheme="majorHAnsi" w:hAnsiTheme="majorHAnsi" w:cstheme="majorHAnsi"/>
          <w:color w:val="374151"/>
          <w:sz w:val="20"/>
          <w:szCs w:val="20"/>
        </w:rPr>
        <w:lastRenderedPageBreak/>
        <w:t xml:space="preserve">While others might seek turnkey solutions, we're focused on opportunities where </w:t>
      </w:r>
      <w:r w:rsidR="008D6485">
        <w:rPr>
          <w:rFonts w:asciiTheme="majorHAnsi" w:hAnsiTheme="majorHAnsi" w:cstheme="majorHAnsi"/>
          <w:color w:val="374151"/>
          <w:sz w:val="20"/>
          <w:szCs w:val="20"/>
        </w:rPr>
        <w:t>we</w:t>
      </w:r>
      <w:r w:rsidRPr="00E0453F">
        <w:rPr>
          <w:rFonts w:asciiTheme="majorHAnsi" w:hAnsiTheme="majorHAnsi" w:cstheme="majorHAnsi"/>
          <w:color w:val="374151"/>
          <w:sz w:val="20"/>
          <w:szCs w:val="20"/>
        </w:rPr>
        <w:t xml:space="preserve"> can unlock significant value through methodical development and operational excellence.</w:t>
      </w:r>
      <w:r w:rsidR="00E779CB">
        <w:rPr>
          <w:rFonts w:asciiTheme="majorHAnsi" w:hAnsiTheme="majorHAnsi" w:cstheme="majorHAnsi"/>
          <w:color w:val="374151"/>
          <w:sz w:val="20"/>
          <w:szCs w:val="20"/>
        </w:rPr>
        <w:t xml:space="preserve">  Simply put, we</w:t>
      </w:r>
      <w:r w:rsidR="00C009D5">
        <w:rPr>
          <w:rFonts w:asciiTheme="majorHAnsi" w:hAnsiTheme="majorHAnsi" w:cstheme="majorHAnsi"/>
          <w:color w:val="374151"/>
          <w:sz w:val="20"/>
          <w:szCs w:val="20"/>
        </w:rPr>
        <w:t xml:space="preserve"> are willing and able to</w:t>
      </w:r>
      <w:r w:rsidR="00E779CB">
        <w:rPr>
          <w:rFonts w:asciiTheme="majorHAnsi" w:hAnsiTheme="majorHAnsi" w:cstheme="majorHAnsi"/>
          <w:color w:val="374151"/>
          <w:sz w:val="20"/>
          <w:szCs w:val="20"/>
        </w:rPr>
        <w:t xml:space="preserve"> put in the work.”</w:t>
      </w:r>
    </w:p>
    <w:p w14:paraId="647BE365" w14:textId="6BA5B238" w:rsidR="00E0453F" w:rsidRPr="00E0453F" w:rsidRDefault="00E0453F" w:rsidP="00E0453F">
      <w:pPr>
        <w:pStyle w:val="NormalWeb"/>
        <w:jc w:val="both"/>
        <w:rPr>
          <w:rFonts w:asciiTheme="majorHAnsi" w:hAnsiTheme="majorHAnsi" w:cstheme="majorHAnsi"/>
          <w:color w:val="374151"/>
          <w:sz w:val="20"/>
          <w:szCs w:val="20"/>
        </w:rPr>
      </w:pPr>
      <w:r w:rsidRPr="00E0453F">
        <w:rPr>
          <w:rFonts w:asciiTheme="majorHAnsi" w:hAnsiTheme="majorHAnsi" w:cstheme="majorHAnsi"/>
          <w:color w:val="374151"/>
          <w:sz w:val="20"/>
          <w:szCs w:val="20"/>
        </w:rPr>
        <w:t xml:space="preserve">Prior to equipment deployment, the Company </w:t>
      </w:r>
      <w:r w:rsidR="004D7A46">
        <w:rPr>
          <w:rFonts w:asciiTheme="majorHAnsi" w:hAnsiTheme="majorHAnsi" w:cstheme="majorHAnsi"/>
          <w:color w:val="374151"/>
          <w:sz w:val="20"/>
          <w:szCs w:val="20"/>
        </w:rPr>
        <w:t>will</w:t>
      </w:r>
      <w:r w:rsidRPr="00E0453F">
        <w:rPr>
          <w:rFonts w:asciiTheme="majorHAnsi" w:hAnsiTheme="majorHAnsi" w:cstheme="majorHAnsi"/>
          <w:color w:val="374151"/>
          <w:sz w:val="20"/>
          <w:szCs w:val="20"/>
        </w:rPr>
        <w:t xml:space="preserve"> engage with local government officials and community stakeholders</w:t>
      </w:r>
      <w:r>
        <w:rPr>
          <w:rFonts w:asciiTheme="majorHAnsi" w:hAnsiTheme="majorHAnsi" w:cstheme="majorHAnsi"/>
          <w:color w:val="374151"/>
          <w:sz w:val="20"/>
          <w:szCs w:val="20"/>
        </w:rPr>
        <w:t xml:space="preserve"> over the coming weeks</w:t>
      </w:r>
      <w:r w:rsidRPr="00E0453F">
        <w:rPr>
          <w:rFonts w:asciiTheme="majorHAnsi" w:hAnsiTheme="majorHAnsi" w:cstheme="majorHAnsi"/>
          <w:color w:val="374151"/>
          <w:sz w:val="20"/>
          <w:szCs w:val="20"/>
        </w:rPr>
        <w:t xml:space="preserve"> to align with regional interests. </w:t>
      </w:r>
      <w:r w:rsidR="00E779CB" w:rsidRPr="00E0453F">
        <w:rPr>
          <w:rFonts w:asciiTheme="majorHAnsi" w:hAnsiTheme="majorHAnsi" w:cstheme="majorHAnsi"/>
          <w:color w:val="374151"/>
          <w:sz w:val="20"/>
          <w:szCs w:val="20"/>
        </w:rPr>
        <w:t xml:space="preserve">The project roadmap </w:t>
      </w:r>
      <w:r w:rsidR="00E779CB">
        <w:rPr>
          <w:rFonts w:asciiTheme="majorHAnsi" w:hAnsiTheme="majorHAnsi" w:cstheme="majorHAnsi"/>
          <w:color w:val="374151"/>
          <w:sz w:val="20"/>
          <w:szCs w:val="20"/>
        </w:rPr>
        <w:t xml:space="preserve">also </w:t>
      </w:r>
      <w:r w:rsidR="00E779CB" w:rsidRPr="00E0453F">
        <w:rPr>
          <w:rFonts w:asciiTheme="majorHAnsi" w:hAnsiTheme="majorHAnsi" w:cstheme="majorHAnsi"/>
          <w:color w:val="374151"/>
          <w:sz w:val="20"/>
          <w:szCs w:val="20"/>
        </w:rPr>
        <w:t>includes green initiatives, featuring proposed greenhouse construction to target emissions reduction</w:t>
      </w:r>
      <w:r w:rsidR="00E779CB">
        <w:rPr>
          <w:rFonts w:asciiTheme="majorHAnsi" w:hAnsiTheme="majorHAnsi" w:cstheme="majorHAnsi"/>
          <w:color w:val="374151"/>
          <w:sz w:val="20"/>
          <w:szCs w:val="20"/>
        </w:rPr>
        <w:t>, including</w:t>
      </w:r>
      <w:r w:rsidR="00E779CB" w:rsidRPr="00E0453F">
        <w:rPr>
          <w:rFonts w:asciiTheme="majorHAnsi" w:hAnsiTheme="majorHAnsi" w:cstheme="majorHAnsi"/>
          <w:color w:val="374151"/>
          <w:sz w:val="20"/>
          <w:szCs w:val="20"/>
        </w:rPr>
        <w:t xml:space="preserve"> aiming to provide year-round fresh produce to northern communities</w:t>
      </w:r>
      <w:r w:rsidR="00E779CB">
        <w:rPr>
          <w:rFonts w:asciiTheme="majorHAnsi" w:hAnsiTheme="majorHAnsi" w:cstheme="majorHAnsi"/>
          <w:color w:val="374151"/>
          <w:sz w:val="20"/>
          <w:szCs w:val="20"/>
        </w:rPr>
        <w:t>.</w:t>
      </w:r>
    </w:p>
    <w:p w14:paraId="23EE8D4A" w14:textId="5A674910" w:rsidR="00E0453F" w:rsidRDefault="00E0453F" w:rsidP="00E0453F">
      <w:pPr>
        <w:pStyle w:val="NormalWeb"/>
        <w:jc w:val="both"/>
        <w:rPr>
          <w:rFonts w:asciiTheme="majorHAnsi" w:hAnsiTheme="majorHAnsi" w:cstheme="majorHAnsi"/>
          <w:color w:val="374151"/>
          <w:sz w:val="20"/>
          <w:szCs w:val="20"/>
        </w:rPr>
      </w:pPr>
      <w:r w:rsidRPr="00E0453F">
        <w:rPr>
          <w:rFonts w:asciiTheme="majorHAnsi" w:hAnsiTheme="majorHAnsi" w:cstheme="majorHAnsi"/>
          <w:color w:val="374151"/>
          <w:sz w:val="20"/>
          <w:szCs w:val="20"/>
        </w:rPr>
        <w:t>The Company notes that while it has entered into a definitive agreement,</w:t>
      </w:r>
      <w:r w:rsidR="00C11C61">
        <w:rPr>
          <w:rFonts w:asciiTheme="majorHAnsi" w:hAnsiTheme="majorHAnsi" w:cstheme="majorHAnsi"/>
          <w:color w:val="374151"/>
          <w:sz w:val="20"/>
          <w:szCs w:val="20"/>
        </w:rPr>
        <w:t xml:space="preserve"> </w:t>
      </w:r>
      <w:r w:rsidRPr="00E0453F">
        <w:rPr>
          <w:rFonts w:asciiTheme="majorHAnsi" w:hAnsiTheme="majorHAnsi" w:cstheme="majorHAnsi"/>
          <w:color w:val="374151"/>
          <w:sz w:val="20"/>
          <w:szCs w:val="20"/>
        </w:rPr>
        <w:t xml:space="preserve">there can be no assurance that </w:t>
      </w:r>
      <w:r w:rsidR="00E92572">
        <w:rPr>
          <w:rFonts w:asciiTheme="majorHAnsi" w:hAnsiTheme="majorHAnsi" w:cstheme="majorHAnsi"/>
          <w:color w:val="374151"/>
          <w:sz w:val="20"/>
          <w:szCs w:val="20"/>
        </w:rPr>
        <w:t>all</w:t>
      </w:r>
      <w:r w:rsidR="00E92572" w:rsidRPr="00E0453F">
        <w:rPr>
          <w:rFonts w:asciiTheme="majorHAnsi" w:hAnsiTheme="majorHAnsi" w:cstheme="majorHAnsi"/>
          <w:color w:val="374151"/>
          <w:sz w:val="20"/>
          <w:szCs w:val="20"/>
        </w:rPr>
        <w:t xml:space="preserve"> </w:t>
      </w:r>
      <w:r w:rsidRPr="00E0453F">
        <w:rPr>
          <w:rFonts w:asciiTheme="majorHAnsi" w:hAnsiTheme="majorHAnsi" w:cstheme="majorHAnsi"/>
          <w:color w:val="374151"/>
          <w:sz w:val="20"/>
          <w:szCs w:val="20"/>
        </w:rPr>
        <w:t>necessary approvals will be obtained or that the transaction will close.</w:t>
      </w:r>
      <w:r w:rsidR="00DB7B8A">
        <w:rPr>
          <w:rFonts w:asciiTheme="majorHAnsi" w:hAnsiTheme="majorHAnsi" w:cstheme="majorHAnsi"/>
          <w:color w:val="374151"/>
          <w:sz w:val="20"/>
          <w:szCs w:val="20"/>
        </w:rPr>
        <w:t xml:space="preserve">  </w:t>
      </w:r>
      <w:r w:rsidR="004E4438">
        <w:rPr>
          <w:rFonts w:asciiTheme="majorHAnsi" w:hAnsiTheme="majorHAnsi" w:cstheme="majorHAnsi"/>
          <w:color w:val="374151"/>
          <w:sz w:val="20"/>
          <w:szCs w:val="20"/>
        </w:rPr>
        <w:t>Noted Gutterman, “While we are excited about signing the definitive agreement for these assets, work remains. Investors should understand that, while this represents a significant opportunity for us, the possibility exists that we might</w:t>
      </w:r>
      <w:r w:rsidR="006E0835">
        <w:rPr>
          <w:rFonts w:asciiTheme="majorHAnsi" w:hAnsiTheme="majorHAnsi" w:cstheme="majorHAnsi"/>
          <w:color w:val="374151"/>
          <w:sz w:val="20"/>
          <w:szCs w:val="20"/>
        </w:rPr>
        <w:t xml:space="preserve"> not</w:t>
      </w:r>
      <w:r w:rsidR="004E4438">
        <w:rPr>
          <w:rFonts w:asciiTheme="majorHAnsi" w:hAnsiTheme="majorHAnsi" w:cstheme="majorHAnsi"/>
          <w:color w:val="374151"/>
          <w:sz w:val="20"/>
          <w:szCs w:val="20"/>
        </w:rPr>
        <w:t xml:space="preserve"> get to the finish line on this one.  Nonetheless, and at the very least, </w:t>
      </w:r>
      <w:r w:rsidR="007D4602">
        <w:rPr>
          <w:rFonts w:asciiTheme="majorHAnsi" w:hAnsiTheme="majorHAnsi" w:cstheme="majorHAnsi"/>
          <w:color w:val="374151"/>
          <w:sz w:val="20"/>
          <w:szCs w:val="20"/>
        </w:rPr>
        <w:t>the</w:t>
      </w:r>
      <w:r w:rsidR="004E4438">
        <w:rPr>
          <w:rFonts w:asciiTheme="majorHAnsi" w:hAnsiTheme="majorHAnsi" w:cstheme="majorHAnsi"/>
          <w:color w:val="374151"/>
          <w:sz w:val="20"/>
          <w:szCs w:val="20"/>
        </w:rPr>
        <w:t xml:space="preserve"> announcement today s</w:t>
      </w:r>
      <w:r w:rsidR="00584876">
        <w:rPr>
          <w:rFonts w:asciiTheme="majorHAnsi" w:hAnsiTheme="majorHAnsi" w:cstheme="majorHAnsi"/>
          <w:color w:val="374151"/>
          <w:sz w:val="20"/>
          <w:szCs w:val="20"/>
        </w:rPr>
        <w:t>ignals our</w:t>
      </w:r>
      <w:r w:rsidR="004E4438">
        <w:rPr>
          <w:rFonts w:asciiTheme="majorHAnsi" w:hAnsiTheme="majorHAnsi" w:cstheme="majorHAnsi"/>
          <w:color w:val="374151"/>
          <w:sz w:val="20"/>
          <w:szCs w:val="20"/>
        </w:rPr>
        <w:t xml:space="preserve"> intention to become a leader in securing </w:t>
      </w:r>
      <w:r w:rsidR="005F312B">
        <w:rPr>
          <w:rFonts w:asciiTheme="majorHAnsi" w:hAnsiTheme="majorHAnsi" w:cstheme="majorHAnsi"/>
          <w:color w:val="374151"/>
          <w:sz w:val="20"/>
          <w:szCs w:val="20"/>
        </w:rPr>
        <w:t>compelling</w:t>
      </w:r>
      <w:r w:rsidR="007D4602">
        <w:rPr>
          <w:rFonts w:asciiTheme="majorHAnsi" w:hAnsiTheme="majorHAnsi" w:cstheme="majorHAnsi"/>
          <w:color w:val="374151"/>
          <w:sz w:val="20"/>
          <w:szCs w:val="20"/>
        </w:rPr>
        <w:t xml:space="preserve">, </w:t>
      </w:r>
      <w:r w:rsidR="004E4438">
        <w:rPr>
          <w:rFonts w:asciiTheme="majorHAnsi" w:hAnsiTheme="majorHAnsi" w:cstheme="majorHAnsi"/>
          <w:color w:val="374151"/>
          <w:sz w:val="20"/>
          <w:szCs w:val="20"/>
        </w:rPr>
        <w:t>truly differentiated power sources for bitcoin mining and for AI.”</w:t>
      </w:r>
    </w:p>
    <w:p w14:paraId="1E031886" w14:textId="4658E62F"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 xml:space="preserve">About Gryphon Digital Mining </w:t>
      </w:r>
    </w:p>
    <w:p w14:paraId="6C557513" w14:textId="201857C0" w:rsidR="009D55CB" w:rsidRDefault="002A0139"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2A0139">
        <w:rPr>
          <w:rFonts w:asciiTheme="majorHAnsi" w:eastAsia="Calibri" w:hAnsiTheme="majorHAnsi" w:cstheme="majorHAnsi"/>
          <w:bCs/>
          <w:color w:val="000000"/>
          <w:sz w:val="20"/>
          <w:szCs w:val="20"/>
        </w:rPr>
        <w:t xml:space="preserve">Gryphon Digital Mining, Inc. is an innovative venture in the bitcoin and AI space dedicated to helping bring digital assets to the market. With a talented leadership team coming from globally recognized brands, Gryphon has assembled thought leaders to improve digital asset network infrastructure. More information is available on </w:t>
      </w:r>
      <w:hyperlink r:id="rId17" w:history="1">
        <w:r w:rsidRPr="001B142C">
          <w:rPr>
            <w:rStyle w:val="Hyperlink"/>
            <w:rFonts w:asciiTheme="majorHAnsi" w:eastAsia="Calibri" w:hAnsiTheme="majorHAnsi" w:cstheme="majorHAnsi"/>
            <w:bCs/>
            <w:sz w:val="20"/>
            <w:szCs w:val="20"/>
          </w:rPr>
          <w:t>https://gryphondigitalmining.com/</w:t>
        </w:r>
      </w:hyperlink>
      <w:r>
        <w:rPr>
          <w:rFonts w:asciiTheme="majorHAnsi" w:eastAsia="Calibri" w:hAnsiTheme="majorHAnsi" w:cstheme="majorHAnsi"/>
          <w:bCs/>
          <w:color w:val="000000"/>
          <w:sz w:val="20"/>
          <w:szCs w:val="20"/>
        </w:rPr>
        <w:t xml:space="preserve"> </w:t>
      </w:r>
      <w:r w:rsidRPr="002A0139">
        <w:rPr>
          <w:rFonts w:asciiTheme="majorHAnsi" w:eastAsia="Calibri" w:hAnsiTheme="majorHAnsi" w:cstheme="majorHAnsi"/>
          <w:bCs/>
          <w:color w:val="000000"/>
          <w:sz w:val="20"/>
          <w:szCs w:val="20"/>
        </w:rPr>
        <w:t xml:space="preserve">  </w:t>
      </w:r>
    </w:p>
    <w:p w14:paraId="165C2F26" w14:textId="77777777" w:rsidR="002A0139" w:rsidRPr="00F354C6" w:rsidRDefault="002A0139"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p>
    <w:p w14:paraId="18FBC03A" w14:textId="1DAC0C02"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Cautionary Statements Regarding Forward-Looking Statements</w:t>
      </w:r>
    </w:p>
    <w:p w14:paraId="0D0A29CB" w14:textId="0BB6F7D5"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F354C6">
        <w:rPr>
          <w:rFonts w:asciiTheme="majorHAnsi" w:eastAsia="Calibri" w:hAnsiTheme="majorHAnsi" w:cstheme="majorHAnsi"/>
          <w:bCs/>
          <w:color w:val="000000"/>
          <w:sz w:val="20"/>
          <w:szCs w:val="20"/>
        </w:rPr>
        <w:t>This press release contains forward-looking statements within the meaning of Section 27A of the Securities Act of 1933, as amended (the “Securities Act”), and Section 21E of the Securities Exchange Act of 1934, as amended (the “Exchange Act”). Statements that refer to projections, forecasts or other characterizations of future events or circumstances, including any underlying assumptions, are forward-looking statements. Forward-looking statements are typically identified by words such as “plan,” “believe,” “expect,” “anticipate,” “intend,” “outlook,” “estimate,” “forecast,” “project,” “continue,” “could,” “may,” “might,” “possible,” “potential,” “predict,” “should,” “would” and other similar words and expressions, but the absence of these words does not mean that a statement is not forward-looking.</w:t>
      </w:r>
      <w:r w:rsidR="005F312B">
        <w:rPr>
          <w:rFonts w:asciiTheme="majorHAnsi" w:eastAsia="Calibri" w:hAnsiTheme="majorHAnsi" w:cstheme="majorHAnsi"/>
          <w:bCs/>
          <w:color w:val="000000"/>
          <w:sz w:val="20"/>
          <w:szCs w:val="20"/>
        </w:rPr>
        <w:t xml:space="preserve"> </w:t>
      </w:r>
      <w:r w:rsidR="005F312B" w:rsidRPr="00677912">
        <w:rPr>
          <w:rFonts w:asciiTheme="majorHAnsi" w:eastAsia="Calibri" w:hAnsiTheme="majorHAnsi" w:cstheme="majorHAnsi"/>
          <w:bCs/>
          <w:color w:val="000000"/>
          <w:sz w:val="20"/>
          <w:szCs w:val="20"/>
        </w:rPr>
        <w:t>Forward-looking statements may include, for example, statements about the</w:t>
      </w:r>
      <w:r w:rsidR="00134AEA">
        <w:rPr>
          <w:rFonts w:asciiTheme="majorHAnsi" w:eastAsia="Calibri" w:hAnsiTheme="majorHAnsi" w:cstheme="majorHAnsi"/>
          <w:bCs/>
          <w:color w:val="000000"/>
          <w:sz w:val="20"/>
          <w:szCs w:val="20"/>
        </w:rPr>
        <w:t xml:space="preserve"> Company’s</w:t>
      </w:r>
      <w:r w:rsidR="005F312B">
        <w:rPr>
          <w:rFonts w:asciiTheme="majorHAnsi" w:eastAsia="Calibri" w:hAnsiTheme="majorHAnsi" w:cstheme="majorHAnsi"/>
          <w:bCs/>
          <w:color w:val="000000"/>
          <w:sz w:val="20"/>
          <w:szCs w:val="20"/>
        </w:rPr>
        <w:t xml:space="preserve"> ability to close the </w:t>
      </w:r>
      <w:r w:rsidR="005F312B" w:rsidRPr="00677912">
        <w:rPr>
          <w:rFonts w:asciiTheme="majorHAnsi" w:eastAsia="Calibri" w:hAnsiTheme="majorHAnsi" w:cstheme="majorHAnsi"/>
          <w:bCs/>
          <w:color w:val="000000"/>
          <w:sz w:val="20"/>
          <w:szCs w:val="20"/>
        </w:rPr>
        <w:t xml:space="preserve"> </w:t>
      </w:r>
      <w:r w:rsidR="005F312B">
        <w:rPr>
          <w:rFonts w:asciiTheme="majorHAnsi" w:eastAsia="Calibri" w:hAnsiTheme="majorHAnsi" w:cstheme="majorHAnsi"/>
          <w:bCs/>
          <w:color w:val="000000"/>
          <w:sz w:val="20"/>
          <w:szCs w:val="20"/>
        </w:rPr>
        <w:t>acquisition with [ ]</w:t>
      </w:r>
      <w:r w:rsidR="00134AEA">
        <w:rPr>
          <w:rFonts w:asciiTheme="majorHAnsi" w:eastAsia="Calibri" w:hAnsiTheme="majorHAnsi" w:cstheme="majorHAnsi"/>
          <w:bCs/>
          <w:color w:val="000000"/>
          <w:sz w:val="20"/>
          <w:szCs w:val="20"/>
        </w:rPr>
        <w:t>; the total consideration for the acquisition;</w:t>
      </w:r>
      <w:r w:rsidR="005F312B">
        <w:rPr>
          <w:rFonts w:asciiTheme="majorHAnsi" w:eastAsia="Calibri" w:hAnsiTheme="majorHAnsi" w:cstheme="majorHAnsi"/>
          <w:bCs/>
          <w:color w:val="000000"/>
          <w:sz w:val="20"/>
          <w:szCs w:val="20"/>
        </w:rPr>
        <w:t xml:space="preserve"> the ability of the assets to be acquired to produce energy at both the cost and the volume anticipated</w:t>
      </w:r>
      <w:r w:rsidR="00134AEA">
        <w:rPr>
          <w:rFonts w:asciiTheme="majorHAnsi" w:eastAsia="Calibri" w:hAnsiTheme="majorHAnsi" w:cstheme="majorHAnsi"/>
          <w:bCs/>
          <w:color w:val="000000"/>
          <w:sz w:val="20"/>
          <w:szCs w:val="20"/>
        </w:rPr>
        <w:t>;</w:t>
      </w:r>
      <w:r w:rsidR="005F312B">
        <w:rPr>
          <w:rFonts w:asciiTheme="majorHAnsi" w:eastAsia="Calibri" w:hAnsiTheme="majorHAnsi" w:cstheme="majorHAnsi"/>
          <w:bCs/>
          <w:color w:val="000000"/>
          <w:sz w:val="20"/>
          <w:szCs w:val="20"/>
        </w:rPr>
        <w:t xml:space="preserve"> the results of diligence reviews</w:t>
      </w:r>
      <w:r w:rsidR="00134AEA">
        <w:rPr>
          <w:rFonts w:asciiTheme="majorHAnsi" w:eastAsia="Calibri" w:hAnsiTheme="majorHAnsi" w:cstheme="majorHAnsi"/>
          <w:bCs/>
          <w:color w:val="000000"/>
          <w:sz w:val="20"/>
          <w:szCs w:val="20"/>
        </w:rPr>
        <w:t>;</w:t>
      </w:r>
      <w:r w:rsidR="005F312B">
        <w:rPr>
          <w:rFonts w:asciiTheme="majorHAnsi" w:eastAsia="Calibri" w:hAnsiTheme="majorHAnsi" w:cstheme="majorHAnsi"/>
          <w:bCs/>
          <w:color w:val="000000"/>
          <w:sz w:val="20"/>
          <w:szCs w:val="20"/>
        </w:rPr>
        <w:t xml:space="preserve"> the engagement, and the results of such engagement</w:t>
      </w:r>
      <w:r w:rsidR="00134AEA">
        <w:rPr>
          <w:rFonts w:asciiTheme="majorHAnsi" w:eastAsia="Calibri" w:hAnsiTheme="majorHAnsi" w:cstheme="majorHAnsi"/>
          <w:bCs/>
          <w:color w:val="000000"/>
          <w:sz w:val="20"/>
          <w:szCs w:val="20"/>
        </w:rPr>
        <w:t>,</w:t>
      </w:r>
      <w:r w:rsidR="005F312B">
        <w:rPr>
          <w:rFonts w:asciiTheme="majorHAnsi" w:eastAsia="Calibri" w:hAnsiTheme="majorHAnsi" w:cstheme="majorHAnsi"/>
          <w:bCs/>
          <w:color w:val="000000"/>
          <w:sz w:val="20"/>
          <w:szCs w:val="20"/>
        </w:rPr>
        <w:t xml:space="preserve"> with regulatory bodies, First Nations</w:t>
      </w:r>
      <w:r w:rsidR="00134AEA">
        <w:rPr>
          <w:rFonts w:asciiTheme="majorHAnsi" w:eastAsia="Calibri" w:hAnsiTheme="majorHAnsi" w:cstheme="majorHAnsi"/>
          <w:bCs/>
          <w:color w:val="000000"/>
          <w:sz w:val="20"/>
          <w:szCs w:val="20"/>
        </w:rPr>
        <w:t>, local stakeholders</w:t>
      </w:r>
      <w:r w:rsidR="005F312B">
        <w:rPr>
          <w:rFonts w:asciiTheme="majorHAnsi" w:eastAsia="Calibri" w:hAnsiTheme="majorHAnsi" w:cstheme="majorHAnsi"/>
          <w:bCs/>
          <w:color w:val="000000"/>
          <w:sz w:val="20"/>
          <w:szCs w:val="20"/>
        </w:rPr>
        <w:t xml:space="preserve"> and norther communities</w:t>
      </w:r>
      <w:r w:rsidR="00134AEA">
        <w:rPr>
          <w:rFonts w:asciiTheme="majorHAnsi" w:eastAsia="Calibri" w:hAnsiTheme="majorHAnsi" w:cstheme="majorHAnsi"/>
          <w:bCs/>
          <w:color w:val="000000"/>
          <w:sz w:val="20"/>
          <w:szCs w:val="20"/>
        </w:rPr>
        <w:t>;</w:t>
      </w:r>
      <w:r w:rsidR="005F312B">
        <w:rPr>
          <w:rFonts w:asciiTheme="majorHAnsi" w:eastAsia="Calibri" w:hAnsiTheme="majorHAnsi" w:cstheme="majorHAnsi"/>
          <w:bCs/>
          <w:color w:val="000000"/>
          <w:sz w:val="20"/>
          <w:szCs w:val="20"/>
        </w:rPr>
        <w:t xml:space="preserve"> green initiatives</w:t>
      </w:r>
      <w:r w:rsidR="00134AEA">
        <w:rPr>
          <w:rFonts w:asciiTheme="majorHAnsi" w:eastAsia="Calibri" w:hAnsiTheme="majorHAnsi" w:cstheme="majorHAnsi"/>
          <w:bCs/>
          <w:color w:val="000000"/>
          <w:sz w:val="20"/>
          <w:szCs w:val="20"/>
        </w:rPr>
        <w:t>; plans to expand the Company’s business to include AI and high performance computing; the</w:t>
      </w:r>
      <w:r w:rsidR="005F312B">
        <w:rPr>
          <w:rFonts w:asciiTheme="majorHAnsi" w:eastAsia="Calibri" w:hAnsiTheme="majorHAnsi" w:cstheme="majorHAnsi"/>
          <w:bCs/>
          <w:color w:val="000000"/>
          <w:sz w:val="20"/>
          <w:szCs w:val="20"/>
        </w:rPr>
        <w:t xml:space="preserve"> </w:t>
      </w:r>
      <w:r w:rsidR="005F312B" w:rsidRPr="00677912">
        <w:rPr>
          <w:rFonts w:asciiTheme="majorHAnsi" w:eastAsia="Calibri" w:hAnsiTheme="majorHAnsi" w:cstheme="majorHAnsi"/>
          <w:bCs/>
          <w:color w:val="000000"/>
          <w:sz w:val="20"/>
          <w:szCs w:val="20"/>
        </w:rPr>
        <w:t>future financial performance of the Company</w:t>
      </w:r>
      <w:r w:rsidR="00134AEA">
        <w:rPr>
          <w:rFonts w:asciiTheme="majorHAnsi" w:eastAsia="Calibri" w:hAnsiTheme="majorHAnsi" w:cstheme="majorHAnsi"/>
          <w:bCs/>
          <w:color w:val="000000"/>
          <w:sz w:val="20"/>
          <w:szCs w:val="20"/>
        </w:rPr>
        <w:t>;</w:t>
      </w:r>
      <w:r w:rsidR="005F312B" w:rsidRPr="00677912">
        <w:rPr>
          <w:rFonts w:asciiTheme="majorHAnsi" w:eastAsia="Calibri" w:hAnsiTheme="majorHAnsi" w:cstheme="majorHAnsi"/>
          <w:bCs/>
          <w:color w:val="000000"/>
          <w:sz w:val="20"/>
          <w:szCs w:val="20"/>
        </w:rPr>
        <w:t xml:space="preserve"> changes in the Company’s strategy</w:t>
      </w:r>
      <w:r w:rsidR="00134AEA">
        <w:rPr>
          <w:rFonts w:asciiTheme="majorHAnsi" w:eastAsia="Calibri" w:hAnsiTheme="majorHAnsi" w:cstheme="majorHAnsi"/>
          <w:bCs/>
          <w:color w:val="000000"/>
          <w:sz w:val="20"/>
          <w:szCs w:val="20"/>
        </w:rPr>
        <w:t xml:space="preserve"> and</w:t>
      </w:r>
      <w:r w:rsidR="005F312B" w:rsidRPr="00677912">
        <w:rPr>
          <w:rFonts w:asciiTheme="majorHAnsi" w:eastAsia="Calibri" w:hAnsiTheme="majorHAnsi" w:cstheme="majorHAnsi"/>
          <w:bCs/>
          <w:color w:val="000000"/>
          <w:sz w:val="20"/>
          <w:szCs w:val="20"/>
        </w:rPr>
        <w:t xml:space="preserve"> future operations</w:t>
      </w:r>
      <w:r w:rsidR="00134AEA">
        <w:rPr>
          <w:rFonts w:asciiTheme="majorHAnsi" w:eastAsia="Calibri" w:hAnsiTheme="majorHAnsi" w:cstheme="majorHAnsi"/>
          <w:bCs/>
          <w:color w:val="000000"/>
          <w:sz w:val="20"/>
          <w:szCs w:val="20"/>
        </w:rPr>
        <w:t>;</w:t>
      </w:r>
      <w:r w:rsidR="005F312B" w:rsidRPr="00677912">
        <w:rPr>
          <w:rFonts w:asciiTheme="majorHAnsi" w:eastAsia="Calibri" w:hAnsiTheme="majorHAnsi" w:cstheme="majorHAnsi"/>
          <w:bCs/>
          <w:color w:val="000000"/>
          <w:sz w:val="20"/>
          <w:szCs w:val="20"/>
        </w:rPr>
        <w:t xml:space="preserve"> financial position</w:t>
      </w:r>
      <w:r w:rsidR="00134AEA">
        <w:rPr>
          <w:rFonts w:asciiTheme="majorHAnsi" w:eastAsia="Calibri" w:hAnsiTheme="majorHAnsi" w:cstheme="majorHAnsi"/>
          <w:bCs/>
          <w:color w:val="000000"/>
          <w:sz w:val="20"/>
          <w:szCs w:val="20"/>
        </w:rPr>
        <w:t>;</w:t>
      </w:r>
      <w:r w:rsidR="005F312B" w:rsidRPr="00677912">
        <w:rPr>
          <w:rFonts w:asciiTheme="majorHAnsi" w:eastAsia="Calibri" w:hAnsiTheme="majorHAnsi" w:cstheme="majorHAnsi"/>
          <w:bCs/>
          <w:color w:val="000000"/>
          <w:sz w:val="20"/>
          <w:szCs w:val="20"/>
        </w:rPr>
        <w:t xml:space="preserve"> estimated revenues and losses</w:t>
      </w:r>
      <w:r w:rsidR="00134AEA">
        <w:rPr>
          <w:rFonts w:asciiTheme="majorHAnsi" w:eastAsia="Calibri" w:hAnsiTheme="majorHAnsi" w:cstheme="majorHAnsi"/>
          <w:bCs/>
          <w:color w:val="000000"/>
          <w:sz w:val="20"/>
          <w:szCs w:val="20"/>
        </w:rPr>
        <w:t>;</w:t>
      </w:r>
      <w:r w:rsidR="005F312B" w:rsidRPr="00677912">
        <w:rPr>
          <w:rFonts w:asciiTheme="majorHAnsi" w:eastAsia="Calibri" w:hAnsiTheme="majorHAnsi" w:cstheme="majorHAnsi"/>
          <w:bCs/>
          <w:color w:val="000000"/>
          <w:sz w:val="20"/>
          <w:szCs w:val="20"/>
        </w:rPr>
        <w:t xml:space="preserve"> projected costs</w:t>
      </w:r>
      <w:r w:rsidR="00134AEA">
        <w:rPr>
          <w:rFonts w:asciiTheme="majorHAnsi" w:eastAsia="Calibri" w:hAnsiTheme="majorHAnsi" w:cstheme="majorHAnsi"/>
          <w:bCs/>
          <w:color w:val="000000"/>
          <w:sz w:val="20"/>
          <w:szCs w:val="20"/>
        </w:rPr>
        <w:t>;</w:t>
      </w:r>
      <w:r w:rsidR="005F312B" w:rsidRPr="00677912">
        <w:rPr>
          <w:rFonts w:asciiTheme="majorHAnsi" w:eastAsia="Calibri" w:hAnsiTheme="majorHAnsi" w:cstheme="majorHAnsi"/>
          <w:bCs/>
          <w:color w:val="000000"/>
          <w:sz w:val="20"/>
          <w:szCs w:val="20"/>
        </w:rPr>
        <w:t xml:space="preserve"> prospects, plans and objectives of management</w:t>
      </w:r>
      <w:r w:rsidR="00134AEA">
        <w:rPr>
          <w:rFonts w:asciiTheme="majorHAnsi" w:eastAsia="Calibri" w:hAnsiTheme="majorHAnsi" w:cstheme="majorHAnsi"/>
          <w:bCs/>
          <w:color w:val="000000"/>
          <w:sz w:val="20"/>
          <w:szCs w:val="20"/>
        </w:rPr>
        <w:t xml:space="preserve">; </w:t>
      </w:r>
      <w:r w:rsidR="005F312B" w:rsidRPr="00677912">
        <w:rPr>
          <w:rFonts w:asciiTheme="majorHAnsi" w:eastAsia="Calibri" w:hAnsiTheme="majorHAnsi" w:cstheme="majorHAnsi"/>
          <w:bCs/>
          <w:color w:val="000000"/>
          <w:sz w:val="20"/>
          <w:szCs w:val="20"/>
        </w:rPr>
        <w:t>and</w:t>
      </w:r>
      <w:r w:rsidR="00134AEA">
        <w:rPr>
          <w:rFonts w:asciiTheme="majorHAnsi" w:eastAsia="Calibri" w:hAnsiTheme="majorHAnsi" w:cstheme="majorHAnsi"/>
          <w:bCs/>
          <w:color w:val="000000"/>
          <w:sz w:val="20"/>
          <w:szCs w:val="20"/>
        </w:rPr>
        <w:t xml:space="preserve"> future</w:t>
      </w:r>
      <w:r w:rsidR="005F312B" w:rsidRPr="00677912">
        <w:rPr>
          <w:rFonts w:asciiTheme="majorHAnsi" w:eastAsia="Calibri" w:hAnsiTheme="majorHAnsi" w:cstheme="majorHAnsi"/>
          <w:bCs/>
          <w:color w:val="000000"/>
          <w:sz w:val="20"/>
          <w:szCs w:val="20"/>
        </w:rPr>
        <w:t xml:space="preserve"> acquisition activity.</w:t>
      </w:r>
    </w:p>
    <w:p w14:paraId="3C09A98D"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p>
    <w:p w14:paraId="59F2177A" w14:textId="79E88786" w:rsidR="009D55CB" w:rsidRPr="00677912" w:rsidRDefault="009D55CB" w:rsidP="009D55CB">
      <w:pPr>
        <w:widowControl w:val="0"/>
        <w:pBdr>
          <w:top w:val="nil"/>
          <w:left w:val="nil"/>
          <w:bottom w:val="nil"/>
          <w:right w:val="nil"/>
          <w:between w:val="nil"/>
        </w:pBdr>
        <w:spacing w:line="240" w:lineRule="auto"/>
        <w:rPr>
          <w:rFonts w:asciiTheme="majorHAnsi" w:eastAsia="Calibri" w:hAnsiTheme="majorHAnsi" w:cstheme="majorHAnsi"/>
          <w:bCs/>
          <w:color w:val="000000"/>
          <w:sz w:val="20"/>
          <w:szCs w:val="20"/>
        </w:rPr>
      </w:pPr>
      <w:r w:rsidRPr="00F354C6">
        <w:rPr>
          <w:rFonts w:asciiTheme="majorHAnsi" w:eastAsia="Calibri" w:hAnsiTheme="majorHAnsi" w:cstheme="majorHAnsi"/>
          <w:bCs/>
          <w:color w:val="000000"/>
          <w:sz w:val="20"/>
          <w:szCs w:val="20"/>
        </w:rPr>
        <w:t xml:space="preserve">The forward-looking statements are based on management’s current expectations and assumptions about future events </w:t>
      </w:r>
      <w:r w:rsidR="00865D78">
        <w:rPr>
          <w:rFonts w:asciiTheme="majorHAnsi" w:eastAsia="Calibri" w:hAnsiTheme="majorHAnsi" w:cstheme="majorHAnsi"/>
          <w:bCs/>
          <w:color w:val="000000"/>
          <w:sz w:val="20"/>
          <w:szCs w:val="20"/>
        </w:rPr>
        <w:t xml:space="preserve">and financial results </w:t>
      </w:r>
      <w:r w:rsidRPr="00F354C6">
        <w:rPr>
          <w:rFonts w:asciiTheme="majorHAnsi" w:eastAsia="Calibri" w:hAnsiTheme="majorHAnsi" w:cstheme="majorHAnsi"/>
          <w:bCs/>
          <w:color w:val="000000"/>
          <w:sz w:val="20"/>
          <w:szCs w:val="20"/>
        </w:rPr>
        <w:t xml:space="preserve">and are based on currently available information as to the outcome and timing of future events. The forward-looking statements speak only as of the date of this press release or as of the date they are made. Except as otherwise required by applicable law, Gryphon disclaims any duty to update any forward-looking statements, all of which are expressly qualified by the statements in this section, to reflect events or circumstances after the date of this press release. Gryphon cautions you that these forward-looking statements are subject to numerous risks and uncertainties, most of which are difficult to predict and many of which are beyond the control of Gryphon. In addition, Gryphon cautions you that the forward-looking statements contained in this press release are subject to the risks set forth in our filings with the Securities and Exchange Commission (the "SEC"), including the section titled “Risk Factors” in the </w:t>
      </w:r>
      <w:r w:rsidR="00897E76">
        <w:rPr>
          <w:rFonts w:asciiTheme="majorHAnsi" w:eastAsia="Calibri" w:hAnsiTheme="majorHAnsi" w:cstheme="majorHAnsi"/>
          <w:bCs/>
          <w:color w:val="000000"/>
          <w:sz w:val="20"/>
          <w:szCs w:val="20"/>
        </w:rPr>
        <w:t xml:space="preserve">Annual Report on Form 10-K </w:t>
      </w:r>
      <w:r w:rsidRPr="00F354C6">
        <w:rPr>
          <w:rFonts w:asciiTheme="majorHAnsi" w:eastAsia="Calibri" w:hAnsiTheme="majorHAnsi" w:cstheme="majorHAnsi"/>
          <w:bCs/>
          <w:color w:val="000000"/>
          <w:sz w:val="20"/>
          <w:szCs w:val="20"/>
        </w:rPr>
        <w:t xml:space="preserve">filed with the SEC by Gryphon on </w:t>
      </w:r>
      <w:r w:rsidR="00897E76">
        <w:rPr>
          <w:rFonts w:asciiTheme="majorHAnsi" w:eastAsia="Calibri" w:hAnsiTheme="majorHAnsi" w:cstheme="majorHAnsi"/>
          <w:bCs/>
          <w:color w:val="000000"/>
          <w:sz w:val="20"/>
          <w:szCs w:val="20"/>
        </w:rPr>
        <w:t>April 1</w:t>
      </w:r>
      <w:r w:rsidRPr="00F354C6">
        <w:rPr>
          <w:rFonts w:asciiTheme="majorHAnsi" w:eastAsia="Calibri" w:hAnsiTheme="majorHAnsi" w:cstheme="majorHAnsi"/>
          <w:bCs/>
          <w:color w:val="000000"/>
          <w:sz w:val="20"/>
          <w:szCs w:val="20"/>
        </w:rPr>
        <w:t>, 2024</w:t>
      </w:r>
      <w:r w:rsidR="005F312B">
        <w:rPr>
          <w:rFonts w:asciiTheme="majorHAnsi" w:eastAsia="Calibri" w:hAnsiTheme="majorHAnsi" w:cstheme="majorHAnsi"/>
          <w:bCs/>
          <w:color w:val="000000"/>
          <w:sz w:val="20"/>
          <w:szCs w:val="20"/>
        </w:rPr>
        <w:t>, as updated by the Company’s subsequent filings</w:t>
      </w:r>
      <w:r w:rsidRPr="00F354C6">
        <w:rPr>
          <w:rFonts w:asciiTheme="majorHAnsi" w:eastAsia="Calibri" w:hAnsiTheme="majorHAnsi" w:cstheme="majorHAnsi"/>
          <w:bCs/>
          <w:color w:val="000000"/>
          <w:sz w:val="20"/>
          <w:szCs w:val="20"/>
        </w:rPr>
        <w:t>.</w:t>
      </w:r>
    </w:p>
    <w:p w14:paraId="377B8F25"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p>
    <w:p w14:paraId="1A2F4088" w14:textId="77777777" w:rsidR="009D55CB" w:rsidRPr="00F354C6" w:rsidRDefault="009D55CB" w:rsidP="009D55CB">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sidRPr="00F354C6">
        <w:rPr>
          <w:rFonts w:asciiTheme="majorHAnsi" w:eastAsia="Calibri" w:hAnsiTheme="majorHAnsi" w:cstheme="majorHAnsi"/>
          <w:b/>
          <w:color w:val="000000"/>
          <w:sz w:val="20"/>
          <w:szCs w:val="20"/>
        </w:rPr>
        <w:t xml:space="preserve">INVESTOR CONTACT: </w:t>
      </w:r>
    </w:p>
    <w:p w14:paraId="678694EA" w14:textId="77777777" w:rsidR="000348DE" w:rsidRDefault="000348DE" w:rsidP="009D55CB">
      <w:pPr>
        <w:widowControl w:val="0"/>
        <w:spacing w:line="482" w:lineRule="auto"/>
        <w:ind w:right="1978" w:firstLine="5"/>
        <w:jc w:val="both"/>
        <w:rPr>
          <w:rFonts w:asciiTheme="majorHAnsi" w:hAnsiTheme="majorHAnsi" w:cstheme="majorHAnsi"/>
          <w:sz w:val="20"/>
          <w:szCs w:val="20"/>
        </w:rPr>
      </w:pPr>
    </w:p>
    <w:p w14:paraId="449DF6FA" w14:textId="77777777" w:rsidR="00B275F7"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lastRenderedPageBreak/>
        <w:t xml:space="preserve">Name: </w:t>
      </w:r>
      <w:r w:rsidRPr="002C78E2">
        <w:rPr>
          <w:rFonts w:asciiTheme="majorHAnsi" w:eastAsia="Calibri" w:hAnsiTheme="majorHAnsi" w:cstheme="majorHAnsi"/>
          <w:b/>
          <w:color w:val="000000"/>
          <w:sz w:val="20"/>
          <w:szCs w:val="20"/>
        </w:rPr>
        <w:t xml:space="preserve">James Carbonara </w:t>
      </w:r>
    </w:p>
    <w:p w14:paraId="7B189FAC" w14:textId="77777777" w:rsidR="00B275F7"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Company: </w:t>
      </w:r>
      <w:r w:rsidRPr="002C78E2">
        <w:rPr>
          <w:rFonts w:asciiTheme="majorHAnsi" w:eastAsia="Calibri" w:hAnsiTheme="majorHAnsi" w:cstheme="majorHAnsi"/>
          <w:b/>
          <w:color w:val="000000"/>
          <w:sz w:val="20"/>
          <w:szCs w:val="20"/>
        </w:rPr>
        <w:t xml:space="preserve">Hayden IR </w:t>
      </w:r>
    </w:p>
    <w:p w14:paraId="7AB28BEE" w14:textId="77777777" w:rsidR="00B275F7"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rPr>
      </w:pPr>
      <w:r>
        <w:rPr>
          <w:rFonts w:asciiTheme="majorHAnsi" w:eastAsia="Calibri" w:hAnsiTheme="majorHAnsi" w:cstheme="majorHAnsi"/>
          <w:b/>
          <w:color w:val="000000"/>
          <w:sz w:val="20"/>
          <w:szCs w:val="20"/>
        </w:rPr>
        <w:t xml:space="preserve">Phone: </w:t>
      </w:r>
      <w:r w:rsidRPr="002C78E2">
        <w:rPr>
          <w:rFonts w:asciiTheme="majorHAnsi" w:eastAsia="Calibri" w:hAnsiTheme="majorHAnsi" w:cstheme="majorHAnsi"/>
          <w:b/>
          <w:color w:val="000000"/>
          <w:sz w:val="20"/>
          <w:szCs w:val="20"/>
        </w:rPr>
        <w:t xml:space="preserve">(646)-755-7412 </w:t>
      </w:r>
    </w:p>
    <w:p w14:paraId="2EAF32CE" w14:textId="77777777" w:rsidR="00B275F7" w:rsidRPr="00F354C6" w:rsidRDefault="00B275F7" w:rsidP="00B275F7">
      <w:pPr>
        <w:widowControl w:val="0"/>
        <w:pBdr>
          <w:top w:val="nil"/>
          <w:left w:val="nil"/>
          <w:bottom w:val="nil"/>
          <w:right w:val="nil"/>
          <w:between w:val="nil"/>
        </w:pBdr>
        <w:spacing w:line="240" w:lineRule="auto"/>
        <w:rPr>
          <w:rFonts w:asciiTheme="majorHAnsi" w:eastAsia="Calibri" w:hAnsiTheme="majorHAnsi" w:cstheme="majorHAnsi"/>
          <w:b/>
          <w:color w:val="000000"/>
          <w:sz w:val="20"/>
          <w:szCs w:val="20"/>
          <w:highlight w:val="white"/>
        </w:rPr>
      </w:pPr>
      <w:r>
        <w:rPr>
          <w:rFonts w:asciiTheme="majorHAnsi" w:eastAsia="Calibri" w:hAnsiTheme="majorHAnsi" w:cstheme="majorHAnsi"/>
          <w:b/>
          <w:color w:val="000000"/>
          <w:sz w:val="20"/>
          <w:szCs w:val="20"/>
        </w:rPr>
        <w:t xml:space="preserve">Email: </w:t>
      </w:r>
      <w:r w:rsidRPr="002C78E2">
        <w:rPr>
          <w:rFonts w:asciiTheme="majorHAnsi" w:eastAsia="Calibri" w:hAnsiTheme="majorHAnsi" w:cstheme="majorHAnsi"/>
          <w:b/>
          <w:color w:val="000000"/>
          <w:sz w:val="20"/>
          <w:szCs w:val="20"/>
        </w:rPr>
        <w:t>james@haydenir.com</w:t>
      </w:r>
    </w:p>
    <w:p w14:paraId="0F51AAA3" w14:textId="77777777" w:rsidR="00B275F7" w:rsidRPr="00F354C6" w:rsidRDefault="00B275F7" w:rsidP="009D55CB">
      <w:pPr>
        <w:widowControl w:val="0"/>
        <w:spacing w:line="482" w:lineRule="auto"/>
        <w:ind w:right="1978" w:firstLine="5"/>
        <w:jc w:val="both"/>
        <w:rPr>
          <w:rFonts w:asciiTheme="majorHAnsi" w:hAnsiTheme="majorHAnsi" w:cstheme="majorHAnsi"/>
          <w:sz w:val="20"/>
          <w:szCs w:val="20"/>
        </w:rPr>
      </w:pPr>
    </w:p>
    <w:sectPr w:rsidR="00B275F7" w:rsidRPr="00F354C6">
      <w:type w:val="continuous"/>
      <w:pgSz w:w="12240" w:h="15840"/>
      <w:pgMar w:top="1440" w:right="1396"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E2BB72" w14:textId="77777777" w:rsidR="006C4A56" w:rsidRDefault="006C4A56">
      <w:pPr>
        <w:spacing w:line="240" w:lineRule="auto"/>
      </w:pPr>
      <w:r>
        <w:separator/>
      </w:r>
    </w:p>
  </w:endnote>
  <w:endnote w:type="continuationSeparator" w:id="0">
    <w:p w14:paraId="62EAD714" w14:textId="77777777" w:rsidR="006C4A56" w:rsidRDefault="006C4A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8EBF7" w14:textId="77777777" w:rsidR="0021393E" w:rsidRDefault="00213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E651F" w14:textId="5F6F60CC" w:rsidR="00186FD1" w:rsidRPr="001E67E5" w:rsidRDefault="00186FD1">
    <w:pPr>
      <w:pStyle w:val="Footer"/>
      <w:rPr>
        <w:vanish/>
      </w:rPr>
    </w:pPr>
    <w:r w:rsidRPr="001E67E5">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694F2" w14:textId="77777777" w:rsidR="000348DE" w:rsidRDefault="00C16185">
    <w:pPr>
      <w:pBdr>
        <w:top w:val="nil"/>
        <w:left w:val="nil"/>
        <w:bottom w:val="nil"/>
        <w:right w:val="nil"/>
        <w:between w:val="nil"/>
      </w:pBdr>
      <w:tabs>
        <w:tab w:val="center" w:pos="4680"/>
        <w:tab w:val="right" w:pos="9360"/>
      </w:tabs>
      <w:spacing w:line="240" w:lineRule="auto"/>
      <w:rPr>
        <w:color w:val="000000"/>
      </w:rPr>
    </w:pPr>
    <w:r>
      <w:rPr>
        <w:noProof/>
        <w:lang w:val="en-US"/>
      </w:rPr>
      <mc:AlternateContent>
        <mc:Choice Requires="wps">
          <w:drawing>
            <wp:anchor distT="0" distB="0" distL="114300" distR="114300" simplePos="0" relativeHeight="251657216" behindDoc="1" locked="0" layoutInCell="1" allowOverlap="1" wp14:anchorId="678694F4" wp14:editId="678694F5">
              <wp:simplePos x="0" y="0"/>
              <wp:positionH relativeFrom="column">
                <wp:posOffset>114300</wp:posOffset>
              </wp:positionH>
              <wp:positionV relativeFrom="paragraph">
                <wp:posOffset>0</wp:posOffset>
              </wp:positionV>
              <wp:extent cx="2569845" cy="265430"/>
              <wp:effectExtent l="0" t="0" r="0" b="0"/>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9845" cy="265430"/>
                      </a:xfrm>
                      <a:custGeom>
                        <a:avLst/>
                        <a:gdLst/>
                        <a:ahLst/>
                        <a:cxnLst/>
                        <a:rect l="l" t="t" r="r" b="b"/>
                        <a:pathLst>
                          <a:path w="2560320" h="255905" extrusionOk="0">
                            <a:moveTo>
                              <a:pt x="0" y="0"/>
                            </a:moveTo>
                            <a:lnTo>
                              <a:pt x="0" y="255905"/>
                            </a:lnTo>
                            <a:lnTo>
                              <a:pt x="2560320" y="255905"/>
                            </a:lnTo>
                            <a:lnTo>
                              <a:pt x="2560320" y="0"/>
                            </a:lnTo>
                            <a:close/>
                          </a:path>
                        </a:pathLst>
                      </a:custGeom>
                      <a:noFill/>
                      <a:ln>
                        <a:noFill/>
                      </a:ln>
                    </wps:spPr>
                    <wps:txbx>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wps:txbx>
                    <wps:bodyPr spcFirstLastPara="1" wrap="square" lIns="114300" tIns="0" rIns="114300" bIns="0" anchor="t" anchorCtr="0">
                      <a:noAutofit/>
                    </wps:bodyPr>
                  </wps:wsp>
                </a:graphicData>
              </a:graphic>
              <wp14:sizeRelH relativeFrom="page">
                <wp14:pctWidth>0</wp14:pctWidth>
              </wp14:sizeRelH>
              <wp14:sizeRelV relativeFrom="page">
                <wp14:pctHeight>0</wp14:pctHeight>
              </wp14:sizeRelV>
            </wp:anchor>
          </w:drawing>
        </mc:Choice>
        <mc:Fallback>
          <w:pict>
            <v:shape w14:anchorId="678694F4" id="Freeform: Shape 2" o:spid="_x0000_s1026" style="position:absolute;margin-left:9pt;margin-top:0;width:202.35pt;height: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60320,2559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" adj="-11796480,,5400" path="m,l,255905r2560320,l2560320,,,xe" filled="f" stroked="f">
              <v:stroke joinstyle="miter"/>
              <v:formulas/>
              <v:path arrowok="t" o:extrusionok="f" o:connecttype="custom" textboxrect="0,0,2560320,255905"/>
              <v:textbox inset="9pt,0,9pt,0">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v:textbox>
            </v:shape>
          </w:pict>
        </mc:Fallback>
      </mc:AlternateContent>
    </w:r>
    <w:r w:rsidR="006C4A56">
      <w:rPr>
        <w:noProof/>
      </w:rPr>
      <w:pict w14:anchorId="4E0D6286">
        <v:shapetype id="_x0000_t202" coordsize="21600,21600" o:spt="202" path="m,l,21600r21600,l21600,xe">
          <v:stroke joinstyle="miter"/>
          <v:path gradientshapeok="t" o:connecttype="rect"/>
        </v:shapetype>
        <v:shape id="Text Box 2" o:spid="_x0000_s1025" type="#_x0000_t202" style="position:absolute;margin-left:0;margin-top:0;width:201.6pt;height:20.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" filled="f" stroked="f">
          <v:textbox inset="0,0,0,0">
            <w:txbxContent>
              <w:p w14:paraId="678694FC" w14:textId="77777777" w:rsidR="000348DE" w:rsidRDefault="00C16185">
                <w:pPr>
                  <w:pStyle w:val="MacPacTrailer"/>
                </w:pPr>
                <w:r>
                  <w:t>C:\Users\dreibejc\Desktop\Gryphon\April 2023 Operational Update (JCD Comments).docx</w:t>
                </w:r>
              </w:p>
              <w:p w14:paraId="678694FD" w14:textId="77777777" w:rsidR="000348DE" w:rsidRDefault="000348DE">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7D4C9E" w14:textId="77777777" w:rsidR="006C4A56" w:rsidRDefault="006C4A56">
      <w:pPr>
        <w:spacing w:line="240" w:lineRule="auto"/>
      </w:pPr>
      <w:r>
        <w:separator/>
      </w:r>
    </w:p>
  </w:footnote>
  <w:footnote w:type="continuationSeparator" w:id="0">
    <w:p w14:paraId="58CA0CC0" w14:textId="77777777" w:rsidR="006C4A56" w:rsidRDefault="006C4A5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5D2AA1" w14:textId="77777777" w:rsidR="0021393E" w:rsidRDefault="00213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A1EFAE" w14:textId="77777777" w:rsidR="0021393E" w:rsidRDefault="002139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FE516D" w14:textId="77777777" w:rsidR="0021393E" w:rsidRDefault="00213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82F24"/>
    <w:multiLevelType w:val="multilevel"/>
    <w:tmpl w:val="50A087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067A15"/>
    <w:multiLevelType w:val="hybridMultilevel"/>
    <w:tmpl w:val="B9DCB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8B09C2"/>
    <w:multiLevelType w:val="multilevel"/>
    <w:tmpl w:val="1A826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F22737"/>
    <w:multiLevelType w:val="hybridMultilevel"/>
    <w:tmpl w:val="52805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F175F7"/>
    <w:multiLevelType w:val="multilevel"/>
    <w:tmpl w:val="B37AFB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564061D"/>
    <w:multiLevelType w:val="hybridMultilevel"/>
    <w:tmpl w:val="8D902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685499">
    <w:abstractNumId w:val="0"/>
  </w:num>
  <w:num w:numId="2" w16cid:durableId="1155023421">
    <w:abstractNumId w:val="2"/>
  </w:num>
  <w:num w:numId="3" w16cid:durableId="212423063">
    <w:abstractNumId w:val="4"/>
  </w:num>
  <w:num w:numId="4" w16cid:durableId="320500773">
    <w:abstractNumId w:val="1"/>
  </w:num>
  <w:num w:numId="5" w16cid:durableId="873272526">
    <w:abstractNumId w:val="5"/>
  </w:num>
  <w:num w:numId="6" w16cid:durableId="9882923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5"/>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teTempFile" w:val="C:\Users\mcrosby\AppData\Local\Temp\b17ed932-95d7-4935-b121-6d72ed1405a1.docx"/>
    <w:docVar w:name="zzmp10LastTrailerInserted" w:val="^`~#mp!@_;E#⌑┙┪55&lt;}}řm~”SOÈ6⌓KåRpŘ#m⌗‣⌈ˋc‣¯⌐!%eIxâ․Ûˋž%¥*@Iu%ÏÊ_y»Ŧ‟⌗ðË&quot;äÒ½þB⌡$wÉ⌐­⌟}\N¢⌑⌟õqnz(‟Y5ÖqÔÊ$(P[Ìmü›ÄZ$”|3¼BÓ⌂⌄Ñe:Þ⌂è88¸‣OWw¨l³OËauàZïſťÝ¶úƃ¼§ø\§9çŗ;¬ò£¤?'b8þ©ýÛ&gt;‟‣KlÃ_};?’þQB⌠øËyöeMLeìY×k&quot;¬sÒ§·³Ê_,※G²ÍÌóÌ⌉\]?ûCZÑuj)zÿ„~&amp;ŢàöïŘå¯F®T⌟a8011"/>
    <w:docVar w:name="zzmp10LastTrailerInserted_1078" w:val="^`~#mp!@_;E#⌑┙┪55&lt;}}řm~”SOÈ6⌓KåRpŘ#m⌗‣⌈ˋc‣¯⌐!%eIxâ․Ûˋž%¥*@Iu%ÏÊ_y»Ŧ‟⌗ðË&quot;äÒ½þB⌡$wÉ⌐­⌟}\N¢⌑⌟õqnz(‟Y5ÖqÔÊ$(P[Ìmü›ÄZ$”|3¼BÓ⌂⌄Ñe:Þ⌂è88¸‣OWw¨l³OËauàZïſťÝ¶úƃ¼§ø\§9çŗ;¬ò£¤?'b8þ©ýÛ&gt;‟‣KlÃ_};?’þQB⌠øËyöeMLeìY×k&quot;¬sÒ§·³Ê_,※G²ÍÌóÌ⌉\]?ûCZÑuj)zÿ„~&amp;ŢàöïŘå¯F®T⌟a8011"/>
    <w:docVar w:name="zzmp10mSEGsValidated" w:val="1"/>
    <w:docVar w:name="zzmpCompatibilityMode" w:val="15"/>
    <w:docVar w:name="zzmpLegacyTrailerRemoved" w:val="True"/>
  </w:docVars>
  <w:rsids>
    <w:rsidRoot w:val="000348DE"/>
    <w:rsid w:val="0000102F"/>
    <w:rsid w:val="000040FE"/>
    <w:rsid w:val="00006195"/>
    <w:rsid w:val="000066BF"/>
    <w:rsid w:val="00014FCB"/>
    <w:rsid w:val="000214FD"/>
    <w:rsid w:val="00021EFD"/>
    <w:rsid w:val="00025778"/>
    <w:rsid w:val="0002583C"/>
    <w:rsid w:val="00025C7D"/>
    <w:rsid w:val="00027745"/>
    <w:rsid w:val="000302E0"/>
    <w:rsid w:val="000347AC"/>
    <w:rsid w:val="000348DE"/>
    <w:rsid w:val="0004414D"/>
    <w:rsid w:val="00051457"/>
    <w:rsid w:val="000543A7"/>
    <w:rsid w:val="00055183"/>
    <w:rsid w:val="0005699C"/>
    <w:rsid w:val="00056AD2"/>
    <w:rsid w:val="00061F81"/>
    <w:rsid w:val="00064E43"/>
    <w:rsid w:val="00066F65"/>
    <w:rsid w:val="00071471"/>
    <w:rsid w:val="00072F82"/>
    <w:rsid w:val="00073EB9"/>
    <w:rsid w:val="000816C6"/>
    <w:rsid w:val="00083D8E"/>
    <w:rsid w:val="000861FA"/>
    <w:rsid w:val="0008655F"/>
    <w:rsid w:val="00087CB6"/>
    <w:rsid w:val="00092346"/>
    <w:rsid w:val="00093ADD"/>
    <w:rsid w:val="00097143"/>
    <w:rsid w:val="000B2E1C"/>
    <w:rsid w:val="000C382F"/>
    <w:rsid w:val="000C3A88"/>
    <w:rsid w:val="000C7395"/>
    <w:rsid w:val="000E1236"/>
    <w:rsid w:val="000E6A94"/>
    <w:rsid w:val="000F0D80"/>
    <w:rsid w:val="000F78F6"/>
    <w:rsid w:val="00105ECF"/>
    <w:rsid w:val="0011335E"/>
    <w:rsid w:val="001137BB"/>
    <w:rsid w:val="00113F1B"/>
    <w:rsid w:val="00116F8A"/>
    <w:rsid w:val="0012336A"/>
    <w:rsid w:val="00123406"/>
    <w:rsid w:val="001260DE"/>
    <w:rsid w:val="0013314D"/>
    <w:rsid w:val="00134AEA"/>
    <w:rsid w:val="00140A59"/>
    <w:rsid w:val="00140C76"/>
    <w:rsid w:val="0014393C"/>
    <w:rsid w:val="00147192"/>
    <w:rsid w:val="00152328"/>
    <w:rsid w:val="001624B5"/>
    <w:rsid w:val="00166285"/>
    <w:rsid w:val="001674A2"/>
    <w:rsid w:val="0017036D"/>
    <w:rsid w:val="00170EFB"/>
    <w:rsid w:val="001732F0"/>
    <w:rsid w:val="001737C1"/>
    <w:rsid w:val="001747C2"/>
    <w:rsid w:val="001812D2"/>
    <w:rsid w:val="00181BDD"/>
    <w:rsid w:val="00186FD1"/>
    <w:rsid w:val="00187129"/>
    <w:rsid w:val="00192AFB"/>
    <w:rsid w:val="0019378B"/>
    <w:rsid w:val="00193892"/>
    <w:rsid w:val="00195372"/>
    <w:rsid w:val="00197AF8"/>
    <w:rsid w:val="001A10DD"/>
    <w:rsid w:val="001A4863"/>
    <w:rsid w:val="001A6190"/>
    <w:rsid w:val="001A65F8"/>
    <w:rsid w:val="001B6BD7"/>
    <w:rsid w:val="001C21B4"/>
    <w:rsid w:val="001C238B"/>
    <w:rsid w:val="001C3E07"/>
    <w:rsid w:val="001C3FBA"/>
    <w:rsid w:val="001C4C2B"/>
    <w:rsid w:val="001C500B"/>
    <w:rsid w:val="001C6E2D"/>
    <w:rsid w:val="001D013B"/>
    <w:rsid w:val="001D376F"/>
    <w:rsid w:val="001E52B8"/>
    <w:rsid w:val="001E62A5"/>
    <w:rsid w:val="001E67E5"/>
    <w:rsid w:val="001E755B"/>
    <w:rsid w:val="001F0AC3"/>
    <w:rsid w:val="001F0F22"/>
    <w:rsid w:val="001F5121"/>
    <w:rsid w:val="001F7BDB"/>
    <w:rsid w:val="001F7E12"/>
    <w:rsid w:val="00202DAA"/>
    <w:rsid w:val="002032C6"/>
    <w:rsid w:val="00204A72"/>
    <w:rsid w:val="002052BA"/>
    <w:rsid w:val="0021136F"/>
    <w:rsid w:val="002128ED"/>
    <w:rsid w:val="00212DAF"/>
    <w:rsid w:val="0021393E"/>
    <w:rsid w:val="0021713C"/>
    <w:rsid w:val="00221EE9"/>
    <w:rsid w:val="00222614"/>
    <w:rsid w:val="00224529"/>
    <w:rsid w:val="00226396"/>
    <w:rsid w:val="00230C50"/>
    <w:rsid w:val="00232D34"/>
    <w:rsid w:val="002358EA"/>
    <w:rsid w:val="00243230"/>
    <w:rsid w:val="002434DD"/>
    <w:rsid w:val="002455FD"/>
    <w:rsid w:val="002619D4"/>
    <w:rsid w:val="00262057"/>
    <w:rsid w:val="00264C1F"/>
    <w:rsid w:val="00266302"/>
    <w:rsid w:val="00266B67"/>
    <w:rsid w:val="00271BAD"/>
    <w:rsid w:val="002806B6"/>
    <w:rsid w:val="002820B6"/>
    <w:rsid w:val="002828FE"/>
    <w:rsid w:val="00282942"/>
    <w:rsid w:val="0028737F"/>
    <w:rsid w:val="002902ED"/>
    <w:rsid w:val="00291BDF"/>
    <w:rsid w:val="00292ADB"/>
    <w:rsid w:val="00294D70"/>
    <w:rsid w:val="002970CE"/>
    <w:rsid w:val="002A0139"/>
    <w:rsid w:val="002A209C"/>
    <w:rsid w:val="002A247F"/>
    <w:rsid w:val="002A4155"/>
    <w:rsid w:val="002A73E8"/>
    <w:rsid w:val="002B3203"/>
    <w:rsid w:val="002C0040"/>
    <w:rsid w:val="002C15D5"/>
    <w:rsid w:val="002C4B37"/>
    <w:rsid w:val="002C68E9"/>
    <w:rsid w:val="002C6C26"/>
    <w:rsid w:val="002C7403"/>
    <w:rsid w:val="002D5040"/>
    <w:rsid w:val="002D6844"/>
    <w:rsid w:val="002E04AE"/>
    <w:rsid w:val="002E103A"/>
    <w:rsid w:val="002E4947"/>
    <w:rsid w:val="002E5905"/>
    <w:rsid w:val="002F3968"/>
    <w:rsid w:val="002F3CB7"/>
    <w:rsid w:val="002F57D7"/>
    <w:rsid w:val="002F633F"/>
    <w:rsid w:val="0030717B"/>
    <w:rsid w:val="00321EE6"/>
    <w:rsid w:val="00325321"/>
    <w:rsid w:val="003266C6"/>
    <w:rsid w:val="003268E0"/>
    <w:rsid w:val="00334E78"/>
    <w:rsid w:val="0033587E"/>
    <w:rsid w:val="00336474"/>
    <w:rsid w:val="00342529"/>
    <w:rsid w:val="0035375E"/>
    <w:rsid w:val="0035502C"/>
    <w:rsid w:val="00355203"/>
    <w:rsid w:val="00355436"/>
    <w:rsid w:val="00361FF8"/>
    <w:rsid w:val="003679A3"/>
    <w:rsid w:val="0037098F"/>
    <w:rsid w:val="00371CDE"/>
    <w:rsid w:val="0037334D"/>
    <w:rsid w:val="00382513"/>
    <w:rsid w:val="00385D60"/>
    <w:rsid w:val="00391980"/>
    <w:rsid w:val="00395513"/>
    <w:rsid w:val="003A027E"/>
    <w:rsid w:val="003B240E"/>
    <w:rsid w:val="003B6A65"/>
    <w:rsid w:val="003B7EF7"/>
    <w:rsid w:val="003C390F"/>
    <w:rsid w:val="003C5C1F"/>
    <w:rsid w:val="003C6BF3"/>
    <w:rsid w:val="003D0232"/>
    <w:rsid w:val="003D035E"/>
    <w:rsid w:val="003D05D5"/>
    <w:rsid w:val="003D3A29"/>
    <w:rsid w:val="003D5DB7"/>
    <w:rsid w:val="003D794D"/>
    <w:rsid w:val="003E3368"/>
    <w:rsid w:val="003E5D44"/>
    <w:rsid w:val="003E650C"/>
    <w:rsid w:val="003F28E5"/>
    <w:rsid w:val="003F6457"/>
    <w:rsid w:val="003F6520"/>
    <w:rsid w:val="00410FFC"/>
    <w:rsid w:val="00415F69"/>
    <w:rsid w:val="00431D12"/>
    <w:rsid w:val="00434971"/>
    <w:rsid w:val="00440210"/>
    <w:rsid w:val="00441900"/>
    <w:rsid w:val="00445133"/>
    <w:rsid w:val="004460A4"/>
    <w:rsid w:val="00447FF8"/>
    <w:rsid w:val="00450E8C"/>
    <w:rsid w:val="00451218"/>
    <w:rsid w:val="0045299C"/>
    <w:rsid w:val="00455D64"/>
    <w:rsid w:val="00456944"/>
    <w:rsid w:val="004652AD"/>
    <w:rsid w:val="00472AF3"/>
    <w:rsid w:val="0047377D"/>
    <w:rsid w:val="00473BEE"/>
    <w:rsid w:val="00477231"/>
    <w:rsid w:val="004831DC"/>
    <w:rsid w:val="004867A2"/>
    <w:rsid w:val="00491FD7"/>
    <w:rsid w:val="0049482A"/>
    <w:rsid w:val="004A0378"/>
    <w:rsid w:val="004A5150"/>
    <w:rsid w:val="004A533A"/>
    <w:rsid w:val="004A56FE"/>
    <w:rsid w:val="004B011B"/>
    <w:rsid w:val="004B1F75"/>
    <w:rsid w:val="004B6562"/>
    <w:rsid w:val="004B713D"/>
    <w:rsid w:val="004B7BCD"/>
    <w:rsid w:val="004C18C3"/>
    <w:rsid w:val="004C1DBA"/>
    <w:rsid w:val="004C60CF"/>
    <w:rsid w:val="004C7A83"/>
    <w:rsid w:val="004D7A46"/>
    <w:rsid w:val="004E1D9A"/>
    <w:rsid w:val="004E1FCB"/>
    <w:rsid w:val="004E4438"/>
    <w:rsid w:val="004F181D"/>
    <w:rsid w:val="005034EA"/>
    <w:rsid w:val="005046AE"/>
    <w:rsid w:val="0050505C"/>
    <w:rsid w:val="0050730A"/>
    <w:rsid w:val="00512ADC"/>
    <w:rsid w:val="00516210"/>
    <w:rsid w:val="00520217"/>
    <w:rsid w:val="00522DC1"/>
    <w:rsid w:val="00526EA5"/>
    <w:rsid w:val="00526F91"/>
    <w:rsid w:val="0052755E"/>
    <w:rsid w:val="00532509"/>
    <w:rsid w:val="00532ED1"/>
    <w:rsid w:val="00534E40"/>
    <w:rsid w:val="00536A7A"/>
    <w:rsid w:val="00536F53"/>
    <w:rsid w:val="00536F98"/>
    <w:rsid w:val="0053749D"/>
    <w:rsid w:val="00550764"/>
    <w:rsid w:val="0056282D"/>
    <w:rsid w:val="00564DCD"/>
    <w:rsid w:val="00573D92"/>
    <w:rsid w:val="0058230A"/>
    <w:rsid w:val="00584876"/>
    <w:rsid w:val="00590B4F"/>
    <w:rsid w:val="00591DCB"/>
    <w:rsid w:val="00594342"/>
    <w:rsid w:val="0059474C"/>
    <w:rsid w:val="00595317"/>
    <w:rsid w:val="00595B45"/>
    <w:rsid w:val="005A6FE0"/>
    <w:rsid w:val="005B4494"/>
    <w:rsid w:val="005B4C7C"/>
    <w:rsid w:val="005B4FED"/>
    <w:rsid w:val="005C0AC0"/>
    <w:rsid w:val="005C3516"/>
    <w:rsid w:val="005D10A2"/>
    <w:rsid w:val="005D44E5"/>
    <w:rsid w:val="005D5155"/>
    <w:rsid w:val="005E1123"/>
    <w:rsid w:val="005E341E"/>
    <w:rsid w:val="005E6378"/>
    <w:rsid w:val="005E7179"/>
    <w:rsid w:val="005F08E9"/>
    <w:rsid w:val="005F312B"/>
    <w:rsid w:val="005F73B5"/>
    <w:rsid w:val="00606C83"/>
    <w:rsid w:val="00606D1A"/>
    <w:rsid w:val="00606F54"/>
    <w:rsid w:val="0061095B"/>
    <w:rsid w:val="00610AD1"/>
    <w:rsid w:val="006129A4"/>
    <w:rsid w:val="00612FC0"/>
    <w:rsid w:val="00622FC8"/>
    <w:rsid w:val="00624DE7"/>
    <w:rsid w:val="006339E3"/>
    <w:rsid w:val="00650646"/>
    <w:rsid w:val="006561C2"/>
    <w:rsid w:val="00657CF7"/>
    <w:rsid w:val="00660A5D"/>
    <w:rsid w:val="00663E6D"/>
    <w:rsid w:val="00670EF4"/>
    <w:rsid w:val="00677912"/>
    <w:rsid w:val="00683EE9"/>
    <w:rsid w:val="006872CF"/>
    <w:rsid w:val="00687494"/>
    <w:rsid w:val="00690BD4"/>
    <w:rsid w:val="00691A70"/>
    <w:rsid w:val="00694272"/>
    <w:rsid w:val="00696867"/>
    <w:rsid w:val="00697E65"/>
    <w:rsid w:val="006A034A"/>
    <w:rsid w:val="006A5313"/>
    <w:rsid w:val="006A55FD"/>
    <w:rsid w:val="006A7055"/>
    <w:rsid w:val="006B19DD"/>
    <w:rsid w:val="006C12F9"/>
    <w:rsid w:val="006C26B3"/>
    <w:rsid w:val="006C4A56"/>
    <w:rsid w:val="006D396F"/>
    <w:rsid w:val="006D3C29"/>
    <w:rsid w:val="006D7853"/>
    <w:rsid w:val="006E0835"/>
    <w:rsid w:val="006E5D3D"/>
    <w:rsid w:val="006F4A7A"/>
    <w:rsid w:val="006F4D6F"/>
    <w:rsid w:val="006F5D2C"/>
    <w:rsid w:val="006F6C67"/>
    <w:rsid w:val="00702D24"/>
    <w:rsid w:val="00705BA7"/>
    <w:rsid w:val="007102F9"/>
    <w:rsid w:val="0071072A"/>
    <w:rsid w:val="00710FC6"/>
    <w:rsid w:val="0071116D"/>
    <w:rsid w:val="007222DB"/>
    <w:rsid w:val="007226AE"/>
    <w:rsid w:val="00725361"/>
    <w:rsid w:val="00730821"/>
    <w:rsid w:val="00733224"/>
    <w:rsid w:val="007332E9"/>
    <w:rsid w:val="007333B5"/>
    <w:rsid w:val="007358C2"/>
    <w:rsid w:val="00737249"/>
    <w:rsid w:val="0074116E"/>
    <w:rsid w:val="00741AFE"/>
    <w:rsid w:val="00742B25"/>
    <w:rsid w:val="00742E22"/>
    <w:rsid w:val="0074405C"/>
    <w:rsid w:val="00745732"/>
    <w:rsid w:val="00752D95"/>
    <w:rsid w:val="00756903"/>
    <w:rsid w:val="007570D1"/>
    <w:rsid w:val="00757408"/>
    <w:rsid w:val="00757657"/>
    <w:rsid w:val="007600CE"/>
    <w:rsid w:val="007624C9"/>
    <w:rsid w:val="00762AFD"/>
    <w:rsid w:val="00771760"/>
    <w:rsid w:val="007760EB"/>
    <w:rsid w:val="00776C34"/>
    <w:rsid w:val="00782168"/>
    <w:rsid w:val="00785B1F"/>
    <w:rsid w:val="0079542E"/>
    <w:rsid w:val="007A1F52"/>
    <w:rsid w:val="007A3B53"/>
    <w:rsid w:val="007B3B6F"/>
    <w:rsid w:val="007C0390"/>
    <w:rsid w:val="007C6AC6"/>
    <w:rsid w:val="007C74E9"/>
    <w:rsid w:val="007D0788"/>
    <w:rsid w:val="007D211E"/>
    <w:rsid w:val="007D30B2"/>
    <w:rsid w:val="007D3FCF"/>
    <w:rsid w:val="007D4602"/>
    <w:rsid w:val="007D48D9"/>
    <w:rsid w:val="007D7DE9"/>
    <w:rsid w:val="007E294A"/>
    <w:rsid w:val="007E2BF0"/>
    <w:rsid w:val="007E5826"/>
    <w:rsid w:val="007F37E0"/>
    <w:rsid w:val="00802FEF"/>
    <w:rsid w:val="00805431"/>
    <w:rsid w:val="00806793"/>
    <w:rsid w:val="00810E37"/>
    <w:rsid w:val="008162EA"/>
    <w:rsid w:val="00831C2D"/>
    <w:rsid w:val="00832E77"/>
    <w:rsid w:val="0083423C"/>
    <w:rsid w:val="0083776B"/>
    <w:rsid w:val="0084283E"/>
    <w:rsid w:val="00845FA0"/>
    <w:rsid w:val="00846E9E"/>
    <w:rsid w:val="008521DB"/>
    <w:rsid w:val="00853D73"/>
    <w:rsid w:val="008562D9"/>
    <w:rsid w:val="00856F7A"/>
    <w:rsid w:val="008617A1"/>
    <w:rsid w:val="00865D78"/>
    <w:rsid w:val="0087365C"/>
    <w:rsid w:val="00880040"/>
    <w:rsid w:val="00880AE3"/>
    <w:rsid w:val="008816CD"/>
    <w:rsid w:val="008844D4"/>
    <w:rsid w:val="00890EF0"/>
    <w:rsid w:val="00891EF2"/>
    <w:rsid w:val="00897E76"/>
    <w:rsid w:val="008B2D27"/>
    <w:rsid w:val="008B32E9"/>
    <w:rsid w:val="008B724A"/>
    <w:rsid w:val="008C6236"/>
    <w:rsid w:val="008D0F9A"/>
    <w:rsid w:val="008D107F"/>
    <w:rsid w:val="008D5EAD"/>
    <w:rsid w:val="008D6158"/>
    <w:rsid w:val="008D6485"/>
    <w:rsid w:val="008D64F0"/>
    <w:rsid w:val="008D659A"/>
    <w:rsid w:val="008D7014"/>
    <w:rsid w:val="008E2195"/>
    <w:rsid w:val="008E5F85"/>
    <w:rsid w:val="008E6FE8"/>
    <w:rsid w:val="008E79F5"/>
    <w:rsid w:val="008F4010"/>
    <w:rsid w:val="008F4DD4"/>
    <w:rsid w:val="008F5DB5"/>
    <w:rsid w:val="008F6DEA"/>
    <w:rsid w:val="008F6E08"/>
    <w:rsid w:val="00901139"/>
    <w:rsid w:val="0090404F"/>
    <w:rsid w:val="00911E96"/>
    <w:rsid w:val="0091564C"/>
    <w:rsid w:val="00917D56"/>
    <w:rsid w:val="00921B13"/>
    <w:rsid w:val="0092386D"/>
    <w:rsid w:val="00927214"/>
    <w:rsid w:val="00927E04"/>
    <w:rsid w:val="00934FDE"/>
    <w:rsid w:val="00937C4C"/>
    <w:rsid w:val="00937CE0"/>
    <w:rsid w:val="009437C0"/>
    <w:rsid w:val="00944F04"/>
    <w:rsid w:val="0094642A"/>
    <w:rsid w:val="00946574"/>
    <w:rsid w:val="00954231"/>
    <w:rsid w:val="00955B0C"/>
    <w:rsid w:val="00956DB1"/>
    <w:rsid w:val="009616BB"/>
    <w:rsid w:val="00961D1E"/>
    <w:rsid w:val="00962FBD"/>
    <w:rsid w:val="009659FE"/>
    <w:rsid w:val="009674DB"/>
    <w:rsid w:val="00970490"/>
    <w:rsid w:val="00971FED"/>
    <w:rsid w:val="00972271"/>
    <w:rsid w:val="0097776C"/>
    <w:rsid w:val="009816A7"/>
    <w:rsid w:val="00983049"/>
    <w:rsid w:val="00986B7A"/>
    <w:rsid w:val="00987B21"/>
    <w:rsid w:val="009972E0"/>
    <w:rsid w:val="009A4DCB"/>
    <w:rsid w:val="009A7DD0"/>
    <w:rsid w:val="009B0C2F"/>
    <w:rsid w:val="009B2359"/>
    <w:rsid w:val="009B241F"/>
    <w:rsid w:val="009C08A0"/>
    <w:rsid w:val="009C11E5"/>
    <w:rsid w:val="009C2B8E"/>
    <w:rsid w:val="009C38A7"/>
    <w:rsid w:val="009C508A"/>
    <w:rsid w:val="009C7C1B"/>
    <w:rsid w:val="009D1D80"/>
    <w:rsid w:val="009D1E26"/>
    <w:rsid w:val="009D312B"/>
    <w:rsid w:val="009D3E3E"/>
    <w:rsid w:val="009D4A42"/>
    <w:rsid w:val="009D55CB"/>
    <w:rsid w:val="009E05AA"/>
    <w:rsid w:val="009E39E6"/>
    <w:rsid w:val="009F3C7B"/>
    <w:rsid w:val="009F4B7F"/>
    <w:rsid w:val="009F5674"/>
    <w:rsid w:val="00A01D57"/>
    <w:rsid w:val="00A140CF"/>
    <w:rsid w:val="00A141F2"/>
    <w:rsid w:val="00A15D07"/>
    <w:rsid w:val="00A2160C"/>
    <w:rsid w:val="00A21892"/>
    <w:rsid w:val="00A218EB"/>
    <w:rsid w:val="00A245E7"/>
    <w:rsid w:val="00A2579E"/>
    <w:rsid w:val="00A35AFA"/>
    <w:rsid w:val="00A40022"/>
    <w:rsid w:val="00A4129D"/>
    <w:rsid w:val="00A434FB"/>
    <w:rsid w:val="00A55ED4"/>
    <w:rsid w:val="00A57179"/>
    <w:rsid w:val="00A61EA8"/>
    <w:rsid w:val="00A631B3"/>
    <w:rsid w:val="00A639B0"/>
    <w:rsid w:val="00A66FAF"/>
    <w:rsid w:val="00A7111C"/>
    <w:rsid w:val="00A75470"/>
    <w:rsid w:val="00A8438F"/>
    <w:rsid w:val="00A91748"/>
    <w:rsid w:val="00A92043"/>
    <w:rsid w:val="00A924C5"/>
    <w:rsid w:val="00A94E72"/>
    <w:rsid w:val="00A96784"/>
    <w:rsid w:val="00A97243"/>
    <w:rsid w:val="00AA1B86"/>
    <w:rsid w:val="00AB1378"/>
    <w:rsid w:val="00AB1616"/>
    <w:rsid w:val="00AB1B1B"/>
    <w:rsid w:val="00AB2ED7"/>
    <w:rsid w:val="00AB4A08"/>
    <w:rsid w:val="00AB71EF"/>
    <w:rsid w:val="00AC01DE"/>
    <w:rsid w:val="00AC0B05"/>
    <w:rsid w:val="00AC58D4"/>
    <w:rsid w:val="00AD5655"/>
    <w:rsid w:val="00AD67DE"/>
    <w:rsid w:val="00AE46AC"/>
    <w:rsid w:val="00AF070C"/>
    <w:rsid w:val="00AF217D"/>
    <w:rsid w:val="00AF701D"/>
    <w:rsid w:val="00AF769B"/>
    <w:rsid w:val="00B0299A"/>
    <w:rsid w:val="00B06FC1"/>
    <w:rsid w:val="00B07909"/>
    <w:rsid w:val="00B13C4B"/>
    <w:rsid w:val="00B14160"/>
    <w:rsid w:val="00B17988"/>
    <w:rsid w:val="00B24E3E"/>
    <w:rsid w:val="00B275F7"/>
    <w:rsid w:val="00B34C13"/>
    <w:rsid w:val="00B42164"/>
    <w:rsid w:val="00B43874"/>
    <w:rsid w:val="00B5005A"/>
    <w:rsid w:val="00B5215B"/>
    <w:rsid w:val="00B54024"/>
    <w:rsid w:val="00B54F1D"/>
    <w:rsid w:val="00B566D6"/>
    <w:rsid w:val="00B60106"/>
    <w:rsid w:val="00B65EE7"/>
    <w:rsid w:val="00B7072B"/>
    <w:rsid w:val="00B76F98"/>
    <w:rsid w:val="00B81A74"/>
    <w:rsid w:val="00B82785"/>
    <w:rsid w:val="00B8657E"/>
    <w:rsid w:val="00B91072"/>
    <w:rsid w:val="00B96F7B"/>
    <w:rsid w:val="00B96FDF"/>
    <w:rsid w:val="00BA6780"/>
    <w:rsid w:val="00BB5E60"/>
    <w:rsid w:val="00BB7EC9"/>
    <w:rsid w:val="00BC12C3"/>
    <w:rsid w:val="00BC1CA7"/>
    <w:rsid w:val="00BC2091"/>
    <w:rsid w:val="00BC2887"/>
    <w:rsid w:val="00BC50C1"/>
    <w:rsid w:val="00BC52D7"/>
    <w:rsid w:val="00BD21AE"/>
    <w:rsid w:val="00BD34A1"/>
    <w:rsid w:val="00BD4A0A"/>
    <w:rsid w:val="00BD4D60"/>
    <w:rsid w:val="00BD64FA"/>
    <w:rsid w:val="00BE24FB"/>
    <w:rsid w:val="00BE5E94"/>
    <w:rsid w:val="00BF5A76"/>
    <w:rsid w:val="00C00326"/>
    <w:rsid w:val="00C009D5"/>
    <w:rsid w:val="00C041ED"/>
    <w:rsid w:val="00C05EDB"/>
    <w:rsid w:val="00C060CF"/>
    <w:rsid w:val="00C11C61"/>
    <w:rsid w:val="00C1274A"/>
    <w:rsid w:val="00C1414F"/>
    <w:rsid w:val="00C16185"/>
    <w:rsid w:val="00C166F6"/>
    <w:rsid w:val="00C203D2"/>
    <w:rsid w:val="00C318F5"/>
    <w:rsid w:val="00C329C3"/>
    <w:rsid w:val="00C35FC3"/>
    <w:rsid w:val="00C423FB"/>
    <w:rsid w:val="00C439DD"/>
    <w:rsid w:val="00C45F2B"/>
    <w:rsid w:val="00C478AB"/>
    <w:rsid w:val="00C60ECB"/>
    <w:rsid w:val="00C61BCB"/>
    <w:rsid w:val="00C6775E"/>
    <w:rsid w:val="00C742D9"/>
    <w:rsid w:val="00C8353B"/>
    <w:rsid w:val="00C8584B"/>
    <w:rsid w:val="00C910C8"/>
    <w:rsid w:val="00C9501F"/>
    <w:rsid w:val="00CA1308"/>
    <w:rsid w:val="00CA18B6"/>
    <w:rsid w:val="00CA4ACB"/>
    <w:rsid w:val="00CC5952"/>
    <w:rsid w:val="00CD3F1B"/>
    <w:rsid w:val="00CD761C"/>
    <w:rsid w:val="00CE19C2"/>
    <w:rsid w:val="00CE26EF"/>
    <w:rsid w:val="00CE3445"/>
    <w:rsid w:val="00CE4116"/>
    <w:rsid w:val="00CE50B9"/>
    <w:rsid w:val="00CE7DE9"/>
    <w:rsid w:val="00CF02EC"/>
    <w:rsid w:val="00CF039C"/>
    <w:rsid w:val="00CF4CBF"/>
    <w:rsid w:val="00CF71D4"/>
    <w:rsid w:val="00CF788A"/>
    <w:rsid w:val="00D005AC"/>
    <w:rsid w:val="00D04E6E"/>
    <w:rsid w:val="00D06086"/>
    <w:rsid w:val="00D071C0"/>
    <w:rsid w:val="00D07F85"/>
    <w:rsid w:val="00D11A38"/>
    <w:rsid w:val="00D15D63"/>
    <w:rsid w:val="00D15E72"/>
    <w:rsid w:val="00D16CA1"/>
    <w:rsid w:val="00D20421"/>
    <w:rsid w:val="00D22D62"/>
    <w:rsid w:val="00D251AD"/>
    <w:rsid w:val="00D26F82"/>
    <w:rsid w:val="00D27A0C"/>
    <w:rsid w:val="00D305FD"/>
    <w:rsid w:val="00D378ED"/>
    <w:rsid w:val="00D40009"/>
    <w:rsid w:val="00D4370B"/>
    <w:rsid w:val="00D45FDD"/>
    <w:rsid w:val="00D531D8"/>
    <w:rsid w:val="00D55366"/>
    <w:rsid w:val="00D556F3"/>
    <w:rsid w:val="00D56096"/>
    <w:rsid w:val="00D566E5"/>
    <w:rsid w:val="00D57215"/>
    <w:rsid w:val="00D57272"/>
    <w:rsid w:val="00D602C7"/>
    <w:rsid w:val="00D71F00"/>
    <w:rsid w:val="00D73087"/>
    <w:rsid w:val="00D769F3"/>
    <w:rsid w:val="00D8154B"/>
    <w:rsid w:val="00D93681"/>
    <w:rsid w:val="00D94295"/>
    <w:rsid w:val="00DA0180"/>
    <w:rsid w:val="00DA04A7"/>
    <w:rsid w:val="00DA080A"/>
    <w:rsid w:val="00DA0EF1"/>
    <w:rsid w:val="00DB2BEA"/>
    <w:rsid w:val="00DB7B8A"/>
    <w:rsid w:val="00DC0665"/>
    <w:rsid w:val="00DC06AF"/>
    <w:rsid w:val="00DC5CE8"/>
    <w:rsid w:val="00DC77F5"/>
    <w:rsid w:val="00DD4962"/>
    <w:rsid w:val="00DE3A33"/>
    <w:rsid w:val="00DE49E4"/>
    <w:rsid w:val="00DE5A80"/>
    <w:rsid w:val="00DE7B0B"/>
    <w:rsid w:val="00DF2A69"/>
    <w:rsid w:val="00DF3FF7"/>
    <w:rsid w:val="00DF62BA"/>
    <w:rsid w:val="00E0453F"/>
    <w:rsid w:val="00E1165E"/>
    <w:rsid w:val="00E13C3A"/>
    <w:rsid w:val="00E13C85"/>
    <w:rsid w:val="00E169AD"/>
    <w:rsid w:val="00E1727B"/>
    <w:rsid w:val="00E2081F"/>
    <w:rsid w:val="00E446AB"/>
    <w:rsid w:val="00E608D4"/>
    <w:rsid w:val="00E60CE5"/>
    <w:rsid w:val="00E612B0"/>
    <w:rsid w:val="00E64A55"/>
    <w:rsid w:val="00E64F01"/>
    <w:rsid w:val="00E70DA0"/>
    <w:rsid w:val="00E724EB"/>
    <w:rsid w:val="00E74E78"/>
    <w:rsid w:val="00E75455"/>
    <w:rsid w:val="00E75A4D"/>
    <w:rsid w:val="00E75A51"/>
    <w:rsid w:val="00E769CA"/>
    <w:rsid w:val="00E779CB"/>
    <w:rsid w:val="00E81CA5"/>
    <w:rsid w:val="00E8432A"/>
    <w:rsid w:val="00E860E7"/>
    <w:rsid w:val="00E87597"/>
    <w:rsid w:val="00E92572"/>
    <w:rsid w:val="00E93E06"/>
    <w:rsid w:val="00E94575"/>
    <w:rsid w:val="00EA70D9"/>
    <w:rsid w:val="00EB0ECD"/>
    <w:rsid w:val="00EB242C"/>
    <w:rsid w:val="00EB7844"/>
    <w:rsid w:val="00EC1944"/>
    <w:rsid w:val="00EC5DF0"/>
    <w:rsid w:val="00ED3AE7"/>
    <w:rsid w:val="00ED5F11"/>
    <w:rsid w:val="00ED66FA"/>
    <w:rsid w:val="00ED708A"/>
    <w:rsid w:val="00EE4160"/>
    <w:rsid w:val="00EF099C"/>
    <w:rsid w:val="00EF3720"/>
    <w:rsid w:val="00EF5ECE"/>
    <w:rsid w:val="00F00951"/>
    <w:rsid w:val="00F034AB"/>
    <w:rsid w:val="00F06C02"/>
    <w:rsid w:val="00F16370"/>
    <w:rsid w:val="00F17D71"/>
    <w:rsid w:val="00F21721"/>
    <w:rsid w:val="00F232C9"/>
    <w:rsid w:val="00F32B7F"/>
    <w:rsid w:val="00F3409A"/>
    <w:rsid w:val="00F34D38"/>
    <w:rsid w:val="00F354C6"/>
    <w:rsid w:val="00F37187"/>
    <w:rsid w:val="00F37836"/>
    <w:rsid w:val="00F4013E"/>
    <w:rsid w:val="00F40626"/>
    <w:rsid w:val="00F45B04"/>
    <w:rsid w:val="00F51EDB"/>
    <w:rsid w:val="00F52AE5"/>
    <w:rsid w:val="00F5346B"/>
    <w:rsid w:val="00F55F00"/>
    <w:rsid w:val="00F55FF7"/>
    <w:rsid w:val="00F640F4"/>
    <w:rsid w:val="00F64CFF"/>
    <w:rsid w:val="00F65639"/>
    <w:rsid w:val="00F67D0E"/>
    <w:rsid w:val="00F67EB1"/>
    <w:rsid w:val="00F7088E"/>
    <w:rsid w:val="00F724DF"/>
    <w:rsid w:val="00F7385C"/>
    <w:rsid w:val="00F77039"/>
    <w:rsid w:val="00F80F72"/>
    <w:rsid w:val="00F82544"/>
    <w:rsid w:val="00F85E0A"/>
    <w:rsid w:val="00F866B1"/>
    <w:rsid w:val="00F871A9"/>
    <w:rsid w:val="00F8734C"/>
    <w:rsid w:val="00F9080D"/>
    <w:rsid w:val="00FA21BE"/>
    <w:rsid w:val="00FA2A61"/>
    <w:rsid w:val="00FA4D21"/>
    <w:rsid w:val="00FA5548"/>
    <w:rsid w:val="00FA71B7"/>
    <w:rsid w:val="00FB2A52"/>
    <w:rsid w:val="00FB31BE"/>
    <w:rsid w:val="00FB36E3"/>
    <w:rsid w:val="00FB70BF"/>
    <w:rsid w:val="00FC04A8"/>
    <w:rsid w:val="00FC0C4B"/>
    <w:rsid w:val="00FC462C"/>
    <w:rsid w:val="00FC78F8"/>
    <w:rsid w:val="00FC79BA"/>
    <w:rsid w:val="00FD3080"/>
    <w:rsid w:val="00FD6869"/>
    <w:rsid w:val="00FD78FC"/>
    <w:rsid w:val="00FE12DA"/>
    <w:rsid w:val="00FE29F1"/>
    <w:rsid w:val="00FF1201"/>
    <w:rsid w:val="00FF1F50"/>
    <w:rsid w:val="00FF5184"/>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8694BF"/>
  <w15:docId w15:val="{3C5C40AC-2B02-444C-87DA-F34560AED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pPr>
      <w:spacing w:line="240" w:lineRule="auto"/>
    </w:pPr>
  </w:style>
  <w:style w:type="character" w:styleId="Hyperlink">
    <w:name w:val="Hyperlink"/>
    <w:basedOn w:val="DefaultParagraphFont"/>
    <w:uiPriority w:val="99"/>
    <w:unhideWhenUsed/>
    <w:rPr>
      <w:color w:val="0000FF"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style>
  <w:style w:type="paragraph" w:customStyle="1" w:styleId="MacPacTrailer">
    <w:name w:val="MacPac Trailer"/>
    <w:pPr>
      <w:widowControl w:val="0"/>
      <w:spacing w:line="200" w:lineRule="exact"/>
    </w:pPr>
    <w:rPr>
      <w:rFonts w:eastAsia="Times New Roman" w:cs="Times New Roman"/>
      <w:sz w:val="15"/>
      <w:lang w:val="en-US"/>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UnresolvedMention3">
    <w:name w:val="Unresolved Mention3"/>
    <w:basedOn w:val="DefaultParagraphFont"/>
    <w:uiPriority w:val="99"/>
    <w:semiHidden/>
    <w:unhideWhenUsed/>
    <w:rPr>
      <w:color w:val="605E5C"/>
      <w:shd w:val="clear" w:color="auto" w:fill="E1DFDD"/>
    </w:rPr>
  </w:style>
  <w:style w:type="character" w:customStyle="1" w:styleId="UnresolvedMention4">
    <w:name w:val="Unresolved Mention4"/>
    <w:basedOn w:val="DefaultParagraphFont"/>
    <w:uiPriority w:val="99"/>
    <w:semiHidden/>
    <w:unhideWhenUsed/>
    <w:rPr>
      <w:color w:val="605E5C"/>
      <w:shd w:val="clear" w:color="auto" w:fill="E1DFDD"/>
    </w:rPr>
  </w:style>
  <w:style w:type="character" w:customStyle="1" w:styleId="UnresolvedMention5">
    <w:name w:val="Unresolved Mention5"/>
    <w:basedOn w:val="DefaultParagraphFont"/>
    <w:uiPriority w:val="99"/>
    <w:semiHidden/>
    <w:unhideWhenUsed/>
    <w:rPr>
      <w:color w:val="605E5C"/>
      <w:shd w:val="clear" w:color="auto" w:fill="E1DFDD"/>
    </w:rPr>
  </w:style>
  <w:style w:type="character" w:customStyle="1" w:styleId="UnresolvedMention6">
    <w:name w:val="Unresolved Mention6"/>
    <w:basedOn w:val="DefaultParagraphFont"/>
    <w:uiPriority w:val="99"/>
    <w:semiHidden/>
    <w:unhideWhenUsed/>
    <w:rPr>
      <w:color w:val="605E5C"/>
      <w:shd w:val="clear" w:color="auto" w:fill="E1DFDD"/>
    </w:rPr>
  </w:style>
  <w:style w:type="character" w:customStyle="1" w:styleId="UnresolvedMention7">
    <w:name w:val="Unresolved Mention7"/>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UnresolvedMention8">
    <w:name w:val="Unresolved Mention8"/>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sid w:val="00B275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505907">
      <w:bodyDiv w:val="1"/>
      <w:marLeft w:val="0"/>
      <w:marRight w:val="0"/>
      <w:marTop w:val="0"/>
      <w:marBottom w:val="0"/>
      <w:divBdr>
        <w:top w:val="none" w:sz="0" w:space="0" w:color="auto"/>
        <w:left w:val="none" w:sz="0" w:space="0" w:color="auto"/>
        <w:bottom w:val="none" w:sz="0" w:space="0" w:color="auto"/>
        <w:right w:val="none" w:sz="0" w:space="0" w:color="auto"/>
      </w:divBdr>
    </w:div>
    <w:div w:id="521162614">
      <w:bodyDiv w:val="1"/>
      <w:marLeft w:val="0"/>
      <w:marRight w:val="0"/>
      <w:marTop w:val="0"/>
      <w:marBottom w:val="0"/>
      <w:divBdr>
        <w:top w:val="none" w:sz="0" w:space="0" w:color="auto"/>
        <w:left w:val="none" w:sz="0" w:space="0" w:color="auto"/>
        <w:bottom w:val="none" w:sz="0" w:space="0" w:color="auto"/>
        <w:right w:val="none" w:sz="0" w:space="0" w:color="auto"/>
      </w:divBdr>
    </w:div>
    <w:div w:id="809395370">
      <w:bodyDiv w:val="1"/>
      <w:marLeft w:val="0"/>
      <w:marRight w:val="0"/>
      <w:marTop w:val="0"/>
      <w:marBottom w:val="0"/>
      <w:divBdr>
        <w:top w:val="none" w:sz="0" w:space="0" w:color="auto"/>
        <w:left w:val="none" w:sz="0" w:space="0" w:color="auto"/>
        <w:bottom w:val="none" w:sz="0" w:space="0" w:color="auto"/>
        <w:right w:val="none" w:sz="0" w:space="0" w:color="auto"/>
      </w:divBdr>
    </w:div>
    <w:div w:id="858198468">
      <w:bodyDiv w:val="1"/>
      <w:marLeft w:val="0"/>
      <w:marRight w:val="0"/>
      <w:marTop w:val="0"/>
      <w:marBottom w:val="0"/>
      <w:divBdr>
        <w:top w:val="none" w:sz="0" w:space="0" w:color="auto"/>
        <w:left w:val="none" w:sz="0" w:space="0" w:color="auto"/>
        <w:bottom w:val="none" w:sz="0" w:space="0" w:color="auto"/>
        <w:right w:val="none" w:sz="0" w:space="0" w:color="auto"/>
      </w:divBdr>
    </w:div>
    <w:div w:id="1207722000">
      <w:bodyDiv w:val="1"/>
      <w:marLeft w:val="0"/>
      <w:marRight w:val="0"/>
      <w:marTop w:val="0"/>
      <w:marBottom w:val="0"/>
      <w:divBdr>
        <w:top w:val="none" w:sz="0" w:space="0" w:color="auto"/>
        <w:left w:val="none" w:sz="0" w:space="0" w:color="auto"/>
        <w:bottom w:val="none" w:sz="0" w:space="0" w:color="auto"/>
        <w:right w:val="none" w:sz="0" w:space="0" w:color="auto"/>
      </w:divBdr>
    </w:div>
    <w:div w:id="14437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gryphondigitalmining.com/" TargetMode="External"/><Relationship Id="rId2" Type="http://schemas.openxmlformats.org/officeDocument/2006/relationships/customXml" Target="../customXml/item2.xml"/><Relationship Id="rId16" Type="http://schemas.openxmlformats.org/officeDocument/2006/relationships/hyperlink" Target="https://gryphondigitalmining.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RmbHKI6ZfrTHkm2V68RpETAoNw==">AMUW2mXPbzDO3vbohmwwBuaNMNM+cfxW3XMKeNGowQElTG0iOWriEkcwaYuYZ0l9Ug4CUzwqYzgogPH/CsZmf15IyZtqCVIIJS0vLl2faZPw/YoCNRMPa/M=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D5BAAC3-1392-46F5-862E-76CAD83A0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1106</Words>
  <Characters>6309</Characters>
  <Application>Microsoft Office Word</Application>
  <DocSecurity>0</DocSecurity>
  <PresentationFormat/>
  <Lines>52</Lines>
  <Paragraphs>14</Paragraphs>
  <ScaleCrop>false</ScaleCrop>
  <HeadingPairs>
    <vt:vector size="2" baseType="variant">
      <vt:variant>
        <vt:lpstr>Title</vt:lpstr>
      </vt:variant>
      <vt:variant>
        <vt:i4>1</vt:i4>
      </vt:variant>
    </vt:vector>
  </HeadingPairs>
  <TitlesOfParts>
    <vt:vector size="1" baseType="lpstr">
      <vt:lpstr>Gryphon - Operational Update PR February (AB Edits) (01332988).DOCX</vt:lpstr>
    </vt:vector>
  </TitlesOfParts>
  <Company>K&amp;L Gates LLP</Company>
  <LinksUpToDate>false</LinksUpToDate>
  <CharactersWithSpaces>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Gryphon - Operational Update PR February (AB Edits) (01332988).DOCX</dc:title>
  <dc:subject>Gryphon - Operational Update PR May edit.docx.1</dc:subject>
  <dc:creator>Dreibelbis, Jason C.</dc:creator>
  <cp:keywords/>
  <dc:description/>
  <cp:lastModifiedBy>James Carbonara</cp:lastModifiedBy>
  <cp:revision>2</cp:revision>
  <dcterms:created xsi:type="dcterms:W3CDTF">2024-12-10T00:43:00Z</dcterms:created>
  <dcterms:modified xsi:type="dcterms:W3CDTF">2024-12-10T00:43:00Z</dcterms:modified>
</cp:coreProperties>
</file>